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adjustRightInd w:val="0"/>
        <w:spacing w:after="0" w:line="240" w:lineRule="auto"/>
        <w:jc w:val="center"/>
        <w:rPr>
          <w:rFonts w:ascii="Times New Roman" w:hAnsi="Times New Roman" w:cs="Times New Roman"/>
          <w:b/>
          <w:bCs/>
          <w:sz w:val="28"/>
          <w:szCs w:val="28"/>
        </w:rPr>
      </w:pPr>
      <w:bookmarkStart w:id="11" w:name="_GoBack"/>
      <w:bookmarkEnd w:id="11"/>
    </w:p>
    <w:p>
      <w:pPr>
        <w:autoSpaceDE w:val="0"/>
        <w:autoSpaceDN w:val="0"/>
        <w:adjustRightInd w:val="0"/>
        <w:spacing w:after="0" w:line="240" w:lineRule="auto"/>
        <w:jc w:val="center"/>
        <w:rPr>
          <w:rFonts w:ascii="Times New Roman" w:hAnsi="Times New Roman" w:cs="Times New Roman"/>
          <w:b/>
          <w:sz w:val="28"/>
          <w:szCs w:val="28"/>
        </w:rPr>
      </w:pPr>
      <w:r>
        <w:rPr>
          <w:rFonts w:ascii="Times New Roman" w:hAnsi="Times New Roman" w:cs="Times New Roman"/>
          <w:b/>
          <w:bCs/>
          <w:sz w:val="28"/>
          <w:szCs w:val="28"/>
        </w:rPr>
        <w:t>Financial Sector Development and Health Outcomes in Nigeria</w:t>
      </w:r>
      <w:r>
        <w:rPr>
          <w:rFonts w:ascii="Times New Roman" w:hAnsi="Times New Roman" w:cs="Times New Roman"/>
          <w:b/>
          <w:sz w:val="28"/>
          <w:szCs w:val="28"/>
        </w:rPr>
        <w:br w:type="textWrapping"/>
      </w:r>
    </w:p>
    <w:p>
      <w:pPr>
        <w:autoSpaceDE w:val="0"/>
        <w:autoSpaceDN w:val="0"/>
        <w:adjustRightInd w:val="0"/>
        <w:spacing w:after="0" w:line="240" w:lineRule="auto"/>
        <w:jc w:val="center"/>
        <w:rPr>
          <w:rFonts w:ascii="Times New Roman" w:hAnsi="Times New Roman" w:cs="Times New Roman"/>
          <w:b/>
          <w:sz w:val="28"/>
          <w:szCs w:val="28"/>
        </w:rPr>
      </w:pPr>
    </w:p>
    <w:p>
      <w:pPr>
        <w:autoSpaceDE w:val="0"/>
        <w:autoSpaceDN w:val="0"/>
        <w:adjustRightInd w:val="0"/>
        <w:spacing w:after="0" w:line="240" w:lineRule="auto"/>
        <w:jc w:val="center"/>
        <w:rPr>
          <w:rFonts w:ascii="Times New Roman" w:hAnsi="Times New Roman" w:cs="Times New Roman"/>
          <w:b/>
          <w:sz w:val="28"/>
          <w:szCs w:val="28"/>
        </w:rPr>
      </w:pPr>
    </w:p>
    <w:p>
      <w:pPr>
        <w:autoSpaceDE w:val="0"/>
        <w:autoSpaceDN w:val="0"/>
        <w:adjustRightInd w:val="0"/>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SAMAILA, Ibrahim</w:t>
      </w:r>
      <w:r>
        <w:rPr>
          <w:rFonts w:ascii="Times New Roman" w:hAnsi="Times New Roman" w:cs="Times New Roman"/>
          <w:b/>
          <w:sz w:val="28"/>
          <w:szCs w:val="28"/>
        </w:rPr>
        <w:br w:type="textWrapping"/>
      </w:r>
      <w:r>
        <w:rPr>
          <w:rFonts w:ascii="Times New Roman" w:hAnsi="Times New Roman" w:cs="Times New Roman"/>
          <w:b/>
          <w:bCs/>
          <w:sz w:val="28"/>
          <w:szCs w:val="28"/>
        </w:rPr>
        <w:t>LCU/PG/002779</w:t>
      </w:r>
    </w:p>
    <w:p>
      <w:pPr>
        <w:autoSpaceDE w:val="0"/>
        <w:autoSpaceDN w:val="0"/>
        <w:adjustRightInd w:val="0"/>
        <w:spacing w:after="0" w:line="360" w:lineRule="auto"/>
        <w:jc w:val="center"/>
        <w:rPr>
          <w:rFonts w:ascii="Times New Roman" w:hAnsi="Times New Roman" w:cs="Times New Roman"/>
          <w:b/>
          <w:bCs/>
          <w:sz w:val="28"/>
          <w:szCs w:val="28"/>
        </w:rPr>
      </w:pPr>
    </w:p>
    <w:p>
      <w:pPr>
        <w:autoSpaceDE w:val="0"/>
        <w:autoSpaceDN w:val="0"/>
        <w:adjustRightInd w:val="0"/>
        <w:spacing w:after="0" w:line="360" w:lineRule="auto"/>
        <w:jc w:val="center"/>
        <w:rPr>
          <w:rFonts w:ascii="Times New Roman" w:hAnsi="Times New Roman" w:cs="Times New Roman"/>
          <w:b/>
          <w:bCs/>
          <w:sz w:val="28"/>
          <w:szCs w:val="28"/>
        </w:rPr>
      </w:pPr>
    </w:p>
    <w:p>
      <w:pPr>
        <w:autoSpaceDE w:val="0"/>
        <w:autoSpaceDN w:val="0"/>
        <w:adjustRightInd w:val="0"/>
        <w:spacing w:after="0" w:line="360" w:lineRule="auto"/>
        <w:jc w:val="center"/>
        <w:rPr>
          <w:rFonts w:ascii="Times New Roman" w:hAnsi="Times New Roman" w:cs="Times New Roman"/>
          <w:b/>
          <w:bCs/>
          <w:sz w:val="28"/>
          <w:szCs w:val="28"/>
        </w:rPr>
      </w:pPr>
    </w:p>
    <w:p>
      <w:pPr>
        <w:autoSpaceDE w:val="0"/>
        <w:autoSpaceDN w:val="0"/>
        <w:adjustRightInd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br w:type="textWrapping"/>
      </w:r>
      <w:r>
        <w:rPr>
          <w:rFonts w:ascii="Times New Roman" w:hAnsi="Times New Roman" w:cs="Times New Roman"/>
          <w:b/>
          <w:bCs/>
          <w:sz w:val="28"/>
          <w:szCs w:val="28"/>
        </w:rPr>
        <w:t xml:space="preserve">Being a Msc Thesis Presented to the Department of Economics, </w:t>
      </w:r>
      <w:r>
        <w:rPr>
          <w:rFonts w:ascii="Times New Roman" w:hAnsi="Times New Roman" w:cs="Times New Roman"/>
          <w:b/>
          <w:bCs/>
          <w:sz w:val="28"/>
          <w:szCs w:val="28"/>
        </w:rPr>
        <w:br w:type="textWrapping"/>
      </w:r>
      <w:r>
        <w:rPr>
          <w:rFonts w:ascii="Times New Roman" w:hAnsi="Times New Roman" w:cs="Times New Roman"/>
          <w:b/>
          <w:bCs/>
          <w:sz w:val="28"/>
          <w:szCs w:val="28"/>
        </w:rPr>
        <w:t xml:space="preserve">Faculty of Management and Social Sciences, </w:t>
      </w:r>
      <w:r>
        <w:rPr>
          <w:rFonts w:ascii="Times New Roman" w:hAnsi="Times New Roman" w:cs="Times New Roman"/>
          <w:b/>
          <w:bCs/>
          <w:sz w:val="28"/>
          <w:szCs w:val="28"/>
        </w:rPr>
        <w:br w:type="textWrapping"/>
      </w:r>
      <w:r>
        <w:rPr>
          <w:rFonts w:ascii="Times New Roman" w:hAnsi="Times New Roman" w:cs="Times New Roman"/>
          <w:b/>
          <w:bCs/>
          <w:sz w:val="28"/>
          <w:szCs w:val="28"/>
        </w:rPr>
        <w:t>Lead City University, Ibadan Oyo State, Nigeria.</w:t>
      </w:r>
      <w:r>
        <w:rPr>
          <w:rFonts w:ascii="Times New Roman" w:hAnsi="Times New Roman" w:cs="Times New Roman"/>
          <w:b/>
          <w:bCs/>
          <w:sz w:val="28"/>
          <w:szCs w:val="28"/>
        </w:rPr>
        <w:br w:type="textWrapping"/>
      </w:r>
      <w:r>
        <w:rPr>
          <w:rFonts w:ascii="Times New Roman" w:hAnsi="Times New Roman" w:cs="Times New Roman"/>
          <w:b/>
          <w:bCs/>
          <w:sz w:val="28"/>
          <w:szCs w:val="28"/>
        </w:rPr>
        <w:br w:type="textWrapping"/>
      </w:r>
    </w:p>
    <w:p>
      <w:pPr>
        <w:autoSpaceDE w:val="0"/>
        <w:autoSpaceDN w:val="0"/>
        <w:adjustRightInd w:val="0"/>
        <w:spacing w:after="0" w:line="240" w:lineRule="auto"/>
        <w:jc w:val="center"/>
        <w:rPr>
          <w:rFonts w:ascii="Times New Roman" w:hAnsi="Times New Roman" w:cs="Times New Roman"/>
          <w:b/>
          <w:bCs/>
          <w:sz w:val="28"/>
          <w:szCs w:val="28"/>
        </w:rPr>
      </w:pPr>
    </w:p>
    <w:p>
      <w:pPr>
        <w:autoSpaceDE w:val="0"/>
        <w:autoSpaceDN w:val="0"/>
        <w:adjustRightInd w:val="0"/>
        <w:spacing w:after="0" w:line="240" w:lineRule="auto"/>
        <w:jc w:val="center"/>
        <w:rPr>
          <w:rFonts w:ascii="Times New Roman" w:hAnsi="Times New Roman" w:cs="Times New Roman"/>
          <w:b/>
          <w:bCs/>
          <w:sz w:val="28"/>
          <w:szCs w:val="28"/>
        </w:rPr>
      </w:pPr>
    </w:p>
    <w:p>
      <w:pPr>
        <w:autoSpaceDE w:val="0"/>
        <w:autoSpaceDN w:val="0"/>
        <w:adjustRightInd w:val="0"/>
        <w:spacing w:after="0" w:line="240" w:lineRule="auto"/>
        <w:jc w:val="center"/>
        <w:rPr>
          <w:rFonts w:ascii="Times New Roman" w:hAnsi="Times New Roman" w:cs="Times New Roman"/>
          <w:b/>
          <w:bCs/>
          <w:sz w:val="28"/>
          <w:szCs w:val="28"/>
        </w:rPr>
      </w:pPr>
    </w:p>
    <w:p>
      <w:pPr>
        <w:autoSpaceDE w:val="0"/>
        <w:autoSpaceDN w:val="0"/>
        <w:adjustRightInd w:val="0"/>
        <w:spacing w:after="0" w:line="240" w:lineRule="auto"/>
        <w:rPr>
          <w:rFonts w:ascii="Times New Roman" w:hAnsi="Times New Roman" w:cs="Times New Roman"/>
          <w:b/>
          <w:bCs/>
          <w:sz w:val="28"/>
          <w:szCs w:val="28"/>
        </w:rPr>
      </w:pPr>
    </w:p>
    <w:p>
      <w:pPr>
        <w:autoSpaceDE w:val="0"/>
        <w:autoSpaceDN w:val="0"/>
        <w:adjustRightInd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In Partial Fulfillment of the Requirements for the Award of Master of Science Degree (M.Sc.) in Economics</w:t>
      </w:r>
    </w:p>
    <w:p>
      <w:pPr>
        <w:autoSpaceDE w:val="0"/>
        <w:autoSpaceDN w:val="0"/>
        <w:adjustRightInd w:val="0"/>
        <w:spacing w:after="0" w:line="240" w:lineRule="auto"/>
        <w:rPr>
          <w:rFonts w:ascii="Times New Roman" w:hAnsi="Times New Roman" w:cs="Times New Roman"/>
          <w:b/>
          <w:bCs/>
          <w:sz w:val="24"/>
          <w:szCs w:val="24"/>
          <w:lang w:val="en-IE"/>
        </w:rPr>
      </w:pPr>
    </w:p>
    <w:p>
      <w:pPr>
        <w:spacing w:after="200" w:line="276" w:lineRule="auto"/>
        <w:rPr>
          <w:rFonts w:ascii="Times New Roman" w:hAnsi="Times New Roman" w:cs="Times New Roman"/>
          <w:sz w:val="24"/>
          <w:szCs w:val="24"/>
        </w:rPr>
      </w:pPr>
    </w:p>
    <w:p>
      <w:pPr>
        <w:spacing w:after="200" w:line="276" w:lineRule="auto"/>
        <w:rPr>
          <w:rFonts w:ascii="Times New Roman" w:hAnsi="Times New Roman" w:cs="Times New Roman"/>
          <w:sz w:val="24"/>
          <w:szCs w:val="24"/>
        </w:rPr>
      </w:pPr>
    </w:p>
    <w:p>
      <w:pPr>
        <w:spacing w:after="200" w:line="276" w:lineRule="auto"/>
        <w:rPr>
          <w:rFonts w:ascii="Times New Roman" w:hAnsi="Times New Roman" w:cs="Times New Roman"/>
          <w:sz w:val="24"/>
          <w:szCs w:val="24"/>
        </w:rPr>
      </w:pPr>
    </w:p>
    <w:p>
      <w:pPr>
        <w:spacing w:after="200" w:line="276" w:lineRule="auto"/>
        <w:jc w:val="center"/>
        <w:rPr>
          <w:rFonts w:ascii="Times New Roman" w:hAnsi="Times New Roman" w:cs="Times New Roman"/>
          <w:b/>
          <w:sz w:val="24"/>
          <w:szCs w:val="24"/>
        </w:rPr>
      </w:pPr>
    </w:p>
    <w:p>
      <w:pPr>
        <w:spacing w:after="200" w:line="276" w:lineRule="auto"/>
        <w:jc w:val="center"/>
        <w:rPr>
          <w:rFonts w:ascii="Times New Roman" w:hAnsi="Times New Roman" w:cs="Times New Roman"/>
          <w:b/>
          <w:sz w:val="24"/>
          <w:szCs w:val="24"/>
        </w:rPr>
      </w:pPr>
    </w:p>
    <w:p>
      <w:pPr>
        <w:spacing w:after="200" w:line="276" w:lineRule="auto"/>
        <w:jc w:val="center"/>
        <w:rPr>
          <w:rFonts w:ascii="Times New Roman" w:hAnsi="Times New Roman" w:cs="Times New Roman"/>
          <w:b/>
          <w:sz w:val="24"/>
          <w:szCs w:val="24"/>
        </w:rPr>
      </w:pPr>
      <w:r>
        <w:rPr>
          <w:rFonts w:ascii="Times New Roman" w:hAnsi="Times New Roman" w:cs="Times New Roman"/>
          <w:b/>
          <w:sz w:val="24"/>
          <w:szCs w:val="24"/>
        </w:rPr>
        <w:t>2023</w:t>
      </w:r>
      <w:r>
        <w:rPr>
          <w:rFonts w:ascii="Times New Roman" w:hAnsi="Times New Roman" w:cs="Times New Roman"/>
          <w:b/>
          <w:sz w:val="24"/>
          <w:szCs w:val="24"/>
        </w:rPr>
        <w:br w:type="page"/>
      </w:r>
    </w:p>
    <w:p>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Certification</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This is to certify that this thesis titled “Financial Sector Development and Health Outcomes in Nigeria” was carried out by </w:t>
      </w:r>
      <w:r>
        <w:rPr>
          <w:rFonts w:ascii="Times New Roman" w:hAnsi="Times New Roman" w:cs="Times New Roman"/>
          <w:bCs/>
          <w:sz w:val="24"/>
          <w:szCs w:val="24"/>
        </w:rPr>
        <w:t>Ibrahim SAMAILA</w:t>
      </w:r>
      <w:r>
        <w:rPr>
          <w:rFonts w:ascii="Times New Roman" w:hAnsi="Times New Roman" w:cs="Times New Roman"/>
          <w:sz w:val="24"/>
          <w:szCs w:val="24"/>
        </w:rPr>
        <w:t xml:space="preserve"> with Matriculation number of </w:t>
      </w:r>
      <w:r>
        <w:rPr>
          <w:rFonts w:ascii="Times New Roman" w:hAnsi="Times New Roman" w:cs="Times New Roman"/>
          <w:bCs/>
          <w:sz w:val="24"/>
          <w:szCs w:val="24"/>
        </w:rPr>
        <w:t>LCU/PG/002779</w:t>
      </w:r>
      <w:r>
        <w:rPr>
          <w:rFonts w:ascii="Times New Roman" w:hAnsi="Times New Roman" w:cs="Times New Roman"/>
          <w:sz w:val="24"/>
          <w:szCs w:val="24"/>
        </w:rPr>
        <w:t xml:space="preserve"> in the Department of Economics, Faculty of Management and Social Sciences, Lead City University, Ibadan, under my supervision and that this work has not been previously submitted.</w:t>
      </w: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w:t>
      </w:r>
    </w:p>
    <w:p>
      <w:pPr>
        <w:rPr>
          <w:rFonts w:ascii="Times New Roman" w:hAnsi="Times New Roman" w:cs="Times New Roman"/>
          <w:sz w:val="24"/>
          <w:szCs w:val="24"/>
        </w:rPr>
      </w:pPr>
      <w:r>
        <w:rPr>
          <w:rFonts w:ascii="Times New Roman" w:hAnsi="Times New Roman" w:cs="Times New Roman"/>
          <w:sz w:val="24"/>
          <w:szCs w:val="24"/>
        </w:rPr>
        <w:t xml:space="preserve">           Dr. Olorunfemi Y. Alimi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Date</w:t>
      </w:r>
    </w:p>
    <w:p>
      <w:pPr>
        <w:rPr>
          <w:rFonts w:ascii="Times New Roman" w:hAnsi="Times New Roman" w:cs="Times New Roman"/>
          <w:sz w:val="24"/>
          <w:szCs w:val="24"/>
        </w:rPr>
      </w:pPr>
      <w:r>
        <w:rPr>
          <w:rFonts w:ascii="Times New Roman" w:hAnsi="Times New Roman" w:cs="Times New Roman"/>
          <w:sz w:val="24"/>
          <w:szCs w:val="24"/>
        </w:rPr>
        <w:t xml:space="preserve">                 (Supervisor)</w:t>
      </w: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w:t>
      </w:r>
    </w:p>
    <w:p>
      <w:pPr>
        <w:rPr>
          <w:rFonts w:ascii="Times New Roman" w:hAnsi="Times New Roman" w:cs="Times New Roman"/>
          <w:sz w:val="24"/>
          <w:szCs w:val="24"/>
        </w:rPr>
      </w:pPr>
      <w:r>
        <w:rPr>
          <w:rFonts w:ascii="Times New Roman" w:hAnsi="Times New Roman" w:cs="Times New Roman"/>
          <w:sz w:val="24"/>
          <w:szCs w:val="24"/>
        </w:rPr>
        <w:t xml:space="preserve">           Dr. Olusola O. Ogunjinmi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Date</w:t>
      </w:r>
    </w:p>
    <w:p>
      <w:pPr>
        <w:rPr>
          <w:rFonts w:ascii="Times New Roman" w:hAnsi="Times New Roman" w:cs="Times New Roman"/>
          <w:sz w:val="24"/>
          <w:szCs w:val="24"/>
        </w:rPr>
      </w:pPr>
      <w:r>
        <w:rPr>
          <w:rFonts w:ascii="Times New Roman" w:hAnsi="Times New Roman" w:cs="Times New Roman"/>
          <w:sz w:val="24"/>
          <w:szCs w:val="24"/>
        </w:rPr>
        <w:t xml:space="preserve">                 Head of Department</w:t>
      </w:r>
    </w:p>
    <w:p>
      <w:pPr>
        <w:rPr>
          <w:rFonts w:ascii="Times New Roman" w:hAnsi="Times New Roman" w:cs="Times New Roman"/>
          <w:sz w:val="24"/>
          <w:szCs w:val="24"/>
        </w:rPr>
      </w:pPr>
      <w:r>
        <w:rPr>
          <w:rFonts w:ascii="Times New Roman" w:hAnsi="Times New Roman" w:cs="Times New Roman"/>
          <w:sz w:val="24"/>
          <w:szCs w:val="24"/>
        </w:rPr>
        <w:br w:type="page"/>
      </w:r>
    </w:p>
    <w:p>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Dedication</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This research is dedicated to almighty ALLAH, who in his infinite mercy spared my life up to this present moment and for his grace,care, love and opportunity given to me to be able to achieve my aim during the computation of this thesis.</w:t>
      </w:r>
    </w:p>
    <w:p>
      <w:pPr>
        <w:rPr>
          <w:rFonts w:ascii="Times New Roman" w:hAnsi="Times New Roman" w:cs="Times New Roman"/>
          <w:sz w:val="24"/>
          <w:szCs w:val="24"/>
        </w:rPr>
      </w:pPr>
      <w:r>
        <w:rPr>
          <w:rFonts w:ascii="Times New Roman" w:hAnsi="Times New Roman" w:cs="Times New Roman"/>
          <w:sz w:val="24"/>
          <w:szCs w:val="24"/>
        </w:rPr>
        <w:br w:type="page"/>
      </w:r>
    </w:p>
    <w:p>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Acknowledgements</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 wish to appreciate the Management of Lead City University for the opportunity afforded me to pursue my Postgraduate Studies with the laudable university. My profound gratitude goes to the school library and the school of Post-graduate Studies for the necessary corrections and guidance.</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 would want to convey my heartfelt gratitude to Dr. Olorunfemi. Y.Alimi, my supervisor, for his invaluable advice and assistance in completing my thesis. He was there to assist me every step of the way, and his motivation is what enabled me to accomplish my task effectively. I would also like to thank all the other supporting personnel who assisted me with information and materials that were essential and vital, without which I would not have been able to perform efficiently on this thesis. My profound gratitude goes to our Dean, Faculty of Management and Social Sciences, Professor Omolara Campbell and the Head of Department, Economic Department, Dr. Olusola. O. Ogunjinmi. My warm appreciation goes to my lecturers; Professor Akerele W.O., Dr. Adesina O.O., Dr. Aderinto Esther R., Dr. Ogunro Tolu O., Dr. Oyaromade R., Mr. Emiola Tolu., Mrs. Oduyoye-Ejumedia A., and Miss. F. V. Oniyide, of the Department of Economics for the support and individual contribution to ensure the work comes out unique.</w:t>
      </w:r>
    </w:p>
    <w:p>
      <w:pPr>
        <w:spacing w:after="0" w:line="408" w:lineRule="auto"/>
        <w:jc w:val="both"/>
        <w:rPr>
          <w:rFonts w:ascii="Times New Roman" w:hAnsi="Times New Roman" w:cs="Times New Roman"/>
          <w:sz w:val="24"/>
          <w:szCs w:val="24"/>
        </w:rPr>
      </w:pPr>
      <w:r>
        <w:rPr>
          <w:rFonts w:ascii="Times New Roman" w:hAnsi="Times New Roman" w:cs="Times New Roman"/>
          <w:sz w:val="24"/>
          <w:szCs w:val="24"/>
        </w:rPr>
        <w:t>I would also like to thank my friends and parents for their support and encouragement as I worked on this thesis. Thank you all for your support and encouragement.</w:t>
      </w:r>
    </w:p>
    <w:p>
      <w:pPr>
        <w:spacing w:after="0" w:line="408" w:lineRule="auto"/>
        <w:jc w:val="both"/>
        <w:rPr>
          <w:rFonts w:ascii="Times New Roman" w:hAnsi="Times New Roman" w:cs="Times New Roman"/>
          <w:sz w:val="24"/>
          <w:szCs w:val="24"/>
        </w:rPr>
      </w:pPr>
      <w:r>
        <w:rPr>
          <w:rFonts w:ascii="Times New Roman" w:hAnsi="Times New Roman" w:cs="Times New Roman"/>
          <w:sz w:val="24"/>
          <w:szCs w:val="24"/>
        </w:rPr>
        <w:t>Even though the above-mentioned institutions and persons have assisted in the process of this research work, I alone stand responsible for my errors, if any, found in this work.</w:t>
      </w:r>
    </w:p>
    <w:p>
      <w:pPr>
        <w:spacing w:after="200" w:line="276" w:lineRule="auto"/>
        <w:rPr>
          <w:rFonts w:ascii="Times New Roman" w:hAnsi="Times New Roman" w:eastAsia="Times New Roman" w:cs="Times New Roman"/>
          <w:iCs/>
          <w:sz w:val="24"/>
          <w:szCs w:val="24"/>
        </w:rPr>
      </w:pPr>
      <w:r>
        <w:rPr>
          <w:rFonts w:ascii="Times New Roman" w:hAnsi="Times New Roman" w:eastAsia="Times New Roman" w:cs="Times New Roman"/>
          <w:iCs/>
          <w:sz w:val="24"/>
          <w:szCs w:val="24"/>
        </w:rPr>
        <w:br w:type="page"/>
      </w:r>
    </w:p>
    <w:p>
      <w:pPr>
        <w:spacing w:after="120" w:line="480" w:lineRule="auto"/>
        <w:jc w:val="center"/>
        <w:rPr>
          <w:rFonts w:ascii="Times New Roman" w:hAnsi="Times New Roman" w:cs="Times New Roman"/>
          <w:b/>
          <w:sz w:val="24"/>
          <w:szCs w:val="24"/>
        </w:rPr>
      </w:pPr>
      <w:r>
        <w:rPr>
          <w:rFonts w:ascii="Times New Roman" w:hAnsi="Times New Roman" w:cs="Times New Roman"/>
          <w:b/>
          <w:sz w:val="24"/>
          <w:szCs w:val="24"/>
        </w:rPr>
        <w:t>Abstract</w:t>
      </w:r>
    </w:p>
    <w:p>
      <w:pPr>
        <w:spacing w:after="120" w:line="276" w:lineRule="auto"/>
        <w:jc w:val="both"/>
        <w:rPr>
          <w:rFonts w:ascii="Times New Roman" w:hAnsi="Times New Roman" w:cs="Times New Roman"/>
          <w:sz w:val="24"/>
          <w:szCs w:val="24"/>
        </w:rPr>
      </w:pPr>
      <w:r>
        <w:rPr>
          <w:rFonts w:ascii="Times New Roman" w:hAnsi="Times New Roman" w:cs="Times New Roman"/>
          <w:sz w:val="24"/>
          <w:szCs w:val="24"/>
        </w:rPr>
        <w:t>One major problem arising from the relationship of financial sector development and health outcomes in the Nigerian economy is the lack of comprehensive understanding of how specific financial instruments and institutions influence various health indicators like life expectancy and child mortality.Existing studies often focus on aggregate measures, and there is a need for more in-depth investigations that consider the diverse pathways through which financial sector dynamics such as money, bank and stock markets influence specific health outcomes.</w:t>
      </w:r>
      <w:r>
        <w:rPr>
          <w:rFonts w:ascii="Times New Roman" w:hAnsi="Times New Roman" w:cs="Times New Roman"/>
          <w:bCs/>
          <w:sz w:val="24"/>
          <w:szCs w:val="24"/>
        </w:rPr>
        <w:t xml:space="preserve">This study investigates the effects of money market instruments (monetary policy rate, 12-month deposit rate and treasury bill rate), bank sector (liquidity ratio, loan to deposit ratio and domestic credit), and stock market indices (market capitalization, market stock traded and all share index) on health outcome in Nigeria over the period 1985-2022. Using the ARDL bound testing approach, </w:t>
      </w:r>
      <w:r>
        <w:rPr>
          <w:rFonts w:ascii="Times New Roman" w:hAnsi="Times New Roman" w:cs="Times New Roman"/>
          <w:sz w:val="24"/>
          <w:szCs w:val="24"/>
        </w:rPr>
        <w:t>monetary policy rate and 12-month deposit rate have negative impact on short-run life expectancy in Nigeria. Meanwhile, life expectancy reacted positively to monetary policy rate but negatively affected by treasury bill rate in the long run. Treasury bill rate and 12-month deposit rate positively relate with child mortality rate in the short run.It discovers that liquidity ratio positively influences life expectancy both in the short and long run. The study found that under-5 mortality is positively and significantly influenced by bank sector development measures in the short run. Only liquidity ratio and domestic credit are negatively significant on long-run child mortality.In addition, total stocks transaction value influences life expectancy positively in the short run but negatively in the long run. Also, all share index directly influence life expectancy both in the short and long run. Stock market capitalization negatively influence child mortality both in the short and long run. However, total stock transaction value positively relates to under-5 mortality in the short and long run. All share index has a direct influence on child mortality rate in the short run.</w:t>
      </w:r>
      <w:r>
        <w:rPr>
          <w:rFonts w:ascii="Times New Roman" w:hAnsi="Times New Roman" w:cs="Times New Roman"/>
          <w:bCs/>
          <w:sz w:val="24"/>
          <w:szCs w:val="24"/>
        </w:rPr>
        <w:t>There is a need for the policymakers and government agencies to carefully consider the potential health implications when implementing measures that increase interest rates. Also, they should balance the long-term economic goals with the potential health consequences.</w:t>
      </w:r>
    </w:p>
    <w:p>
      <w:pPr>
        <w:spacing w:after="120" w:line="360" w:lineRule="auto"/>
        <w:ind w:left="1276" w:hanging="1276"/>
        <w:jc w:val="both"/>
        <w:rPr>
          <w:rFonts w:ascii="Times New Roman" w:hAnsi="Times New Roman" w:cs="Times New Roman"/>
          <w:sz w:val="24"/>
          <w:szCs w:val="24"/>
        </w:rPr>
      </w:pPr>
      <w:r>
        <w:rPr>
          <w:rFonts w:ascii="Times New Roman" w:hAnsi="Times New Roman" w:cs="Times New Roman"/>
          <w:b/>
          <w:sz w:val="24"/>
          <w:szCs w:val="24"/>
        </w:rPr>
        <w:t xml:space="preserve">Keywords: </w:t>
      </w:r>
      <w:r>
        <w:rPr>
          <w:rFonts w:ascii="Times New Roman" w:hAnsi="Times New Roman" w:cs="Times New Roman"/>
          <w:sz w:val="24"/>
          <w:szCs w:val="24"/>
        </w:rPr>
        <w:t>Money market, banking sector, stock market, life expectancy, child mortality.</w:t>
      </w:r>
    </w:p>
    <w:p>
      <w:pPr>
        <w:spacing w:after="12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Word Count: </w:t>
      </w:r>
      <w:r>
        <w:rPr>
          <w:rFonts w:ascii="Times New Roman" w:hAnsi="Times New Roman" w:cs="Times New Roman"/>
          <w:sz w:val="24"/>
          <w:szCs w:val="24"/>
        </w:rPr>
        <w:t>288.</w:t>
      </w:r>
    </w:p>
    <w:p>
      <w:pPr>
        <w:spacing w:after="200" w:line="276" w:lineRule="auto"/>
        <w:rPr>
          <w:rFonts w:ascii="Times New Roman" w:hAnsi="Times New Roman" w:cs="Times New Roman"/>
        </w:rPr>
      </w:pPr>
      <w:r>
        <w:rPr>
          <w:rFonts w:ascii="Times New Roman" w:hAnsi="Times New Roman" w:cs="Times New Roman"/>
        </w:rPr>
        <w:br w:type="page"/>
      </w:r>
    </w:p>
    <w:p>
      <w:pPr>
        <w:spacing w:after="0" w:line="480" w:lineRule="auto"/>
        <w:jc w:val="center"/>
        <w:rPr>
          <w:rFonts w:ascii="Times New Roman" w:hAnsi="Times New Roman" w:cs="Times New Roman"/>
          <w:b/>
          <w:bCs/>
          <w:sz w:val="24"/>
          <w:szCs w:val="24"/>
        </w:rPr>
      </w:pPr>
      <w:bookmarkStart w:id="0" w:name="_Hlk151176210"/>
      <w:r>
        <w:rPr>
          <w:rFonts w:ascii="Times New Roman" w:hAnsi="Times New Roman" w:cs="Times New Roman"/>
          <w:b/>
          <w:bCs/>
          <w:sz w:val="24"/>
          <w:szCs w:val="24"/>
        </w:rPr>
        <w:t>Table of Contents</w:t>
      </w:r>
    </w:p>
    <w:tbl>
      <w:tblPr>
        <w:tblStyle w:val="22"/>
        <w:tblW w:w="952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620"/>
        <w:gridCol w:w="315"/>
        <w:gridCol w:w="6675"/>
        <w:gridCol w:w="91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935"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 xml:space="preserve">Title </w:t>
            </w:r>
            <w:r>
              <w:rPr>
                <w:rFonts w:ascii="Times New Roman" w:hAnsi="Times New Roman"/>
                <w:sz w:val="24"/>
                <w:szCs w:val="24"/>
              </w:rPr>
              <w:tab/>
            </w:r>
          </w:p>
        </w:tc>
        <w:tc>
          <w:tcPr>
            <w:tcW w:w="6663" w:type="dxa"/>
          </w:tcPr>
          <w:p>
            <w:pPr>
              <w:spacing w:after="0" w:line="360" w:lineRule="auto"/>
              <w:ind w:right="-63"/>
              <w:jc w:val="center"/>
              <w:rPr>
                <w:rFonts w:ascii="Times New Roman" w:hAnsi="Times New Roman"/>
                <w:b/>
                <w:bCs/>
                <w:sz w:val="24"/>
                <w:szCs w:val="24"/>
              </w:rPr>
            </w:pP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 xml:space="preserve">Page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935"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Title page</w:t>
            </w:r>
          </w:p>
        </w:tc>
        <w:tc>
          <w:tcPr>
            <w:tcW w:w="6663" w:type="dxa"/>
          </w:tcPr>
          <w:p>
            <w:pPr>
              <w:spacing w:after="0" w:line="360" w:lineRule="auto"/>
              <w:ind w:right="-63"/>
              <w:jc w:val="center"/>
              <w:rPr>
                <w:rFonts w:ascii="Times New Roman" w:hAnsi="Times New Roman"/>
                <w:b/>
                <w:bCs/>
                <w:sz w:val="24"/>
                <w:szCs w:val="24"/>
              </w:rPr>
            </w:pP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i</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935"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Certification</w:t>
            </w:r>
          </w:p>
        </w:tc>
        <w:tc>
          <w:tcPr>
            <w:tcW w:w="6663" w:type="dxa"/>
          </w:tcPr>
          <w:p>
            <w:pPr>
              <w:spacing w:after="0" w:line="360" w:lineRule="auto"/>
              <w:ind w:right="-63"/>
              <w:jc w:val="center"/>
              <w:rPr>
                <w:rFonts w:ascii="Times New Roman" w:hAnsi="Times New Roman"/>
                <w:b/>
                <w:bCs/>
                <w:sz w:val="24"/>
                <w:szCs w:val="24"/>
              </w:rPr>
            </w:pP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ii</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935"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Dedication</w:t>
            </w:r>
          </w:p>
        </w:tc>
        <w:tc>
          <w:tcPr>
            <w:tcW w:w="6663" w:type="dxa"/>
          </w:tcPr>
          <w:p>
            <w:pPr>
              <w:spacing w:after="0" w:line="360" w:lineRule="auto"/>
              <w:ind w:right="-63"/>
              <w:jc w:val="center"/>
              <w:rPr>
                <w:rFonts w:ascii="Times New Roman" w:hAnsi="Times New Roman"/>
                <w:b/>
                <w:bCs/>
                <w:sz w:val="24"/>
                <w:szCs w:val="24"/>
              </w:rPr>
            </w:pP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iii</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935"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 xml:space="preserve">Acknowledgment </w:t>
            </w:r>
          </w:p>
        </w:tc>
        <w:tc>
          <w:tcPr>
            <w:tcW w:w="6663" w:type="dxa"/>
          </w:tcPr>
          <w:p>
            <w:pPr>
              <w:spacing w:after="0" w:line="360" w:lineRule="auto"/>
              <w:ind w:right="-63"/>
              <w:jc w:val="center"/>
              <w:rPr>
                <w:rFonts w:ascii="Times New Roman" w:hAnsi="Times New Roman"/>
                <w:b/>
                <w:bCs/>
                <w:sz w:val="24"/>
                <w:szCs w:val="24"/>
              </w:rPr>
            </w:pP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iv</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935"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 xml:space="preserve">Abstract </w:t>
            </w:r>
          </w:p>
        </w:tc>
        <w:tc>
          <w:tcPr>
            <w:tcW w:w="6663" w:type="dxa"/>
          </w:tcPr>
          <w:p>
            <w:pPr>
              <w:spacing w:after="0" w:line="360" w:lineRule="auto"/>
              <w:ind w:right="-63"/>
              <w:jc w:val="center"/>
              <w:rPr>
                <w:rFonts w:ascii="Times New Roman" w:hAnsi="Times New Roman"/>
                <w:b/>
                <w:bCs/>
                <w:sz w:val="24"/>
                <w:szCs w:val="24"/>
              </w:rPr>
            </w:pP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v</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935"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Table of Contents</w:t>
            </w:r>
          </w:p>
        </w:tc>
        <w:tc>
          <w:tcPr>
            <w:tcW w:w="6663" w:type="dxa"/>
          </w:tcPr>
          <w:p>
            <w:pPr>
              <w:spacing w:after="0" w:line="360" w:lineRule="auto"/>
              <w:ind w:right="-63"/>
              <w:jc w:val="center"/>
              <w:rPr>
                <w:rFonts w:ascii="Times New Roman" w:hAnsi="Times New Roman"/>
                <w:b/>
                <w:bCs/>
                <w:sz w:val="24"/>
                <w:szCs w:val="24"/>
              </w:rPr>
            </w:pP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vi</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935"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List of Tables</w:t>
            </w:r>
          </w:p>
        </w:tc>
        <w:tc>
          <w:tcPr>
            <w:tcW w:w="6663" w:type="dxa"/>
          </w:tcPr>
          <w:p>
            <w:pPr>
              <w:spacing w:after="0" w:line="360" w:lineRule="auto"/>
              <w:ind w:right="-63"/>
              <w:jc w:val="center"/>
              <w:rPr>
                <w:rFonts w:ascii="Times New Roman" w:hAnsi="Times New Roman"/>
                <w:b/>
                <w:bCs/>
                <w:sz w:val="24"/>
                <w:szCs w:val="24"/>
              </w:rPr>
            </w:pP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viii</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935"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List of Figures</w:t>
            </w:r>
          </w:p>
        </w:tc>
        <w:tc>
          <w:tcPr>
            <w:tcW w:w="6663" w:type="dxa"/>
          </w:tcPr>
          <w:p>
            <w:pPr>
              <w:spacing w:after="0" w:line="360" w:lineRule="auto"/>
              <w:ind w:right="-63"/>
              <w:jc w:val="center"/>
              <w:rPr>
                <w:rFonts w:ascii="Times New Roman" w:hAnsi="Times New Roman"/>
                <w:b/>
                <w:bCs/>
                <w:sz w:val="24"/>
                <w:szCs w:val="24"/>
              </w:rPr>
            </w:pP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ix</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b/>
                <w:bCs/>
                <w:sz w:val="24"/>
                <w:szCs w:val="24"/>
              </w:rPr>
            </w:pPr>
            <w:r>
              <w:rPr>
                <w:rFonts w:ascii="Times New Roman" w:hAnsi="Times New Roman"/>
                <w:b/>
                <w:bCs/>
                <w:sz w:val="24"/>
                <w:szCs w:val="24"/>
              </w:rPr>
              <w:t>Chapter One</w:t>
            </w:r>
          </w:p>
        </w:tc>
        <w:tc>
          <w:tcPr>
            <w:tcW w:w="6990" w:type="dxa"/>
            <w:gridSpan w:val="2"/>
          </w:tcPr>
          <w:p>
            <w:pPr>
              <w:spacing w:after="0" w:line="360" w:lineRule="auto"/>
              <w:ind w:left="-108" w:right="-63"/>
              <w:rPr>
                <w:rFonts w:ascii="Times New Roman" w:hAnsi="Times New Roman"/>
                <w:b/>
                <w:bCs/>
                <w:sz w:val="24"/>
                <w:szCs w:val="24"/>
              </w:rPr>
            </w:pPr>
            <w:r>
              <w:rPr>
                <w:rFonts w:ascii="Times New Roman" w:hAnsi="Times New Roman"/>
                <w:b/>
                <w:bCs/>
                <w:sz w:val="24"/>
                <w:szCs w:val="24"/>
              </w:rPr>
              <w:t>Introduction</w:t>
            </w:r>
          </w:p>
        </w:tc>
        <w:tc>
          <w:tcPr>
            <w:tcW w:w="918" w:type="dxa"/>
          </w:tcPr>
          <w:p>
            <w:pPr>
              <w:spacing w:after="0" w:line="360" w:lineRule="auto"/>
              <w:ind w:right="-63"/>
              <w:jc w:val="right"/>
              <w:rPr>
                <w:rFonts w:ascii="Times New Roman" w:hAnsi="Times New Roman"/>
                <w:b/>
                <w:bCs/>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b/>
                <w:bCs/>
                <w:sz w:val="24"/>
                <w:szCs w:val="24"/>
              </w:rPr>
            </w:pPr>
            <w:r>
              <w:rPr>
                <w:rFonts w:ascii="Times New Roman" w:hAnsi="Times New Roman"/>
                <w:sz w:val="24"/>
                <w:szCs w:val="24"/>
              </w:rPr>
              <w:t>1.1</w:t>
            </w:r>
            <w:r>
              <w:rPr>
                <w:rFonts w:ascii="Times New Roman" w:hAnsi="Times New Roman"/>
                <w:sz w:val="24"/>
                <w:szCs w:val="24"/>
              </w:rPr>
              <w:tab/>
            </w:r>
          </w:p>
        </w:tc>
        <w:tc>
          <w:tcPr>
            <w:tcW w:w="6990" w:type="dxa"/>
            <w:gridSpan w:val="2"/>
          </w:tcPr>
          <w:p>
            <w:pPr>
              <w:spacing w:after="0" w:line="360" w:lineRule="auto"/>
              <w:ind w:left="-108" w:right="-63"/>
              <w:rPr>
                <w:rFonts w:ascii="Times New Roman" w:hAnsi="Times New Roman"/>
                <w:b/>
                <w:bCs/>
                <w:sz w:val="24"/>
                <w:szCs w:val="24"/>
              </w:rPr>
            </w:pPr>
            <w:r>
              <w:rPr>
                <w:rFonts w:ascii="Times New Roman" w:hAnsi="Times New Roman"/>
                <w:sz w:val="24"/>
                <w:szCs w:val="24"/>
              </w:rPr>
              <w:t>Background to the Study</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b/>
                <w:bCs/>
                <w:sz w:val="24"/>
                <w:szCs w:val="24"/>
              </w:rPr>
            </w:pPr>
            <w:r>
              <w:rPr>
                <w:rFonts w:ascii="Times New Roman" w:hAnsi="Times New Roman"/>
                <w:sz w:val="24"/>
                <w:szCs w:val="24"/>
              </w:rPr>
              <w:t>1.2</w:t>
            </w:r>
            <w:r>
              <w:rPr>
                <w:rFonts w:ascii="Times New Roman" w:hAnsi="Times New Roman"/>
                <w:sz w:val="24"/>
                <w:szCs w:val="24"/>
              </w:rPr>
              <w:tab/>
            </w:r>
          </w:p>
        </w:tc>
        <w:tc>
          <w:tcPr>
            <w:tcW w:w="6990" w:type="dxa"/>
            <w:gridSpan w:val="2"/>
          </w:tcPr>
          <w:p>
            <w:pPr>
              <w:spacing w:after="0" w:line="360" w:lineRule="auto"/>
              <w:ind w:left="-108" w:right="-63"/>
              <w:rPr>
                <w:rFonts w:ascii="Times New Roman" w:hAnsi="Times New Roman"/>
                <w:b/>
                <w:bCs/>
                <w:sz w:val="24"/>
                <w:szCs w:val="24"/>
              </w:rPr>
            </w:pPr>
            <w:r>
              <w:rPr>
                <w:rFonts w:ascii="Times New Roman" w:hAnsi="Times New Roman"/>
                <w:sz w:val="24"/>
                <w:szCs w:val="24"/>
              </w:rPr>
              <w:t>Statement of the Problem</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r>
              <w:rPr>
                <w:rFonts w:ascii="Times New Roman" w:hAnsi="Times New Roman"/>
                <w:sz w:val="24"/>
                <w:szCs w:val="24"/>
              </w:rPr>
              <w:t>1.3</w:t>
            </w:r>
          </w:p>
        </w:tc>
        <w:tc>
          <w:tcPr>
            <w:tcW w:w="6990" w:type="dxa"/>
            <w:gridSpan w:val="2"/>
          </w:tcPr>
          <w:p>
            <w:pPr>
              <w:spacing w:after="0" w:line="360" w:lineRule="auto"/>
              <w:ind w:left="-108" w:right="-63"/>
              <w:rPr>
                <w:rFonts w:ascii="Times New Roman" w:hAnsi="Times New Roman"/>
                <w:b/>
                <w:bCs/>
                <w:sz w:val="24"/>
                <w:szCs w:val="24"/>
              </w:rPr>
            </w:pPr>
            <w:r>
              <w:rPr>
                <w:rFonts w:ascii="Times New Roman" w:hAnsi="Times New Roman"/>
                <w:sz w:val="24"/>
                <w:szCs w:val="24"/>
              </w:rPr>
              <w:t>Research Questions</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b/>
                <w:bCs/>
                <w:sz w:val="24"/>
                <w:szCs w:val="24"/>
              </w:rPr>
            </w:pPr>
            <w:r>
              <w:rPr>
                <w:rFonts w:ascii="Times New Roman" w:hAnsi="Times New Roman"/>
                <w:sz w:val="24"/>
                <w:szCs w:val="24"/>
              </w:rPr>
              <w:t>1.4</w:t>
            </w:r>
            <w:r>
              <w:rPr>
                <w:rFonts w:ascii="Times New Roman" w:hAnsi="Times New Roman"/>
                <w:sz w:val="24"/>
                <w:szCs w:val="24"/>
              </w:rPr>
              <w:tab/>
            </w:r>
          </w:p>
        </w:tc>
        <w:tc>
          <w:tcPr>
            <w:tcW w:w="6990" w:type="dxa"/>
            <w:gridSpan w:val="2"/>
          </w:tcPr>
          <w:p>
            <w:pPr>
              <w:spacing w:after="0" w:line="360" w:lineRule="auto"/>
              <w:ind w:left="-108" w:right="-63"/>
              <w:rPr>
                <w:rFonts w:ascii="Times New Roman" w:hAnsi="Times New Roman"/>
                <w:b/>
                <w:bCs/>
                <w:sz w:val="24"/>
                <w:szCs w:val="24"/>
              </w:rPr>
            </w:pPr>
            <w:r>
              <w:rPr>
                <w:rFonts w:ascii="Times New Roman" w:hAnsi="Times New Roman"/>
                <w:sz w:val="24"/>
                <w:szCs w:val="24"/>
              </w:rPr>
              <w:t>Objectives of the Study</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r>
              <w:rPr>
                <w:rFonts w:ascii="Times New Roman" w:hAnsi="Times New Roman"/>
                <w:sz w:val="24"/>
                <w:szCs w:val="24"/>
              </w:rPr>
              <w:t>1.5</w:t>
            </w:r>
          </w:p>
        </w:tc>
        <w:tc>
          <w:tcPr>
            <w:tcW w:w="6990" w:type="dxa"/>
            <w:gridSpan w:val="2"/>
          </w:tcPr>
          <w:p>
            <w:pPr>
              <w:spacing w:after="0" w:line="360" w:lineRule="auto"/>
              <w:ind w:left="-108" w:right="-63"/>
              <w:rPr>
                <w:rFonts w:ascii="Times New Roman" w:hAnsi="Times New Roman"/>
                <w:b/>
                <w:bCs/>
                <w:sz w:val="24"/>
                <w:szCs w:val="24"/>
              </w:rPr>
            </w:pPr>
            <w:r>
              <w:rPr>
                <w:rFonts w:ascii="Times New Roman" w:hAnsi="Times New Roman"/>
                <w:sz w:val="24"/>
                <w:szCs w:val="24"/>
              </w:rPr>
              <w:t>Hypotheses</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r>
              <w:rPr>
                <w:rFonts w:ascii="Times New Roman" w:hAnsi="Times New Roman"/>
                <w:sz w:val="24"/>
                <w:szCs w:val="24"/>
              </w:rPr>
              <w:t>1.6</w:t>
            </w:r>
          </w:p>
        </w:tc>
        <w:tc>
          <w:tcPr>
            <w:tcW w:w="6990" w:type="dxa"/>
            <w:gridSpan w:val="2"/>
          </w:tcPr>
          <w:p>
            <w:pPr>
              <w:spacing w:after="0" w:line="360" w:lineRule="auto"/>
              <w:ind w:left="-108" w:right="-63"/>
              <w:rPr>
                <w:rFonts w:ascii="Times New Roman" w:hAnsi="Times New Roman"/>
                <w:b/>
                <w:bCs/>
                <w:sz w:val="24"/>
                <w:szCs w:val="24"/>
              </w:rPr>
            </w:pPr>
            <w:r>
              <w:rPr>
                <w:rFonts w:ascii="Times New Roman" w:hAnsi="Times New Roman"/>
                <w:sz w:val="24"/>
                <w:szCs w:val="24"/>
              </w:rPr>
              <w:t>Scope of the Study</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r>
              <w:rPr>
                <w:rFonts w:ascii="Times New Roman" w:hAnsi="Times New Roman"/>
                <w:sz w:val="24"/>
                <w:szCs w:val="24"/>
              </w:rPr>
              <w:t>1.7</w:t>
            </w:r>
          </w:p>
        </w:tc>
        <w:tc>
          <w:tcPr>
            <w:tcW w:w="6990" w:type="dxa"/>
            <w:gridSpan w:val="2"/>
          </w:tcPr>
          <w:p>
            <w:pPr>
              <w:spacing w:after="0" w:line="360" w:lineRule="auto"/>
              <w:ind w:left="-108" w:right="-63"/>
              <w:rPr>
                <w:rFonts w:ascii="Times New Roman" w:hAnsi="Times New Roman"/>
                <w:b/>
                <w:bCs/>
                <w:sz w:val="24"/>
                <w:szCs w:val="24"/>
              </w:rPr>
            </w:pPr>
            <w:r>
              <w:rPr>
                <w:rFonts w:ascii="Times New Roman" w:hAnsi="Times New Roman"/>
                <w:sz w:val="24"/>
                <w:szCs w:val="24"/>
              </w:rPr>
              <w:t>Significance of the Study</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r>
              <w:rPr>
                <w:rFonts w:ascii="Times New Roman" w:hAnsi="Times New Roman"/>
                <w:sz w:val="24"/>
                <w:szCs w:val="24"/>
              </w:rPr>
              <w:t>1.8</w:t>
            </w:r>
          </w:p>
        </w:tc>
        <w:tc>
          <w:tcPr>
            <w:tcW w:w="6990"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Operational Definition of Terms</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jc w:val="center"/>
              <w:rPr>
                <w:rFonts w:ascii="Times New Roman" w:hAnsi="Times New Roman"/>
                <w:b/>
                <w:bCs/>
                <w:sz w:val="24"/>
                <w:szCs w:val="24"/>
              </w:rPr>
            </w:pPr>
          </w:p>
        </w:tc>
        <w:tc>
          <w:tcPr>
            <w:tcW w:w="6990" w:type="dxa"/>
            <w:gridSpan w:val="2"/>
          </w:tcPr>
          <w:p>
            <w:pPr>
              <w:spacing w:after="0" w:line="360" w:lineRule="auto"/>
              <w:ind w:left="-108" w:right="-63"/>
              <w:rPr>
                <w:rFonts w:ascii="Times New Roman" w:hAnsi="Times New Roman"/>
                <w:b/>
                <w:bCs/>
                <w:sz w:val="24"/>
                <w:szCs w:val="24"/>
              </w:rPr>
            </w:pPr>
            <w:r>
              <w:rPr>
                <w:rFonts w:ascii="Times New Roman" w:hAnsi="Times New Roman"/>
                <w:sz w:val="24"/>
                <w:szCs w:val="24"/>
              </w:rPr>
              <w:t>Endnotes</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b/>
                <w:bCs/>
                <w:sz w:val="24"/>
                <w:szCs w:val="24"/>
              </w:rPr>
            </w:pPr>
            <w:r>
              <w:rPr>
                <w:rFonts w:ascii="Times New Roman" w:hAnsi="Times New Roman"/>
                <w:b/>
                <w:bCs/>
                <w:sz w:val="24"/>
                <w:szCs w:val="24"/>
              </w:rPr>
              <w:t>Chapter Two</w:t>
            </w:r>
          </w:p>
        </w:tc>
        <w:tc>
          <w:tcPr>
            <w:tcW w:w="6990" w:type="dxa"/>
            <w:gridSpan w:val="2"/>
          </w:tcPr>
          <w:p>
            <w:pPr>
              <w:spacing w:after="0" w:line="360" w:lineRule="auto"/>
              <w:ind w:left="-108" w:right="-63"/>
              <w:rPr>
                <w:rFonts w:ascii="Times New Roman" w:hAnsi="Times New Roman"/>
                <w:b/>
                <w:bCs/>
                <w:sz w:val="24"/>
                <w:szCs w:val="24"/>
              </w:rPr>
            </w:pPr>
            <w:r>
              <w:rPr>
                <w:rFonts w:ascii="Times New Roman" w:hAnsi="Times New Roman"/>
                <w:b/>
                <w:bCs/>
                <w:sz w:val="24"/>
                <w:szCs w:val="24"/>
              </w:rPr>
              <w:t xml:space="preserve">Literature Review </w:t>
            </w:r>
            <w:r>
              <w:rPr>
                <w:rFonts w:ascii="Times New Roman" w:hAnsi="Times New Roman"/>
                <w:b/>
                <w:sz w:val="24"/>
                <w:szCs w:val="24"/>
              </w:rPr>
              <w:t>and Theoretical Framework</w:t>
            </w:r>
          </w:p>
        </w:tc>
        <w:tc>
          <w:tcPr>
            <w:tcW w:w="918" w:type="dxa"/>
          </w:tcPr>
          <w:p>
            <w:pPr>
              <w:spacing w:after="0" w:line="360" w:lineRule="auto"/>
              <w:ind w:right="-63"/>
              <w:jc w:val="right"/>
              <w:rPr>
                <w:rFonts w:ascii="Times New Roman" w:hAnsi="Times New Roman"/>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r>
              <w:rPr>
                <w:rFonts w:ascii="Times New Roman" w:hAnsi="Times New Roman"/>
                <w:sz w:val="24"/>
                <w:szCs w:val="24"/>
              </w:rPr>
              <w:t>2.1</w:t>
            </w:r>
          </w:p>
        </w:tc>
        <w:tc>
          <w:tcPr>
            <w:tcW w:w="6990"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Conceptual Review</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r>
              <w:rPr>
                <w:rFonts w:ascii="Times New Roman" w:hAnsi="Times New Roman"/>
                <w:sz w:val="24"/>
                <w:szCs w:val="24"/>
              </w:rPr>
              <w:t>2.2</w:t>
            </w:r>
          </w:p>
        </w:tc>
        <w:tc>
          <w:tcPr>
            <w:tcW w:w="6990"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Theoretical Review</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r>
              <w:rPr>
                <w:rFonts w:ascii="Times New Roman" w:hAnsi="Times New Roman"/>
                <w:sz w:val="24"/>
                <w:szCs w:val="24"/>
              </w:rPr>
              <w:t>2.3</w:t>
            </w:r>
          </w:p>
        </w:tc>
        <w:tc>
          <w:tcPr>
            <w:tcW w:w="6990"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Empirical Review</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r>
              <w:rPr>
                <w:rFonts w:ascii="Times New Roman" w:hAnsi="Times New Roman"/>
                <w:sz w:val="24"/>
                <w:szCs w:val="24"/>
              </w:rPr>
              <w:t>2.4</w:t>
            </w:r>
          </w:p>
        </w:tc>
        <w:tc>
          <w:tcPr>
            <w:tcW w:w="6990"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Summary of Gaps in Literature Reviewed</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r>
              <w:rPr>
                <w:rFonts w:ascii="Times New Roman" w:hAnsi="Times New Roman"/>
                <w:sz w:val="24"/>
                <w:szCs w:val="24"/>
              </w:rPr>
              <w:t>2.5</w:t>
            </w:r>
          </w:p>
        </w:tc>
        <w:tc>
          <w:tcPr>
            <w:tcW w:w="6990"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Theoretical Framework</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p>
        </w:tc>
        <w:tc>
          <w:tcPr>
            <w:tcW w:w="6990"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Endnotes</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192"/>
              <w:rPr>
                <w:rFonts w:ascii="Times New Roman" w:hAnsi="Times New Roman"/>
                <w:sz w:val="24"/>
                <w:szCs w:val="24"/>
              </w:rPr>
            </w:pPr>
            <w:r>
              <w:rPr>
                <w:rFonts w:ascii="Times New Roman" w:hAnsi="Times New Roman"/>
                <w:b/>
                <w:bCs/>
                <w:sz w:val="24"/>
                <w:szCs w:val="24"/>
              </w:rPr>
              <w:t>Chapter Three</w:t>
            </w:r>
          </w:p>
        </w:tc>
        <w:tc>
          <w:tcPr>
            <w:tcW w:w="6990" w:type="dxa"/>
            <w:gridSpan w:val="2"/>
          </w:tcPr>
          <w:p>
            <w:pPr>
              <w:spacing w:after="0" w:line="360" w:lineRule="auto"/>
              <w:ind w:left="-108" w:right="-63"/>
              <w:rPr>
                <w:rFonts w:ascii="Times New Roman" w:hAnsi="Times New Roman"/>
                <w:sz w:val="24"/>
                <w:szCs w:val="24"/>
              </w:rPr>
            </w:pPr>
            <w:r>
              <w:rPr>
                <w:rFonts w:ascii="Times New Roman" w:hAnsi="Times New Roman"/>
                <w:b/>
                <w:bCs/>
                <w:sz w:val="24"/>
                <w:szCs w:val="24"/>
              </w:rPr>
              <w:t>Methodology</w:t>
            </w:r>
          </w:p>
        </w:tc>
        <w:tc>
          <w:tcPr>
            <w:tcW w:w="918" w:type="dxa"/>
          </w:tcPr>
          <w:p>
            <w:pPr>
              <w:spacing w:after="0" w:line="360" w:lineRule="auto"/>
              <w:ind w:right="-63"/>
              <w:jc w:val="right"/>
              <w:rPr>
                <w:rFonts w:ascii="Times New Roman" w:hAnsi="Times New Roman"/>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r>
              <w:rPr>
                <w:rFonts w:ascii="Times New Roman" w:hAnsi="Times New Roman"/>
                <w:sz w:val="24"/>
                <w:szCs w:val="24"/>
              </w:rPr>
              <w:t>3.1</w:t>
            </w:r>
          </w:p>
        </w:tc>
        <w:tc>
          <w:tcPr>
            <w:tcW w:w="6990" w:type="dxa"/>
            <w:gridSpan w:val="2"/>
          </w:tcPr>
          <w:p>
            <w:pPr>
              <w:spacing w:after="0" w:line="360" w:lineRule="auto"/>
              <w:ind w:left="-108" w:right="-63"/>
              <w:rPr>
                <w:rFonts w:ascii="Times New Roman" w:hAnsi="Times New Roman"/>
                <w:b/>
                <w:bCs/>
                <w:sz w:val="24"/>
                <w:szCs w:val="24"/>
              </w:rPr>
            </w:pPr>
            <w:r>
              <w:rPr>
                <w:rFonts w:ascii="Times New Roman" w:hAnsi="Times New Roman"/>
                <w:sz w:val="24"/>
                <w:szCs w:val="24"/>
              </w:rPr>
              <w:t>Model Specification</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r>
              <w:rPr>
                <w:rFonts w:ascii="Times New Roman" w:hAnsi="Times New Roman"/>
                <w:sz w:val="24"/>
                <w:szCs w:val="24"/>
              </w:rPr>
              <w:t>3.2</w:t>
            </w:r>
          </w:p>
        </w:tc>
        <w:tc>
          <w:tcPr>
            <w:tcW w:w="6990" w:type="dxa"/>
            <w:gridSpan w:val="2"/>
          </w:tcPr>
          <w:p>
            <w:pPr>
              <w:spacing w:after="0" w:line="360" w:lineRule="auto"/>
              <w:ind w:left="-108" w:right="-63"/>
              <w:rPr>
                <w:rFonts w:ascii="Times New Roman" w:hAnsi="Times New Roman" w:eastAsia="Times New Roman"/>
                <w:sz w:val="24"/>
                <w:szCs w:val="24"/>
              </w:rPr>
            </w:pPr>
            <w:r>
              <w:rPr>
                <w:rFonts w:ascii="Times New Roman" w:hAnsi="Times New Roman"/>
                <w:sz w:val="24"/>
                <w:szCs w:val="24"/>
              </w:rPr>
              <w:t>Theoretical Expectation</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r>
              <w:rPr>
                <w:rFonts w:ascii="Times New Roman" w:hAnsi="Times New Roman"/>
                <w:sz w:val="24"/>
                <w:szCs w:val="24"/>
              </w:rPr>
              <w:t>3.3</w:t>
            </w:r>
          </w:p>
        </w:tc>
        <w:tc>
          <w:tcPr>
            <w:tcW w:w="6990" w:type="dxa"/>
            <w:gridSpan w:val="2"/>
          </w:tcPr>
          <w:p>
            <w:pPr>
              <w:spacing w:after="0" w:line="360" w:lineRule="auto"/>
              <w:ind w:left="-108" w:right="-63"/>
              <w:rPr>
                <w:rFonts w:ascii="Times New Roman" w:hAnsi="Times New Roman"/>
                <w:i/>
                <w:sz w:val="24"/>
                <w:szCs w:val="24"/>
              </w:rPr>
            </w:pPr>
            <w:r>
              <w:rPr>
                <w:rFonts w:ascii="Times New Roman" w:hAnsi="Times New Roman"/>
                <w:sz w:val="24"/>
                <w:szCs w:val="24"/>
              </w:rPr>
              <w:t>Data Requirements and Sources</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r>
              <w:rPr>
                <w:rFonts w:ascii="Times New Roman" w:hAnsi="Times New Roman"/>
                <w:sz w:val="24"/>
                <w:szCs w:val="24"/>
              </w:rPr>
              <w:t>3.4</w:t>
            </w:r>
          </w:p>
        </w:tc>
        <w:tc>
          <w:tcPr>
            <w:tcW w:w="6990"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Estimation Techniques</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p>
        </w:tc>
        <w:tc>
          <w:tcPr>
            <w:tcW w:w="6990" w:type="dxa"/>
            <w:gridSpan w:val="2"/>
          </w:tcPr>
          <w:p>
            <w:pPr>
              <w:spacing w:after="0" w:line="360" w:lineRule="auto"/>
              <w:ind w:left="-108" w:right="-63"/>
              <w:rPr>
                <w:rFonts w:ascii="Times New Roman" w:hAnsi="Times New Roman"/>
                <w:sz w:val="24"/>
                <w:szCs w:val="24"/>
              </w:rPr>
            </w:pPr>
            <w:r>
              <w:rPr>
                <w:rFonts w:ascii="Times New Roman" w:hAnsi="Times New Roman"/>
                <w:bCs/>
                <w:sz w:val="24"/>
                <w:szCs w:val="24"/>
              </w:rPr>
              <w:t>Endnotes</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r>
              <w:rPr>
                <w:rFonts w:ascii="Times New Roman" w:hAnsi="Times New Roman"/>
                <w:b/>
                <w:sz w:val="24"/>
                <w:szCs w:val="24"/>
              </w:rPr>
              <w:t>Chapter Four</w:t>
            </w:r>
          </w:p>
        </w:tc>
        <w:tc>
          <w:tcPr>
            <w:tcW w:w="6990" w:type="dxa"/>
            <w:gridSpan w:val="2"/>
          </w:tcPr>
          <w:p>
            <w:pPr>
              <w:spacing w:after="0" w:line="360" w:lineRule="auto"/>
              <w:ind w:left="-108" w:right="-63"/>
              <w:rPr>
                <w:rFonts w:ascii="Times New Roman" w:hAnsi="Times New Roman"/>
                <w:bCs/>
                <w:sz w:val="24"/>
                <w:szCs w:val="24"/>
              </w:rPr>
            </w:pPr>
            <w:r>
              <w:rPr>
                <w:rFonts w:ascii="Times New Roman" w:hAnsi="Times New Roman"/>
                <w:b/>
                <w:sz w:val="24"/>
                <w:szCs w:val="24"/>
              </w:rPr>
              <w:t>Result and Discussion of Findings</w:t>
            </w:r>
          </w:p>
        </w:tc>
        <w:tc>
          <w:tcPr>
            <w:tcW w:w="918" w:type="dxa"/>
          </w:tcPr>
          <w:p>
            <w:pPr>
              <w:spacing w:after="0" w:line="360" w:lineRule="auto"/>
              <w:ind w:right="-63"/>
              <w:jc w:val="right"/>
              <w:rPr>
                <w:rFonts w:ascii="Times New Roman" w:hAnsi="Times New Roman"/>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r>
              <w:rPr>
                <w:rFonts w:ascii="Times New Roman" w:hAnsi="Times New Roman"/>
                <w:sz w:val="24"/>
                <w:szCs w:val="24"/>
              </w:rPr>
              <w:t>4.1</w:t>
            </w:r>
          </w:p>
        </w:tc>
        <w:tc>
          <w:tcPr>
            <w:tcW w:w="6990" w:type="dxa"/>
            <w:gridSpan w:val="2"/>
          </w:tcPr>
          <w:p>
            <w:pPr>
              <w:spacing w:after="0" w:line="360" w:lineRule="auto"/>
              <w:ind w:left="-108" w:right="-63"/>
              <w:rPr>
                <w:rFonts w:ascii="Times New Roman" w:hAnsi="Times New Roman"/>
                <w:b/>
                <w:sz w:val="24"/>
                <w:szCs w:val="24"/>
              </w:rPr>
            </w:pPr>
            <w:r>
              <w:rPr>
                <w:rFonts w:ascii="Times New Roman" w:hAnsi="Times New Roman"/>
                <w:sz w:val="24"/>
                <w:szCs w:val="24"/>
              </w:rPr>
              <w:t>Data Presentation</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r>
              <w:rPr>
                <w:rFonts w:ascii="Times New Roman" w:hAnsi="Times New Roman"/>
                <w:sz w:val="24"/>
                <w:szCs w:val="24"/>
              </w:rPr>
              <w:t>4.2</w:t>
            </w:r>
          </w:p>
        </w:tc>
        <w:tc>
          <w:tcPr>
            <w:tcW w:w="6990"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Presentation of Results</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62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r>
              <w:rPr>
                <w:rFonts w:ascii="Times New Roman" w:hAnsi="Times New Roman"/>
                <w:sz w:val="24"/>
                <w:szCs w:val="24"/>
              </w:rPr>
              <w:t>4.2.1</w:t>
            </w:r>
          </w:p>
        </w:tc>
        <w:tc>
          <w:tcPr>
            <w:tcW w:w="6990"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Summary Statistics</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62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r>
              <w:rPr>
                <w:rFonts w:ascii="Times New Roman" w:hAnsi="Times New Roman"/>
                <w:sz w:val="24"/>
                <w:szCs w:val="24"/>
              </w:rPr>
              <w:t>4.2.2</w:t>
            </w:r>
          </w:p>
        </w:tc>
        <w:tc>
          <w:tcPr>
            <w:tcW w:w="6990"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Correlation Analysis</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r>
              <w:rPr>
                <w:rFonts w:ascii="Times New Roman" w:hAnsi="Times New Roman"/>
                <w:sz w:val="24"/>
                <w:szCs w:val="24"/>
              </w:rPr>
              <w:t>4.3</w:t>
            </w:r>
          </w:p>
        </w:tc>
        <w:tc>
          <w:tcPr>
            <w:tcW w:w="6990"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Pre-Estimation Tests (Unit Root Test)</w:t>
            </w:r>
            <w:r>
              <w:rPr>
                <w:rFonts w:ascii="Times New Roman" w:hAnsi="Times New Roman"/>
                <w:sz w:val="24"/>
                <w:szCs w:val="24"/>
              </w:rPr>
              <w:tab/>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r>
              <w:rPr>
                <w:rFonts w:ascii="Times New Roman" w:hAnsi="Times New Roman"/>
                <w:sz w:val="24"/>
                <w:szCs w:val="24"/>
              </w:rPr>
              <w:t>4.4</w:t>
            </w:r>
          </w:p>
        </w:tc>
        <w:tc>
          <w:tcPr>
            <w:tcW w:w="6990"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Presentation of Empirical Results</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sz w:val="24"/>
                <w:szCs w:val="24"/>
              </w:rPr>
            </w:pPr>
            <w:r>
              <w:rPr>
                <w:rFonts w:ascii="Times New Roman" w:hAnsi="Times New Roman"/>
                <w:sz w:val="24"/>
                <w:szCs w:val="24"/>
              </w:rPr>
              <w:t>4.5</w:t>
            </w:r>
          </w:p>
        </w:tc>
        <w:tc>
          <w:tcPr>
            <w:tcW w:w="6990"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Discussion of Findings</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111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b/>
                <w:sz w:val="24"/>
                <w:szCs w:val="24"/>
              </w:rPr>
            </w:pPr>
          </w:p>
        </w:tc>
        <w:tc>
          <w:tcPr>
            <w:tcW w:w="6990"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Endnotes</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114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b/>
                <w:sz w:val="24"/>
                <w:szCs w:val="24"/>
              </w:rPr>
            </w:pPr>
            <w:r>
              <w:rPr>
                <w:rFonts w:ascii="Times New Roman" w:hAnsi="Times New Roman"/>
                <w:b/>
                <w:sz w:val="24"/>
                <w:szCs w:val="24"/>
              </w:rPr>
              <w:t>Chapter Five</w:t>
            </w:r>
          </w:p>
        </w:tc>
        <w:tc>
          <w:tcPr>
            <w:tcW w:w="6990" w:type="dxa"/>
            <w:gridSpan w:val="2"/>
          </w:tcPr>
          <w:p>
            <w:pPr>
              <w:spacing w:after="0" w:line="360" w:lineRule="auto"/>
              <w:ind w:left="-108" w:right="-63"/>
              <w:rPr>
                <w:rFonts w:ascii="Times New Roman" w:hAnsi="Times New Roman"/>
                <w:sz w:val="24"/>
                <w:szCs w:val="24"/>
              </w:rPr>
            </w:pPr>
            <w:r>
              <w:rPr>
                <w:rFonts w:ascii="Times New Roman" w:hAnsi="Times New Roman"/>
                <w:b/>
                <w:sz w:val="24"/>
                <w:szCs w:val="24"/>
              </w:rPr>
              <w:t>Conclusion</w:t>
            </w:r>
          </w:p>
        </w:tc>
        <w:tc>
          <w:tcPr>
            <w:tcW w:w="918" w:type="dxa"/>
          </w:tcPr>
          <w:p>
            <w:pPr>
              <w:spacing w:after="0" w:line="360" w:lineRule="auto"/>
              <w:ind w:right="-63"/>
              <w:jc w:val="right"/>
              <w:rPr>
                <w:rFonts w:ascii="Times New Roman" w:hAnsi="Times New Roman"/>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bCs/>
                <w:sz w:val="24"/>
                <w:szCs w:val="24"/>
              </w:rPr>
            </w:pPr>
            <w:r>
              <w:rPr>
                <w:rFonts w:ascii="Times New Roman" w:hAnsi="Times New Roman"/>
                <w:bCs/>
                <w:sz w:val="24"/>
                <w:szCs w:val="24"/>
              </w:rPr>
              <w:t>5.1</w:t>
            </w:r>
          </w:p>
        </w:tc>
        <w:tc>
          <w:tcPr>
            <w:tcW w:w="6990" w:type="dxa"/>
            <w:gridSpan w:val="2"/>
          </w:tcPr>
          <w:p>
            <w:pPr>
              <w:spacing w:after="0" w:line="360" w:lineRule="auto"/>
              <w:ind w:left="-108" w:right="-63"/>
              <w:rPr>
                <w:rFonts w:ascii="Times New Roman" w:hAnsi="Times New Roman"/>
                <w:b/>
                <w:sz w:val="24"/>
                <w:szCs w:val="24"/>
              </w:rPr>
            </w:pPr>
            <w:r>
              <w:rPr>
                <w:rFonts w:ascii="Times New Roman" w:hAnsi="Times New Roman"/>
                <w:sz w:val="24"/>
                <w:szCs w:val="24"/>
              </w:rPr>
              <w:t>Summary</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115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bCs/>
                <w:sz w:val="24"/>
                <w:szCs w:val="24"/>
              </w:rPr>
            </w:pPr>
            <w:r>
              <w:rPr>
                <w:rFonts w:ascii="Times New Roman" w:hAnsi="Times New Roman"/>
                <w:bCs/>
                <w:sz w:val="24"/>
                <w:szCs w:val="24"/>
              </w:rPr>
              <w:t>5.2</w:t>
            </w:r>
          </w:p>
        </w:tc>
        <w:tc>
          <w:tcPr>
            <w:tcW w:w="6990" w:type="dxa"/>
            <w:gridSpan w:val="2"/>
          </w:tcPr>
          <w:p>
            <w:pPr>
              <w:spacing w:after="0" w:line="360" w:lineRule="auto"/>
              <w:ind w:left="-108" w:right="-63"/>
              <w:rPr>
                <w:rFonts w:ascii="Times New Roman" w:hAnsi="Times New Roman"/>
                <w:b/>
                <w:sz w:val="24"/>
                <w:szCs w:val="24"/>
              </w:rPr>
            </w:pPr>
            <w:r>
              <w:rPr>
                <w:rFonts w:ascii="Times New Roman" w:hAnsi="Times New Roman"/>
                <w:sz w:val="24"/>
                <w:szCs w:val="24"/>
              </w:rPr>
              <w:t>Conclusion</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117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bCs/>
                <w:sz w:val="24"/>
                <w:szCs w:val="24"/>
              </w:rPr>
            </w:pPr>
            <w:r>
              <w:rPr>
                <w:rFonts w:ascii="Times New Roman" w:hAnsi="Times New Roman"/>
                <w:bCs/>
                <w:sz w:val="24"/>
                <w:szCs w:val="24"/>
              </w:rPr>
              <w:t>5.3</w:t>
            </w:r>
          </w:p>
        </w:tc>
        <w:tc>
          <w:tcPr>
            <w:tcW w:w="6990"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Recommendations</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118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bCs/>
                <w:sz w:val="24"/>
                <w:szCs w:val="24"/>
              </w:rPr>
            </w:pPr>
            <w:r>
              <w:rPr>
                <w:rFonts w:ascii="Times New Roman" w:hAnsi="Times New Roman"/>
                <w:bCs/>
                <w:sz w:val="24"/>
                <w:szCs w:val="24"/>
              </w:rPr>
              <w:t>5.4</w:t>
            </w:r>
          </w:p>
        </w:tc>
        <w:tc>
          <w:tcPr>
            <w:tcW w:w="6990"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Contribution to Knowledge</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119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bCs/>
                <w:sz w:val="24"/>
                <w:szCs w:val="24"/>
              </w:rPr>
            </w:pPr>
            <w:r>
              <w:rPr>
                <w:rFonts w:ascii="Times New Roman" w:hAnsi="Times New Roman"/>
                <w:bCs/>
                <w:sz w:val="24"/>
                <w:szCs w:val="24"/>
              </w:rPr>
              <w:t>5.5</w:t>
            </w:r>
          </w:p>
        </w:tc>
        <w:tc>
          <w:tcPr>
            <w:tcW w:w="6990" w:type="dxa"/>
            <w:gridSpan w:val="2"/>
          </w:tcPr>
          <w:p>
            <w:pPr>
              <w:spacing w:after="0" w:line="360" w:lineRule="auto"/>
              <w:ind w:left="-108" w:right="-63"/>
              <w:rPr>
                <w:rFonts w:ascii="Times New Roman" w:hAnsi="Times New Roman"/>
                <w:sz w:val="24"/>
                <w:szCs w:val="24"/>
              </w:rPr>
            </w:pPr>
            <w:r>
              <w:rPr>
                <w:rFonts w:ascii="Times New Roman" w:hAnsi="Times New Roman"/>
                <w:sz w:val="24"/>
                <w:szCs w:val="24"/>
              </w:rPr>
              <w:t>Suggestions for Further Studies</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120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b/>
                <w:sz w:val="24"/>
                <w:szCs w:val="24"/>
              </w:rPr>
            </w:pPr>
          </w:p>
        </w:tc>
        <w:tc>
          <w:tcPr>
            <w:tcW w:w="6990" w:type="dxa"/>
            <w:gridSpan w:val="2"/>
          </w:tcPr>
          <w:p>
            <w:pPr>
              <w:spacing w:after="0" w:line="360" w:lineRule="auto"/>
              <w:ind w:left="-108" w:right="-63"/>
              <w:rPr>
                <w:rFonts w:ascii="Times New Roman" w:hAnsi="Times New Roman"/>
                <w:b/>
                <w:sz w:val="24"/>
                <w:szCs w:val="24"/>
              </w:rPr>
            </w:pPr>
            <w:r>
              <w:rPr>
                <w:rFonts w:ascii="Times New Roman" w:hAnsi="Times New Roman"/>
                <w:b/>
                <w:sz w:val="24"/>
                <w:szCs w:val="24"/>
              </w:rPr>
              <w:t>Bibliography</w:t>
            </w:r>
            <w:r>
              <w:rPr>
                <w:rFonts w:ascii="Times New Roman" w:hAnsi="Times New Roman"/>
                <w:b/>
                <w:sz w:val="24"/>
                <w:szCs w:val="24"/>
              </w:rPr>
              <w:tab/>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121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b/>
                <w:sz w:val="24"/>
                <w:szCs w:val="24"/>
              </w:rPr>
            </w:pPr>
          </w:p>
        </w:tc>
        <w:tc>
          <w:tcPr>
            <w:tcW w:w="6990" w:type="dxa"/>
            <w:gridSpan w:val="2"/>
          </w:tcPr>
          <w:p>
            <w:pPr>
              <w:spacing w:after="0" w:line="360" w:lineRule="auto"/>
              <w:ind w:left="-108" w:right="-63"/>
              <w:rPr>
                <w:rFonts w:ascii="Times New Roman" w:hAnsi="Times New Roman"/>
                <w:b/>
                <w:sz w:val="24"/>
                <w:szCs w:val="24"/>
              </w:rPr>
            </w:pPr>
            <w:r>
              <w:rPr>
                <w:rFonts w:ascii="Times New Roman" w:hAnsi="Times New Roman"/>
                <w:b/>
                <w:sz w:val="24"/>
                <w:szCs w:val="24"/>
              </w:rPr>
              <w:t>Appendix</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126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b/>
                <w:sz w:val="24"/>
                <w:szCs w:val="24"/>
              </w:rPr>
            </w:pPr>
          </w:p>
        </w:tc>
        <w:tc>
          <w:tcPr>
            <w:tcW w:w="6990" w:type="dxa"/>
            <w:gridSpan w:val="2"/>
          </w:tcPr>
          <w:p>
            <w:pPr>
              <w:spacing w:after="0" w:line="360" w:lineRule="auto"/>
              <w:ind w:left="-108" w:right="-63"/>
              <w:rPr>
                <w:rFonts w:ascii="Times New Roman" w:hAnsi="Times New Roman"/>
                <w:b/>
                <w:sz w:val="24"/>
                <w:szCs w:val="24"/>
              </w:rPr>
            </w:pPr>
            <w:r>
              <w:rPr>
                <w:rFonts w:ascii="Times New Roman" w:hAnsi="Times New Roman"/>
                <w:b/>
                <w:sz w:val="24"/>
                <w:szCs w:val="24"/>
              </w:rPr>
              <w:t>Biodata</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207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620" w:type="dxa"/>
          </w:tcPr>
          <w:p>
            <w:pPr>
              <w:spacing w:after="0" w:line="360" w:lineRule="auto"/>
              <w:ind w:left="-108" w:right="-63"/>
              <w:rPr>
                <w:rFonts w:ascii="Times New Roman" w:hAnsi="Times New Roman"/>
                <w:b/>
                <w:sz w:val="24"/>
                <w:szCs w:val="24"/>
              </w:rPr>
            </w:pPr>
          </w:p>
        </w:tc>
        <w:tc>
          <w:tcPr>
            <w:tcW w:w="6990" w:type="dxa"/>
            <w:gridSpan w:val="2"/>
          </w:tcPr>
          <w:p>
            <w:pPr>
              <w:spacing w:after="0" w:line="360" w:lineRule="auto"/>
              <w:ind w:left="-108" w:right="-63"/>
              <w:rPr>
                <w:rFonts w:ascii="Times New Roman" w:hAnsi="Times New Roman"/>
                <w:b/>
                <w:sz w:val="24"/>
                <w:szCs w:val="24"/>
              </w:rPr>
            </w:pPr>
            <w:r>
              <w:rPr>
                <w:rFonts w:ascii="Times New Roman" w:hAnsi="Times New Roman"/>
                <w:b/>
                <w:sz w:val="24"/>
                <w:szCs w:val="24"/>
              </w:rPr>
              <w:t>University Compliance Certification</w:t>
            </w:r>
          </w:p>
        </w:tc>
        <w:tc>
          <w:tcPr>
            <w:tcW w:w="918" w:type="dxa"/>
          </w:tcPr>
          <w:p>
            <w:pPr>
              <w:spacing w:after="0" w:line="360" w:lineRule="auto"/>
              <w:ind w:right="-63"/>
              <w:jc w:val="right"/>
              <w:rPr>
                <w:rFonts w:ascii="Times New Roman" w:hAnsi="Times New Roman"/>
                <w:sz w:val="24"/>
                <w:szCs w:val="24"/>
              </w:rPr>
            </w:pPr>
            <w:r>
              <w:rPr>
                <w:rFonts w:ascii="Times New Roman" w:hAnsi="Times New Roman"/>
                <w:sz w:val="24"/>
                <w:szCs w:val="24"/>
              </w:rPr>
              <w:t>208</w:t>
            </w:r>
          </w:p>
        </w:tc>
      </w:tr>
    </w:tbl>
    <w:p>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br w:type="page"/>
      </w:r>
    </w:p>
    <w:bookmarkEnd w:id="0"/>
    <w:p>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List of Tables</w:t>
      </w:r>
    </w:p>
    <w:tbl>
      <w:tblPr>
        <w:tblStyle w:val="32"/>
        <w:tblW w:w="9782" w:type="dxa"/>
        <w:tblInd w:w="-31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135"/>
        <w:gridCol w:w="7796"/>
        <w:gridCol w:w="85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 w:hRule="atLeast"/>
        </w:trPr>
        <w:tc>
          <w:tcPr>
            <w:tcW w:w="1135" w:type="dxa"/>
          </w:tcPr>
          <w:p>
            <w:pPr>
              <w:spacing w:after="0" w:line="360" w:lineRule="auto"/>
              <w:ind w:right="-130"/>
              <w:rPr>
                <w:rFonts w:ascii="Times New Roman" w:hAnsi="Times New Roman" w:cs="Times New Roman"/>
                <w:b/>
                <w:bCs/>
                <w:sz w:val="24"/>
                <w:szCs w:val="24"/>
              </w:rPr>
            </w:pPr>
            <w:r>
              <w:rPr>
                <w:rFonts w:ascii="Times New Roman" w:hAnsi="Times New Roman" w:cs="Times New Roman"/>
                <w:b/>
                <w:bCs/>
                <w:sz w:val="24"/>
                <w:szCs w:val="24"/>
              </w:rPr>
              <w:t>Table No.</w:t>
            </w:r>
          </w:p>
        </w:tc>
        <w:tc>
          <w:tcPr>
            <w:tcW w:w="7796" w:type="dxa"/>
          </w:tcPr>
          <w:p>
            <w:pPr>
              <w:spacing w:after="0" w:line="360" w:lineRule="auto"/>
              <w:ind w:right="-130"/>
              <w:jc w:val="center"/>
              <w:rPr>
                <w:rFonts w:ascii="Times New Roman" w:hAnsi="Times New Roman" w:cs="Times New Roman"/>
                <w:b/>
                <w:bCs/>
                <w:sz w:val="24"/>
                <w:szCs w:val="24"/>
              </w:rPr>
            </w:pPr>
            <w:r>
              <w:rPr>
                <w:rFonts w:ascii="Times New Roman" w:hAnsi="Times New Roman" w:cs="Times New Roman"/>
                <w:b/>
                <w:bCs/>
                <w:sz w:val="24"/>
                <w:szCs w:val="24"/>
              </w:rPr>
              <w:t>Title</w:t>
            </w:r>
          </w:p>
        </w:tc>
        <w:tc>
          <w:tcPr>
            <w:tcW w:w="851" w:type="dxa"/>
          </w:tcPr>
          <w:p>
            <w:pPr>
              <w:spacing w:after="0" w:line="360" w:lineRule="auto"/>
              <w:jc w:val="right"/>
              <w:rPr>
                <w:rFonts w:ascii="Times New Roman" w:hAnsi="Times New Roman" w:cs="Times New Roman"/>
                <w:b/>
                <w:bCs/>
                <w:sz w:val="24"/>
                <w:szCs w:val="24"/>
              </w:rPr>
            </w:pPr>
            <w:r>
              <w:rPr>
                <w:rFonts w:ascii="Times New Roman" w:hAnsi="Times New Roman" w:cs="Times New Roman"/>
                <w:b/>
                <w:bCs/>
                <w:sz w:val="24"/>
                <w:szCs w:val="24"/>
              </w:rPr>
              <w:t>Pages</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 w:hRule="atLeast"/>
        </w:trPr>
        <w:tc>
          <w:tcPr>
            <w:tcW w:w="1135"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3.1</w:t>
            </w:r>
          </w:p>
        </w:tc>
        <w:tc>
          <w:tcPr>
            <w:tcW w:w="7796"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Definition and source of data and variable measurements</w:t>
            </w:r>
          </w:p>
        </w:tc>
        <w:tc>
          <w:tcPr>
            <w:tcW w:w="851"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4.1</w:t>
            </w:r>
          </w:p>
        </w:tc>
        <w:tc>
          <w:tcPr>
            <w:tcW w:w="7796"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 xml:space="preserve">Descriptive </w:t>
            </w:r>
            <w:r>
              <w:rPr>
                <w:rFonts w:ascii="Times New Roman" w:hAnsi="Times New Roman" w:cs="Times New Roman"/>
                <w:b/>
                <w:sz w:val="24"/>
                <w:szCs w:val="24"/>
              </w:rPr>
              <w:t>s</w:t>
            </w:r>
            <w:r>
              <w:rPr>
                <w:rFonts w:ascii="Times New Roman" w:hAnsi="Times New Roman" w:cs="Times New Roman"/>
                <w:sz w:val="24"/>
                <w:szCs w:val="24"/>
              </w:rPr>
              <w:t>tatistics</w:t>
            </w:r>
          </w:p>
        </w:tc>
        <w:tc>
          <w:tcPr>
            <w:tcW w:w="851"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4.2</w:t>
            </w:r>
          </w:p>
        </w:tc>
        <w:tc>
          <w:tcPr>
            <w:tcW w:w="7796"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Correlation Matrix</w:t>
            </w:r>
          </w:p>
        </w:tc>
        <w:tc>
          <w:tcPr>
            <w:tcW w:w="851"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4.3</w:t>
            </w:r>
          </w:p>
        </w:tc>
        <w:tc>
          <w:tcPr>
            <w:tcW w:w="7796"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ADF and PP Test Results [Trend and Intercept]</w:t>
            </w:r>
          </w:p>
        </w:tc>
        <w:tc>
          <w:tcPr>
            <w:tcW w:w="851"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4.4</w:t>
            </w:r>
          </w:p>
        </w:tc>
        <w:tc>
          <w:tcPr>
            <w:tcW w:w="7796" w:type="dxa"/>
          </w:tcPr>
          <w:p>
            <w:pPr>
              <w:spacing w:after="0" w:line="360" w:lineRule="auto"/>
              <w:ind w:right="-130"/>
              <w:rPr>
                <w:rFonts w:ascii="Times New Roman" w:hAnsi="Times New Roman"/>
                <w:sz w:val="24"/>
                <w:szCs w:val="24"/>
              </w:rPr>
            </w:pPr>
            <w:r>
              <w:rPr>
                <w:rFonts w:ascii="Times New Roman" w:hAnsi="Times New Roman" w:cs="Times New Roman"/>
                <w:sz w:val="24"/>
                <w:szCs w:val="24"/>
              </w:rPr>
              <w:t>Existence of cointegration between money market development and health outcomes</w:t>
            </w:r>
          </w:p>
        </w:tc>
        <w:tc>
          <w:tcPr>
            <w:tcW w:w="851"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4.5</w:t>
            </w:r>
          </w:p>
        </w:tc>
        <w:tc>
          <w:tcPr>
            <w:tcW w:w="7796" w:type="dxa"/>
          </w:tcPr>
          <w:p>
            <w:pPr>
              <w:spacing w:after="0" w:line="360" w:lineRule="auto"/>
              <w:ind w:right="-130"/>
              <w:rPr>
                <w:rFonts w:ascii="Times New Roman" w:hAnsi="Times New Roman"/>
                <w:sz w:val="24"/>
                <w:szCs w:val="24"/>
              </w:rPr>
            </w:pPr>
            <w:r>
              <w:rPr>
                <w:rFonts w:ascii="Times New Roman" w:hAnsi="Times New Roman"/>
                <w:sz w:val="24"/>
                <w:szCs w:val="24"/>
              </w:rPr>
              <w:t>Results of estimated ARDL model of life expectancy</w:t>
            </w:r>
          </w:p>
        </w:tc>
        <w:tc>
          <w:tcPr>
            <w:tcW w:w="851"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4.6</w:t>
            </w:r>
          </w:p>
        </w:tc>
        <w:tc>
          <w:tcPr>
            <w:tcW w:w="7796" w:type="dxa"/>
          </w:tcPr>
          <w:p>
            <w:pPr>
              <w:spacing w:after="0" w:line="360" w:lineRule="auto"/>
              <w:ind w:right="-130"/>
              <w:rPr>
                <w:rFonts w:ascii="Times New Roman" w:hAnsi="Times New Roman"/>
                <w:sz w:val="24"/>
                <w:szCs w:val="24"/>
              </w:rPr>
            </w:pPr>
            <w:r>
              <w:rPr>
                <w:rFonts w:ascii="Times New Roman" w:hAnsi="Times New Roman"/>
                <w:sz w:val="24"/>
                <w:szCs w:val="24"/>
              </w:rPr>
              <w:t>Diagnostic tests of selected ARDL model</w:t>
            </w:r>
          </w:p>
        </w:tc>
        <w:tc>
          <w:tcPr>
            <w:tcW w:w="851"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4.7</w:t>
            </w:r>
          </w:p>
        </w:tc>
        <w:tc>
          <w:tcPr>
            <w:tcW w:w="7796" w:type="dxa"/>
          </w:tcPr>
          <w:p>
            <w:pPr>
              <w:spacing w:after="0" w:line="360" w:lineRule="auto"/>
              <w:ind w:right="-130"/>
              <w:rPr>
                <w:rFonts w:ascii="Times New Roman" w:hAnsi="Times New Roman"/>
                <w:sz w:val="24"/>
                <w:szCs w:val="24"/>
              </w:rPr>
            </w:pPr>
            <w:r>
              <w:rPr>
                <w:rFonts w:ascii="Times New Roman" w:hAnsi="Times New Roman"/>
                <w:sz w:val="24"/>
                <w:szCs w:val="24"/>
              </w:rPr>
              <w:t>Results of estimated ARDL model of child mortality</w:t>
            </w:r>
          </w:p>
        </w:tc>
        <w:tc>
          <w:tcPr>
            <w:tcW w:w="851"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4.8</w:t>
            </w:r>
          </w:p>
        </w:tc>
        <w:tc>
          <w:tcPr>
            <w:tcW w:w="7796" w:type="dxa"/>
          </w:tcPr>
          <w:p>
            <w:pPr>
              <w:spacing w:after="0" w:line="360" w:lineRule="auto"/>
              <w:ind w:right="-130"/>
              <w:rPr>
                <w:rFonts w:ascii="Times New Roman" w:hAnsi="Times New Roman" w:cs="Times New Roman"/>
              </w:rPr>
            </w:pPr>
            <w:r>
              <w:rPr>
                <w:rFonts w:ascii="Times New Roman" w:hAnsi="Times New Roman"/>
                <w:sz w:val="24"/>
                <w:szCs w:val="24"/>
              </w:rPr>
              <w:t>Diagnostic tests of selected ARDL model</w:t>
            </w:r>
          </w:p>
        </w:tc>
        <w:tc>
          <w:tcPr>
            <w:tcW w:w="851"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4.9</w:t>
            </w:r>
          </w:p>
        </w:tc>
        <w:tc>
          <w:tcPr>
            <w:tcW w:w="7796" w:type="dxa"/>
          </w:tcPr>
          <w:p>
            <w:pPr>
              <w:spacing w:after="0" w:line="360" w:lineRule="auto"/>
              <w:ind w:right="-130"/>
              <w:rPr>
                <w:rFonts w:ascii="Times New Roman" w:hAnsi="Times New Roman" w:cs="Times New Roman"/>
              </w:rPr>
            </w:pPr>
            <w:r>
              <w:rPr>
                <w:rFonts w:ascii="Times New Roman" w:hAnsi="Times New Roman" w:cs="Times New Roman"/>
                <w:sz w:val="24"/>
                <w:szCs w:val="24"/>
              </w:rPr>
              <w:t>Existence of cointegration between bank market development and health outcomes</w:t>
            </w:r>
          </w:p>
        </w:tc>
        <w:tc>
          <w:tcPr>
            <w:tcW w:w="851"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4.10</w:t>
            </w:r>
          </w:p>
        </w:tc>
        <w:tc>
          <w:tcPr>
            <w:tcW w:w="7796" w:type="dxa"/>
          </w:tcPr>
          <w:p>
            <w:pPr>
              <w:spacing w:after="0" w:line="360" w:lineRule="auto"/>
              <w:ind w:right="-130"/>
              <w:rPr>
                <w:rFonts w:ascii="Times New Roman" w:hAnsi="Times New Roman" w:cs="Times New Roman"/>
                <w:sz w:val="24"/>
                <w:szCs w:val="24"/>
              </w:rPr>
            </w:pPr>
            <w:r>
              <w:rPr>
                <w:rFonts w:ascii="Times New Roman" w:hAnsi="Times New Roman"/>
                <w:sz w:val="24"/>
                <w:szCs w:val="24"/>
              </w:rPr>
              <w:t>Results of estimated ARDL model of life expectancy</w:t>
            </w:r>
          </w:p>
        </w:tc>
        <w:tc>
          <w:tcPr>
            <w:tcW w:w="851"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4.11</w:t>
            </w:r>
          </w:p>
        </w:tc>
        <w:tc>
          <w:tcPr>
            <w:tcW w:w="7796" w:type="dxa"/>
          </w:tcPr>
          <w:p>
            <w:pPr>
              <w:spacing w:after="0" w:line="360" w:lineRule="auto"/>
              <w:ind w:right="-130"/>
              <w:rPr>
                <w:rFonts w:ascii="Times New Roman" w:hAnsi="Times New Roman" w:cs="Times New Roman"/>
                <w:sz w:val="24"/>
                <w:szCs w:val="24"/>
              </w:rPr>
            </w:pPr>
            <w:r>
              <w:rPr>
                <w:rFonts w:ascii="Times New Roman" w:hAnsi="Times New Roman"/>
                <w:sz w:val="24"/>
                <w:szCs w:val="24"/>
              </w:rPr>
              <w:t>Diagnostic tests of selected ARDL model</w:t>
            </w:r>
          </w:p>
        </w:tc>
        <w:tc>
          <w:tcPr>
            <w:tcW w:w="851"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4.12</w:t>
            </w:r>
          </w:p>
        </w:tc>
        <w:tc>
          <w:tcPr>
            <w:tcW w:w="7796" w:type="dxa"/>
          </w:tcPr>
          <w:p>
            <w:pPr>
              <w:spacing w:after="0" w:line="360" w:lineRule="auto"/>
              <w:ind w:right="-130"/>
              <w:rPr>
                <w:rFonts w:ascii="Times New Roman" w:hAnsi="Times New Roman" w:cs="Times New Roman"/>
                <w:sz w:val="24"/>
                <w:szCs w:val="24"/>
              </w:rPr>
            </w:pPr>
            <w:r>
              <w:rPr>
                <w:rFonts w:ascii="Times New Roman" w:hAnsi="Times New Roman"/>
                <w:sz w:val="24"/>
                <w:szCs w:val="24"/>
              </w:rPr>
              <w:t>Results of estimated ARDL model of child mortality</w:t>
            </w:r>
          </w:p>
        </w:tc>
        <w:tc>
          <w:tcPr>
            <w:tcW w:w="851"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4.13</w:t>
            </w:r>
          </w:p>
        </w:tc>
        <w:tc>
          <w:tcPr>
            <w:tcW w:w="7796" w:type="dxa"/>
          </w:tcPr>
          <w:p>
            <w:pPr>
              <w:spacing w:after="0" w:line="360" w:lineRule="auto"/>
              <w:ind w:right="-130"/>
              <w:rPr>
                <w:rFonts w:ascii="Times New Roman" w:hAnsi="Times New Roman" w:cs="Times New Roman"/>
                <w:sz w:val="24"/>
                <w:szCs w:val="24"/>
              </w:rPr>
            </w:pPr>
            <w:r>
              <w:rPr>
                <w:rFonts w:ascii="Times New Roman" w:hAnsi="Times New Roman"/>
                <w:sz w:val="24"/>
                <w:szCs w:val="24"/>
              </w:rPr>
              <w:t>Diagnostic tests of selected ARDL model</w:t>
            </w:r>
          </w:p>
        </w:tc>
        <w:tc>
          <w:tcPr>
            <w:tcW w:w="851"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4.14</w:t>
            </w:r>
          </w:p>
        </w:tc>
        <w:tc>
          <w:tcPr>
            <w:tcW w:w="7796"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Existence of cointegration between stock market development and health outcomes</w:t>
            </w:r>
          </w:p>
        </w:tc>
        <w:tc>
          <w:tcPr>
            <w:tcW w:w="851"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4.15</w:t>
            </w:r>
          </w:p>
        </w:tc>
        <w:tc>
          <w:tcPr>
            <w:tcW w:w="7796" w:type="dxa"/>
          </w:tcPr>
          <w:p>
            <w:pPr>
              <w:spacing w:after="0" w:line="360" w:lineRule="auto"/>
              <w:ind w:right="-130"/>
              <w:rPr>
                <w:rFonts w:ascii="Times New Roman" w:hAnsi="Times New Roman" w:cs="Times New Roman"/>
                <w:sz w:val="24"/>
                <w:szCs w:val="24"/>
              </w:rPr>
            </w:pPr>
            <w:r>
              <w:rPr>
                <w:rFonts w:ascii="Times New Roman" w:hAnsi="Times New Roman"/>
                <w:sz w:val="24"/>
                <w:szCs w:val="24"/>
              </w:rPr>
              <w:t>Results of estimated ARDL model of life expectancy</w:t>
            </w:r>
          </w:p>
        </w:tc>
        <w:tc>
          <w:tcPr>
            <w:tcW w:w="851"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4.16</w:t>
            </w:r>
          </w:p>
        </w:tc>
        <w:tc>
          <w:tcPr>
            <w:tcW w:w="7796" w:type="dxa"/>
          </w:tcPr>
          <w:p>
            <w:pPr>
              <w:spacing w:after="0" w:line="360" w:lineRule="auto"/>
              <w:ind w:right="-130"/>
              <w:rPr>
                <w:rFonts w:ascii="Times New Roman" w:hAnsi="Times New Roman" w:cs="Times New Roman"/>
                <w:sz w:val="24"/>
                <w:szCs w:val="24"/>
              </w:rPr>
            </w:pPr>
            <w:r>
              <w:rPr>
                <w:rFonts w:ascii="Times New Roman" w:hAnsi="Times New Roman"/>
                <w:sz w:val="24"/>
                <w:szCs w:val="24"/>
              </w:rPr>
              <w:t>Diagnostic tests of selected ARDL model</w:t>
            </w:r>
          </w:p>
        </w:tc>
        <w:tc>
          <w:tcPr>
            <w:tcW w:w="851"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4.17</w:t>
            </w:r>
          </w:p>
        </w:tc>
        <w:tc>
          <w:tcPr>
            <w:tcW w:w="7796" w:type="dxa"/>
          </w:tcPr>
          <w:p>
            <w:pPr>
              <w:spacing w:after="0" w:line="360" w:lineRule="auto"/>
              <w:ind w:right="-130"/>
              <w:rPr>
                <w:rFonts w:ascii="Times New Roman" w:hAnsi="Times New Roman"/>
                <w:sz w:val="24"/>
                <w:szCs w:val="24"/>
              </w:rPr>
            </w:pPr>
            <w:r>
              <w:rPr>
                <w:rFonts w:ascii="Times New Roman" w:hAnsi="Times New Roman"/>
                <w:sz w:val="24"/>
                <w:szCs w:val="24"/>
              </w:rPr>
              <w:t>Results of estimated ARDL model of child mortality</w:t>
            </w:r>
          </w:p>
        </w:tc>
        <w:tc>
          <w:tcPr>
            <w:tcW w:w="851"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4.18</w:t>
            </w:r>
          </w:p>
        </w:tc>
        <w:tc>
          <w:tcPr>
            <w:tcW w:w="7796" w:type="dxa"/>
          </w:tcPr>
          <w:p>
            <w:pPr>
              <w:spacing w:after="0" w:line="360" w:lineRule="auto"/>
              <w:ind w:right="-130"/>
              <w:rPr>
                <w:rFonts w:ascii="Times New Roman" w:hAnsi="Times New Roman"/>
                <w:sz w:val="24"/>
                <w:szCs w:val="24"/>
              </w:rPr>
            </w:pPr>
            <w:r>
              <w:rPr>
                <w:rFonts w:ascii="Times New Roman" w:hAnsi="Times New Roman"/>
                <w:sz w:val="24"/>
                <w:szCs w:val="24"/>
              </w:rPr>
              <w:t>Diagnostic tests of selected ARDL model</w:t>
            </w:r>
          </w:p>
        </w:tc>
        <w:tc>
          <w:tcPr>
            <w:tcW w:w="851"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110</w:t>
            </w:r>
          </w:p>
        </w:tc>
      </w:tr>
    </w:tbl>
    <w:p>
      <w:pPr>
        <w:spacing w:after="200" w:line="276" w:lineRule="auto"/>
      </w:pPr>
      <w:r>
        <w:br w:type="page"/>
      </w:r>
    </w:p>
    <w:p>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List of Figures</w:t>
      </w:r>
    </w:p>
    <w:tbl>
      <w:tblPr>
        <w:tblStyle w:val="32"/>
        <w:tblW w:w="9946" w:type="dxa"/>
        <w:tblInd w:w="-31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277"/>
        <w:gridCol w:w="7796"/>
        <w:gridCol w:w="87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98" w:hRule="atLeast"/>
        </w:trPr>
        <w:tc>
          <w:tcPr>
            <w:tcW w:w="1277" w:type="dxa"/>
          </w:tcPr>
          <w:p>
            <w:pPr>
              <w:spacing w:after="0" w:line="360" w:lineRule="auto"/>
              <w:ind w:right="-130"/>
              <w:rPr>
                <w:rFonts w:ascii="Times New Roman" w:hAnsi="Times New Roman" w:cs="Times New Roman"/>
                <w:b/>
                <w:bCs/>
                <w:sz w:val="24"/>
                <w:szCs w:val="24"/>
              </w:rPr>
            </w:pPr>
            <w:r>
              <w:rPr>
                <w:rFonts w:ascii="Times New Roman" w:hAnsi="Times New Roman" w:cs="Times New Roman"/>
                <w:b/>
                <w:bCs/>
                <w:sz w:val="24"/>
                <w:szCs w:val="24"/>
              </w:rPr>
              <w:t>Figure No.</w:t>
            </w:r>
          </w:p>
        </w:tc>
        <w:tc>
          <w:tcPr>
            <w:tcW w:w="7796" w:type="dxa"/>
          </w:tcPr>
          <w:p>
            <w:pPr>
              <w:spacing w:after="0" w:line="360" w:lineRule="auto"/>
              <w:ind w:right="-130"/>
              <w:jc w:val="center"/>
              <w:rPr>
                <w:rFonts w:ascii="Times New Roman" w:hAnsi="Times New Roman" w:cs="Times New Roman"/>
                <w:b/>
                <w:bCs/>
                <w:sz w:val="24"/>
                <w:szCs w:val="24"/>
              </w:rPr>
            </w:pPr>
            <w:r>
              <w:rPr>
                <w:rFonts w:ascii="Times New Roman" w:hAnsi="Times New Roman" w:cs="Times New Roman"/>
                <w:b/>
                <w:bCs/>
                <w:sz w:val="24"/>
                <w:szCs w:val="24"/>
              </w:rPr>
              <w:t>Title</w:t>
            </w:r>
          </w:p>
        </w:tc>
        <w:tc>
          <w:tcPr>
            <w:tcW w:w="873" w:type="dxa"/>
          </w:tcPr>
          <w:p>
            <w:pPr>
              <w:spacing w:after="0" w:line="360" w:lineRule="auto"/>
              <w:jc w:val="right"/>
              <w:rPr>
                <w:rFonts w:ascii="Times New Roman" w:hAnsi="Times New Roman" w:cs="Times New Roman"/>
                <w:b/>
                <w:bCs/>
                <w:sz w:val="24"/>
                <w:szCs w:val="24"/>
              </w:rPr>
            </w:pPr>
            <w:r>
              <w:rPr>
                <w:rFonts w:ascii="Times New Roman" w:hAnsi="Times New Roman" w:cs="Times New Roman"/>
                <w:b/>
                <w:bCs/>
                <w:sz w:val="24"/>
                <w:szCs w:val="24"/>
              </w:rPr>
              <w:t>Pages</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 w:hRule="atLeast"/>
        </w:trPr>
        <w:tc>
          <w:tcPr>
            <w:tcW w:w="1277"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4.1</w:t>
            </w:r>
          </w:p>
        </w:tc>
        <w:tc>
          <w:tcPr>
            <w:tcW w:w="7796"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Trend Review of Stock Market Indices and Living Standard</w:t>
            </w:r>
          </w:p>
        </w:tc>
        <w:tc>
          <w:tcPr>
            <w:tcW w:w="873"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277"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4.2</w:t>
            </w:r>
          </w:p>
        </w:tc>
        <w:tc>
          <w:tcPr>
            <w:tcW w:w="7796"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Trend Review of Stock Market Indices and Inflation</w:t>
            </w:r>
          </w:p>
        </w:tc>
        <w:tc>
          <w:tcPr>
            <w:tcW w:w="873"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277"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4.3</w:t>
            </w:r>
          </w:p>
        </w:tc>
        <w:tc>
          <w:tcPr>
            <w:tcW w:w="7796"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Trend Review of Stock Market Indices and Unemployment</w:t>
            </w:r>
          </w:p>
        </w:tc>
        <w:tc>
          <w:tcPr>
            <w:tcW w:w="873"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277"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4.4</w:t>
            </w:r>
          </w:p>
        </w:tc>
        <w:tc>
          <w:tcPr>
            <w:tcW w:w="7796"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Trend Review of Investment, Financial Development, and Trade</w:t>
            </w:r>
          </w:p>
        </w:tc>
        <w:tc>
          <w:tcPr>
            <w:tcW w:w="873"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277"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4.5a-b</w:t>
            </w:r>
          </w:p>
        </w:tc>
        <w:tc>
          <w:tcPr>
            <w:tcW w:w="7796" w:type="dxa"/>
          </w:tcPr>
          <w:p>
            <w:pPr>
              <w:spacing w:after="0" w:line="360" w:lineRule="auto"/>
              <w:ind w:right="-130"/>
              <w:rPr>
                <w:rFonts w:ascii="Times New Roman" w:hAnsi="Times New Roman"/>
                <w:sz w:val="24"/>
                <w:szCs w:val="24"/>
              </w:rPr>
            </w:pPr>
            <w:r>
              <w:rPr>
                <w:rFonts w:ascii="Times New Roman" w:hAnsi="Times New Roman"/>
                <w:sz w:val="24"/>
                <w:szCs w:val="24"/>
              </w:rPr>
              <w:t>Cumulative sum and Cumulative sum of Squares</w:t>
            </w:r>
          </w:p>
        </w:tc>
        <w:tc>
          <w:tcPr>
            <w:tcW w:w="873"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277"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4.6a-b</w:t>
            </w:r>
          </w:p>
        </w:tc>
        <w:tc>
          <w:tcPr>
            <w:tcW w:w="7796" w:type="dxa"/>
          </w:tcPr>
          <w:p>
            <w:pPr>
              <w:spacing w:after="0" w:line="360" w:lineRule="auto"/>
              <w:ind w:right="-130"/>
              <w:rPr>
                <w:rFonts w:ascii="Times New Roman" w:hAnsi="Times New Roman"/>
                <w:sz w:val="24"/>
                <w:szCs w:val="24"/>
              </w:rPr>
            </w:pPr>
            <w:r>
              <w:rPr>
                <w:rFonts w:ascii="Times New Roman" w:hAnsi="Times New Roman"/>
                <w:sz w:val="24"/>
                <w:szCs w:val="24"/>
              </w:rPr>
              <w:t>Cumulative sum and Cumulative sum of Squares</w:t>
            </w:r>
          </w:p>
        </w:tc>
        <w:tc>
          <w:tcPr>
            <w:tcW w:w="873"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277"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4.7a-b</w:t>
            </w:r>
          </w:p>
        </w:tc>
        <w:tc>
          <w:tcPr>
            <w:tcW w:w="7796" w:type="dxa"/>
          </w:tcPr>
          <w:p>
            <w:pPr>
              <w:spacing w:after="0" w:line="360" w:lineRule="auto"/>
              <w:ind w:right="-130"/>
              <w:rPr>
                <w:rFonts w:ascii="Times New Roman" w:hAnsi="Times New Roman"/>
                <w:sz w:val="24"/>
                <w:szCs w:val="24"/>
              </w:rPr>
            </w:pPr>
            <w:r>
              <w:rPr>
                <w:rFonts w:ascii="Times New Roman" w:hAnsi="Times New Roman"/>
                <w:sz w:val="24"/>
                <w:szCs w:val="24"/>
              </w:rPr>
              <w:t>Cumulative sum and Cumulative sum of Squares</w:t>
            </w:r>
          </w:p>
        </w:tc>
        <w:tc>
          <w:tcPr>
            <w:tcW w:w="873"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277"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4.8a-b</w:t>
            </w:r>
          </w:p>
        </w:tc>
        <w:tc>
          <w:tcPr>
            <w:tcW w:w="7796" w:type="dxa"/>
          </w:tcPr>
          <w:p>
            <w:pPr>
              <w:spacing w:after="0" w:line="360" w:lineRule="auto"/>
              <w:ind w:right="-130"/>
              <w:rPr>
                <w:rFonts w:ascii="Times New Roman" w:hAnsi="Times New Roman"/>
                <w:sz w:val="24"/>
                <w:szCs w:val="24"/>
              </w:rPr>
            </w:pPr>
            <w:r>
              <w:rPr>
                <w:rFonts w:ascii="Times New Roman" w:hAnsi="Times New Roman"/>
                <w:sz w:val="24"/>
                <w:szCs w:val="24"/>
              </w:rPr>
              <w:t>Cumulative sum and Cumulative sum of Squares</w:t>
            </w:r>
          </w:p>
        </w:tc>
        <w:tc>
          <w:tcPr>
            <w:tcW w:w="873"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277"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4.9a-b</w:t>
            </w:r>
          </w:p>
        </w:tc>
        <w:tc>
          <w:tcPr>
            <w:tcW w:w="7796" w:type="dxa"/>
          </w:tcPr>
          <w:p>
            <w:pPr>
              <w:spacing w:after="0" w:line="360" w:lineRule="auto"/>
              <w:ind w:right="-130"/>
              <w:rPr>
                <w:rFonts w:ascii="Times New Roman" w:hAnsi="Times New Roman"/>
                <w:sz w:val="24"/>
                <w:szCs w:val="24"/>
              </w:rPr>
            </w:pPr>
            <w:r>
              <w:rPr>
                <w:rFonts w:ascii="Times New Roman" w:hAnsi="Times New Roman"/>
                <w:sz w:val="24"/>
                <w:szCs w:val="24"/>
              </w:rPr>
              <w:t>Cumulative sum and Cumulative sum of Squares</w:t>
            </w:r>
          </w:p>
        </w:tc>
        <w:tc>
          <w:tcPr>
            <w:tcW w:w="873"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277" w:type="dxa"/>
          </w:tcPr>
          <w:p>
            <w:pPr>
              <w:spacing w:after="0" w:line="360" w:lineRule="auto"/>
              <w:ind w:right="-130"/>
              <w:rPr>
                <w:rFonts w:ascii="Times New Roman" w:hAnsi="Times New Roman" w:cs="Times New Roman"/>
                <w:sz w:val="24"/>
                <w:szCs w:val="24"/>
              </w:rPr>
            </w:pPr>
            <w:r>
              <w:rPr>
                <w:rFonts w:ascii="Times New Roman" w:hAnsi="Times New Roman" w:cs="Times New Roman"/>
                <w:sz w:val="24"/>
                <w:szCs w:val="24"/>
              </w:rPr>
              <w:t>4.10a-b</w:t>
            </w:r>
          </w:p>
        </w:tc>
        <w:tc>
          <w:tcPr>
            <w:tcW w:w="7796" w:type="dxa"/>
          </w:tcPr>
          <w:p>
            <w:pPr>
              <w:spacing w:after="0" w:line="360" w:lineRule="auto"/>
              <w:ind w:right="-130"/>
              <w:rPr>
                <w:rFonts w:ascii="Times New Roman" w:hAnsi="Times New Roman"/>
                <w:sz w:val="24"/>
                <w:szCs w:val="24"/>
              </w:rPr>
            </w:pPr>
            <w:r>
              <w:rPr>
                <w:rFonts w:ascii="Times New Roman" w:hAnsi="Times New Roman"/>
                <w:sz w:val="24"/>
                <w:szCs w:val="24"/>
              </w:rPr>
              <w:t>Cumulative sum and Cumulative sum of Squares</w:t>
            </w:r>
          </w:p>
        </w:tc>
        <w:tc>
          <w:tcPr>
            <w:tcW w:w="873" w:type="dxa"/>
          </w:tcPr>
          <w:p>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110</w:t>
            </w:r>
          </w:p>
        </w:tc>
      </w:tr>
    </w:tbl>
    <w:p>
      <w:pPr>
        <w:spacing w:after="200" w:line="276" w:lineRule="auto"/>
        <w:rPr>
          <w:rFonts w:ascii="Times New Roman" w:hAnsi="Times New Roman" w:cs="Times New Roman"/>
        </w:rPr>
      </w:pPr>
      <w:r>
        <w:rPr>
          <w:rFonts w:ascii="Times New Roman" w:hAnsi="Times New Roman" w:cs="Times New Roman"/>
        </w:rPr>
        <w:br w:type="page"/>
      </w:r>
    </w:p>
    <w:p>
      <w:pPr>
        <w:spacing w:after="120" w:line="480" w:lineRule="auto"/>
        <w:jc w:val="center"/>
        <w:rPr>
          <w:rFonts w:ascii="Times New Roman" w:hAnsi="Times New Roman" w:cs="Times New Roman"/>
          <w:b/>
          <w:sz w:val="24"/>
          <w:szCs w:val="24"/>
        </w:rPr>
        <w:sectPr>
          <w:headerReference r:id="rId6" w:type="first"/>
          <w:headerReference r:id="rId5" w:type="default"/>
          <w:footerReference r:id="rId7" w:type="default"/>
          <w:pgSz w:w="11907" w:h="16840"/>
          <w:pgMar w:top="1440" w:right="1440" w:bottom="1440" w:left="1440" w:header="720" w:footer="720" w:gutter="0"/>
          <w:pgNumType w:fmt="lowerRoman"/>
          <w:cols w:space="720" w:num="1"/>
          <w:titlePg/>
          <w:docGrid w:linePitch="360" w:charSpace="0"/>
        </w:sectPr>
      </w:pPr>
    </w:p>
    <w:p>
      <w:pPr>
        <w:pStyle w:val="28"/>
        <w:spacing w:after="120" w:line="480" w:lineRule="auto"/>
        <w:jc w:val="center"/>
        <w:rPr>
          <w:b/>
          <w:color w:val="auto"/>
        </w:rPr>
      </w:pPr>
      <w:r>
        <w:rPr>
          <w:b/>
          <w:color w:val="auto"/>
        </w:rPr>
        <w:t>Chapter One</w:t>
      </w:r>
    </w:p>
    <w:p>
      <w:pPr>
        <w:pStyle w:val="28"/>
        <w:spacing w:after="120" w:line="480" w:lineRule="auto"/>
        <w:jc w:val="center"/>
        <w:rPr>
          <w:b/>
          <w:color w:val="auto"/>
        </w:rPr>
      </w:pPr>
      <w:r>
        <w:rPr>
          <w:b/>
          <w:color w:val="auto"/>
        </w:rPr>
        <w:t>Introduction</w:t>
      </w:r>
    </w:p>
    <w:p>
      <w:pPr>
        <w:pStyle w:val="28"/>
        <w:spacing w:after="120" w:line="480" w:lineRule="auto"/>
        <w:jc w:val="both"/>
        <w:rPr>
          <w:b/>
          <w:color w:val="auto"/>
        </w:rPr>
      </w:pPr>
      <w:r>
        <w:rPr>
          <w:b/>
          <w:color w:val="auto"/>
        </w:rPr>
        <w:t>1.1</w:t>
      </w:r>
      <w:r>
        <w:rPr>
          <w:b/>
          <w:color w:val="auto"/>
        </w:rPr>
        <w:tab/>
      </w:r>
      <w:r>
        <w:rPr>
          <w:b/>
          <w:color w:val="auto"/>
        </w:rPr>
        <w:t>Background to the Study</w:t>
      </w:r>
    </w:p>
    <w:p>
      <w:pPr>
        <w:pStyle w:val="28"/>
        <w:spacing w:after="120" w:line="480" w:lineRule="auto"/>
        <w:jc w:val="both"/>
        <w:rPr>
          <w:color w:val="auto"/>
        </w:rPr>
      </w:pPr>
      <w:r>
        <w:rPr>
          <w:color w:val="auto"/>
        </w:rPr>
        <w:t>Nigeria, as the most populous nation in Africa, has experienced significant economic changes in recent decades. The economy of the region encompasses a wide range of sectors, such as agriculture, industry, services, and oil production. The financial sector, which includes the money market, stock market, and banking business, has had a significant impact on shaping the economic landscape of the country. Simultaneously, Nigeria has faced persistent obstacles in health outcomes, encompassing indicators like as life expectancy and rates of infant mortality.</w:t>
      </w:r>
    </w:p>
    <w:p>
      <w:pPr>
        <w:pStyle w:val="28"/>
        <w:spacing w:after="120" w:line="480" w:lineRule="auto"/>
        <w:jc w:val="both"/>
        <w:rPr>
          <w:color w:val="auto"/>
        </w:rPr>
      </w:pPr>
      <w:r>
        <w:rPr>
          <w:color w:val="auto"/>
        </w:rPr>
        <w:t>The health status of each economy plays a crucial role in the advancement and nourishment of human capital. The health status is closely related to economic developments</w:t>
      </w:r>
      <w:r>
        <w:rPr>
          <w:color w:val="auto"/>
          <w:vertAlign w:val="superscript"/>
        </w:rPr>
        <w:t>1</w:t>
      </w:r>
      <w:r>
        <w:rPr>
          <w:color w:val="auto"/>
        </w:rPr>
        <w:t>.There is also a contention that the enhancement of health status is concurrently fostering economic expansion by boosting productivity. The impact of population health on a country’s productivity is significant, as a robust labor force is essential for making substantial contributions to the production and growth of national output. Like a conventional production function, wherein the quantity or level of inputs influences the quantity or level of output based on the scale of production and returns to scale, the financial sector facilitates the provision of funds that accelerate economic activities, thereby contributing to an expansion in national productivity</w:t>
      </w:r>
      <w:r>
        <w:rPr>
          <w:color w:val="auto"/>
          <w:vertAlign w:val="superscript"/>
        </w:rPr>
        <w:t>2</w:t>
      </w:r>
      <w:r>
        <w:rPr>
          <w:color w:val="auto"/>
        </w:rPr>
        <w:t xml:space="preserve">. </w:t>
      </w:r>
    </w:p>
    <w:p>
      <w:pPr>
        <w:pStyle w:val="28"/>
        <w:spacing w:after="120" w:line="480" w:lineRule="auto"/>
        <w:jc w:val="both"/>
        <w:rPr>
          <w:color w:val="auto"/>
        </w:rPr>
      </w:pPr>
      <w:r>
        <w:rPr>
          <w:color w:val="auto"/>
        </w:rPr>
        <w:t xml:space="preserve">The financial sector plays a vital role in the economic advancement of every country. The money market in Nigeria is a crucial element comprising various financial instruments such as treasury bills, commercial papers, and certificates of deposit. These instruments are subject to regulation by the Central Bank of Nigeria (CBN). Over the course of its existence, the subject in question has experienced notable transformations with the objective of improving the availability of liquid assets, expanding the scope of financial markets, and refining the process of allocating capital effectively. In a similar vein, the Nigerian Exchange Group (NEG) has undergone significant development as the principal venue for trading equities, drawing the attention of both domestic and international investors due to regulatory reforms and developments in technology. The banking industry has experienced significant expansion, assuming a crucial function in facilitating financial intermediation, credit distribution, and payment mechanisms, while regulatory actions have been implemented to safeguard stability and safeguard the interests of consumers. Simultaneously, a rise in the overall productivity of a nation guarantees the provision of necessary products and services to households, so contributing to an enhanced standard of life. </w:t>
      </w:r>
    </w:p>
    <w:p>
      <w:pPr>
        <w:pStyle w:val="28"/>
        <w:spacing w:after="120" w:line="480" w:lineRule="auto"/>
        <w:jc w:val="both"/>
        <w:rPr>
          <w:color w:val="auto"/>
        </w:rPr>
      </w:pPr>
      <w:r>
        <w:rPr>
          <w:color w:val="auto"/>
        </w:rPr>
        <w:t>The impact of financial sector development on population health is evident in its direct provision of financial products and services, as well as its indirect influence on a nation's economic prosperity</w:t>
      </w:r>
      <w:r>
        <w:rPr>
          <w:color w:val="auto"/>
          <w:vertAlign w:val="superscript"/>
        </w:rPr>
        <w:t>3</w:t>
      </w:r>
      <w:r>
        <w:rPr>
          <w:color w:val="auto"/>
        </w:rPr>
        <w:t>.Financial development refers to a policy-oriented process that aims to eliminate regulatory constraints on financial operations, allowing market forces to function as the primary mechanism for determining the prices of financial services</w:t>
      </w:r>
      <w:r>
        <w:rPr>
          <w:color w:val="auto"/>
          <w:vertAlign w:val="superscript"/>
        </w:rPr>
        <w:t>4</w:t>
      </w:r>
      <w:r>
        <w:rPr>
          <w:color w:val="auto"/>
        </w:rPr>
        <w:t>. According to prevailing economic theory, it is widely acknowledged that the presence of robust financial development is crucial for some sectors of the economy, such as the health sector. This factor significantly contributes to the overall enhancement of economic growth</w:t>
      </w:r>
      <w:r>
        <w:rPr>
          <w:color w:val="auto"/>
          <w:vertAlign w:val="superscript"/>
        </w:rPr>
        <w:t>5</w:t>
      </w:r>
      <w:r>
        <w:rPr>
          <w:color w:val="auto"/>
        </w:rPr>
        <w:t>. The positive impacts of financial development on a nation's macro economy, such as fostering economic growth, are widely acknowledged. It is expected that these benefits would extend to several areas of the economy, including the healthcare sector</w:t>
      </w:r>
      <w:r>
        <w:rPr>
          <w:color w:val="auto"/>
          <w:vertAlign w:val="superscript"/>
        </w:rPr>
        <w:t>6</w:t>
      </w:r>
      <w:r>
        <w:rPr>
          <w:color w:val="auto"/>
        </w:rPr>
        <w:t>.</w:t>
      </w:r>
    </w:p>
    <w:p>
      <w:pPr>
        <w:pStyle w:val="28"/>
        <w:spacing w:after="120" w:line="480" w:lineRule="auto"/>
        <w:jc w:val="both"/>
        <w:rPr>
          <w:color w:val="auto"/>
        </w:rPr>
      </w:pPr>
      <w:r>
        <w:rPr>
          <w:color w:val="auto"/>
        </w:rPr>
        <w:t>Financial growth can have a significant impact on the health status of a nation through a range of pathways. The first channel to consider is the income effect. The process of financial development facilitates the emergence of industrialization and leads to innovative economic endeavors, resulting in an increase in both employment levels and per capita income. The increase in per capita income enables individuals to access health and nutritional food, improved housing, advanced medical institutions, and healthcare services, all of which contribute to excellent health outcomes at the national level. Furthermore, it is worth noting that education serves as an important link that can exert a beneficial influence on life expectancy. This is because advancements in financial development have the propensity to enhance the overall literacy rate within a given culture, hence contributing to an increase in life expectancy. Another significant factor to consider is the impact of gender equality, which posits that as the financial sector of the economy develops, women in society experience increased financial independence</w:t>
      </w:r>
      <w:r>
        <w:rPr>
          <w:color w:val="auto"/>
          <w:vertAlign w:val="superscript"/>
        </w:rPr>
        <w:t>7</w:t>
      </w:r>
      <w:r>
        <w:rPr>
          <w:color w:val="auto"/>
        </w:rPr>
        <w:t>.</w:t>
      </w:r>
    </w:p>
    <w:p>
      <w:pPr>
        <w:pStyle w:val="28"/>
        <w:spacing w:after="120" w:line="480" w:lineRule="auto"/>
        <w:jc w:val="both"/>
        <w:rPr>
          <w:color w:val="auto"/>
        </w:rPr>
      </w:pPr>
      <w:r>
        <w:rPr>
          <w:color w:val="auto"/>
        </w:rPr>
        <w:t>In order to attain optimal levels of health, it is imperative to ascertain the essence of health as well as the influential aspects that impact it. Failure to identify the elements that pose a threat to health, along with their respective significance, can lead to a sense of uncertainty surrounding the implementation of actions aimed at promoting the well-being of both individuals and society. Conversely, certain countries, particularly those characterized by poverty and need, have experienced a distribution of resources through time that has led to diminished healthcare access and heightened death rates.</w:t>
      </w:r>
    </w:p>
    <w:p>
      <w:pPr>
        <w:pStyle w:val="28"/>
        <w:spacing w:after="120" w:line="480" w:lineRule="auto"/>
        <w:jc w:val="both"/>
        <w:rPr>
          <w:color w:val="auto"/>
        </w:rPr>
      </w:pPr>
      <w:r>
        <w:rPr>
          <w:color w:val="auto"/>
        </w:rPr>
        <w:t>The promotion of public health has garnered significant interest from economists and policymakers, who have been actively engaged in identifying the most effective approaches and mechanisms. These endeavors have yielded noteworthy outcomes, positively impacting human health and overall well-being across many regions globally. The extent to which life expectancy is elevated is dependent upon the allocation of resources by nations towards enhancing social indicators, including but not limited to healthcare, education, retirement provisions, health initiatives, food infrastructure, and environmental amelioration. Enhancing the health status of individuals within a given community is a crucial concern for health policy makers. The life expectancy at birth has been adversely affected by various reasons, including insufficient healthcare infrastructure, a significant disease burden, and socio-economic inequalities. Despite certain advancements in recent times, the life expectancy in Nigeria continues to fall behind the global average. In addition, it is noteworthy that infant mortality rates have consistently exhibited elevated levels when compared to global benchmarks. This can be mostly attributed to challenges pertaining to the availability of maternal and child healthcare services, malnutrition, and the prevalence of infectious diseases. Despite the implementation of government efforts such as the National Health Insurance Scheme (NHIS), the problem continues to persist. While previous studies have explored the general connection between economic development and health, the primary objective of this research is to specifically analyze the impact of the financial sector, encompassing the money market, stock market, and banking industry, on health indicators such as life expectancy and child mortality in Nigeria.</w:t>
      </w:r>
    </w:p>
    <w:p>
      <w:pPr>
        <w:pStyle w:val="28"/>
        <w:spacing w:after="120" w:line="480" w:lineRule="auto"/>
        <w:jc w:val="both"/>
        <w:rPr>
          <w:color w:val="auto"/>
        </w:rPr>
      </w:pPr>
      <w:r>
        <w:rPr>
          <w:color w:val="auto"/>
        </w:rPr>
        <w:t>Moreover, several authors in the empirical literature have posited that the financial sector of an economy exerts a significant influence on the health outcomes of its population</w:t>
      </w:r>
      <w:r>
        <w:rPr>
          <w:color w:val="auto"/>
          <w:vertAlign w:val="superscript"/>
        </w:rPr>
        <w:t>8, 9</w:t>
      </w:r>
      <w:r>
        <w:rPr>
          <w:color w:val="auto"/>
        </w:rPr>
        <w:t>. The authors highlighted that the theoretical connection between financial development and health outcomes is contingent upon health expenditure in the empirical literature</w:t>
      </w:r>
      <w:r>
        <w:rPr>
          <w:color w:val="auto"/>
          <w:vertAlign w:val="superscript"/>
        </w:rPr>
        <w:t>10</w:t>
      </w:r>
      <w:r>
        <w:rPr>
          <w:color w:val="auto"/>
        </w:rPr>
        <w:t>. The underlying cause of this phenomenon can be attributed to the positive impact of financial development on the allocation of finances across all sectors of the economy, including the health sector, which manifests as increased health expenditure.</w:t>
      </w:r>
    </w:p>
    <w:p>
      <w:pPr>
        <w:spacing w:after="0" w:line="240" w:lineRule="auto"/>
        <w:rPr>
          <w:rFonts w:ascii="Times New Roman" w:hAnsi="Times New Roman" w:cs="Times New Roman"/>
          <w:sz w:val="24"/>
          <w:szCs w:val="24"/>
        </w:rPr>
      </w:pPr>
      <w:r>
        <w:br w:type="page"/>
      </w:r>
    </w:p>
    <w:p>
      <w:pPr>
        <w:pStyle w:val="28"/>
        <w:spacing w:after="120" w:line="480" w:lineRule="auto"/>
        <w:jc w:val="both"/>
        <w:rPr>
          <w:b/>
          <w:color w:val="auto"/>
        </w:rPr>
      </w:pPr>
      <w:r>
        <w:rPr>
          <w:b/>
          <w:color w:val="auto"/>
        </w:rPr>
        <w:t>1.2</w:t>
      </w:r>
      <w:r>
        <w:rPr>
          <w:b/>
          <w:color w:val="auto"/>
        </w:rPr>
        <w:tab/>
      </w:r>
      <w:r>
        <w:rPr>
          <w:b/>
          <w:color w:val="auto"/>
        </w:rPr>
        <w:t>Statement of the Problem</w:t>
      </w:r>
    </w:p>
    <w:p>
      <w:pPr>
        <w:pStyle w:val="28"/>
        <w:spacing w:after="120" w:line="480" w:lineRule="auto"/>
        <w:jc w:val="both"/>
        <w:rPr>
          <w:color w:val="auto"/>
        </w:rPr>
      </w:pPr>
      <w:r>
        <w:rPr>
          <w:color w:val="auto"/>
        </w:rPr>
        <w:t xml:space="preserve">Nigeria stands at a crossroads marked by continuous progress and persistent challenges in its financial sector and health outcomes. The financial sector, which encompasses the money market, stock market, and banking business, has experienced significant expansion and undergone regulatory reforms, indicative of its economic dynamism. Despitethe significant economic expansion, life expectancy falls below worldwide averages, while infant mortality rates remain high. This highlights a concerning disparity between economic growth and the well-being of public health. </w:t>
      </w:r>
    </w:p>
    <w:p>
      <w:pPr>
        <w:pStyle w:val="28"/>
        <w:spacing w:after="120" w:line="480" w:lineRule="auto"/>
        <w:jc w:val="both"/>
        <w:rPr>
          <w:color w:val="auto"/>
        </w:rPr>
      </w:pPr>
      <w:r>
        <w:rPr>
          <w:color w:val="auto"/>
        </w:rPr>
        <w:t>Economists have posited that a substantial portion of a country's resources ought to be allocated towards the healthcare sector with the aim of enhancing the overall health outcomes of its populace</w:t>
      </w:r>
      <w:r>
        <w:rPr>
          <w:color w:val="auto"/>
          <w:vertAlign w:val="superscript"/>
        </w:rPr>
        <w:t>11</w:t>
      </w:r>
      <w:r>
        <w:rPr>
          <w:color w:val="auto"/>
        </w:rPr>
        <w:t>. Nevertheless, the health sector in developing nations, namely Nigeria in this context, continues to face significant obstacles related to limited availability, high expenses, and insufficient access to appropriate funding, thereby impeding the efficacy of the healthcare system. In 2019, the World Health Organization (WHO) highlighted that Nigeria, like many other African nations, continues to exhibit below-average levels of healthcare expenditure per capita</w:t>
      </w:r>
      <w:r>
        <w:rPr>
          <w:color w:val="auto"/>
          <w:vertAlign w:val="superscript"/>
        </w:rPr>
        <w:t>12,13</w:t>
      </w:r>
      <w:r>
        <w:rPr>
          <w:color w:val="auto"/>
        </w:rPr>
        <w:t>. Moreover, the proportion of GDP allocated to the health sector remains relatively low in comparison to affluent nations</w:t>
      </w:r>
      <w:r>
        <w:rPr>
          <w:color w:val="auto"/>
          <w:vertAlign w:val="superscript"/>
        </w:rPr>
        <w:t>14</w:t>
      </w:r>
      <w:r>
        <w:rPr>
          <w:color w:val="auto"/>
        </w:rPr>
        <w:t>.</w:t>
      </w:r>
    </w:p>
    <w:p>
      <w:pPr>
        <w:pStyle w:val="28"/>
        <w:spacing w:after="120" w:line="480" w:lineRule="auto"/>
        <w:jc w:val="both"/>
        <w:rPr>
          <w:color w:val="auto"/>
        </w:rPr>
      </w:pPr>
      <w:r>
        <w:rPr>
          <w:color w:val="auto"/>
        </w:rPr>
        <w:t>The global trade stance of Sub-Saharan African nations, particularly Nigeria, has been influenced by the execution of structural reforms, as reported by the Economist Intelligence Unit. Nigeria has emerged as a notable exemplar in implementing effective financial development strategies. Nevertheless, notwithstanding the advancements in financial growth, the health sector has not witnessed substantial enhancements. The SSA region, including Nigeria, continues to witness slow advancements in population health. For example, Nigeria has a high HIV prevalence, affecting over 69% of adults</w:t>
      </w:r>
      <w:r>
        <w:rPr>
          <w:color w:val="auto"/>
          <w:vertAlign w:val="superscript"/>
        </w:rPr>
        <w:t>15</w:t>
      </w:r>
      <w:r>
        <w:rPr>
          <w:color w:val="auto"/>
        </w:rPr>
        <w:t>. Additionally, it is worth noting that the mortality rate for children under the age of five in the Sub-Saharan Africa (SSA) region was calculated to be 89.2 per 1,000 live births in the year 2013, as reported by the World Bank in 2014. The life expectancy in Nigeria has a persistently low trend, with an estimated average of 56 years for females and 54 years for males, according to the World Development Indicators (WDI) data for the year 2022. Also, the infant mortality rate in Nigeria stands at 72 per 1,000 live births as reported by the World Bank in 2022. Furthermore, a significant number of nations in the region, Nigeria included, were unable to meet the health-related targets set forth by the Millennium Development Goals</w:t>
      </w:r>
      <w:r>
        <w:rPr>
          <w:color w:val="auto"/>
          <w:vertAlign w:val="superscript"/>
        </w:rPr>
        <w:t>16</w:t>
      </w:r>
      <w:r>
        <w:rPr>
          <w:color w:val="auto"/>
        </w:rPr>
        <w:t>.</w:t>
      </w:r>
    </w:p>
    <w:p>
      <w:pPr>
        <w:pStyle w:val="28"/>
        <w:spacing w:after="120" w:line="480" w:lineRule="auto"/>
        <w:jc w:val="both"/>
        <w:rPr>
          <w:color w:val="auto"/>
        </w:rPr>
      </w:pPr>
      <w:r>
        <w:rPr>
          <w:color w:val="auto"/>
        </w:rPr>
        <w:t xml:space="preserve">The role of financial development is conspicuously absent in the health care system financing literature even though financial markets play a key role in mobilizing resources for health care expenditure and investment at both household and national levels. The current body of scholarly research on health care funding appears to neglect the significance of financial development in the context of health care financing, which has a direct impact on health outcomes. Hence, the primary objective of this research is to investigate the impact of financial development on health outcomes within the context of Nigeria.  </w:t>
      </w:r>
    </w:p>
    <w:p>
      <w:pPr>
        <w:pStyle w:val="28"/>
        <w:spacing w:after="120" w:line="480" w:lineRule="auto"/>
        <w:jc w:val="both"/>
        <w:rPr>
          <w:rFonts w:eastAsia="Calibri"/>
          <w:b/>
          <w:color w:val="auto"/>
        </w:rPr>
      </w:pPr>
      <w:r>
        <w:rPr>
          <w:b/>
          <w:color w:val="auto"/>
        </w:rPr>
        <w:t>1.3</w:t>
      </w:r>
      <w:r>
        <w:rPr>
          <w:b/>
          <w:color w:val="auto"/>
        </w:rPr>
        <w:tab/>
      </w:r>
      <w:r>
        <w:rPr>
          <w:b/>
          <w:color w:val="auto"/>
        </w:rPr>
        <w:t xml:space="preserve">Research Questions </w:t>
      </w:r>
    </w:p>
    <w:p>
      <w:pPr>
        <w:spacing w:after="120" w:line="480" w:lineRule="auto"/>
        <w:jc w:val="both"/>
        <w:rPr>
          <w:rFonts w:ascii="Times New Roman" w:hAnsi="Times New Roman" w:eastAsia="Calibri"/>
          <w:sz w:val="24"/>
          <w:szCs w:val="24"/>
        </w:rPr>
      </w:pPr>
      <w:r>
        <w:rPr>
          <w:rFonts w:ascii="Times New Roman" w:hAnsi="Times New Roman" w:eastAsia="Calibri"/>
          <w:sz w:val="24"/>
          <w:szCs w:val="24"/>
        </w:rPr>
        <w:t>The following questions are developed in line with the objectives above to guide the research questions.</w:t>
      </w:r>
    </w:p>
    <w:p>
      <w:pPr>
        <w:pStyle w:val="30"/>
        <w:numPr>
          <w:ilvl w:val="0"/>
          <w:numId w:val="1"/>
        </w:numPr>
        <w:spacing w:before="0" w:beforeAutospacing="0" w:after="120" w:line="480" w:lineRule="auto"/>
        <w:contextualSpacing w:val="0"/>
        <w:jc w:val="both"/>
        <w:rPr>
          <w:rFonts w:ascii="Times New Roman" w:hAnsi="Times New Roman" w:eastAsia="Calibri"/>
          <w:sz w:val="24"/>
          <w:szCs w:val="24"/>
        </w:rPr>
      </w:pPr>
      <w:r>
        <w:rPr>
          <w:rFonts w:ascii="Times New Roman" w:hAnsi="Times New Roman" w:eastAsia="Calibri"/>
          <w:sz w:val="24"/>
          <w:szCs w:val="24"/>
        </w:rPr>
        <w:t>What is the influence of money market development on health outcomes in Nigeria?</w:t>
      </w:r>
    </w:p>
    <w:p>
      <w:pPr>
        <w:pStyle w:val="30"/>
        <w:numPr>
          <w:ilvl w:val="0"/>
          <w:numId w:val="1"/>
        </w:numPr>
        <w:spacing w:before="0" w:beforeAutospacing="0" w:after="120" w:line="480" w:lineRule="auto"/>
        <w:contextualSpacing w:val="0"/>
        <w:jc w:val="both"/>
        <w:rPr>
          <w:rFonts w:ascii="Times New Roman" w:hAnsi="Times New Roman" w:eastAsia="Calibri"/>
          <w:sz w:val="24"/>
          <w:szCs w:val="24"/>
        </w:rPr>
      </w:pPr>
      <w:r>
        <w:rPr>
          <w:rFonts w:ascii="Times New Roman" w:hAnsi="Times New Roman" w:eastAsia="Calibri"/>
          <w:sz w:val="24"/>
          <w:szCs w:val="24"/>
        </w:rPr>
        <w:t>To what extent does bank sector development influence health outcomes in Nigeria?</w:t>
      </w:r>
    </w:p>
    <w:p>
      <w:pPr>
        <w:pStyle w:val="30"/>
        <w:numPr>
          <w:ilvl w:val="0"/>
          <w:numId w:val="1"/>
        </w:numPr>
        <w:spacing w:before="0" w:beforeAutospacing="0" w:after="120" w:line="480" w:lineRule="auto"/>
        <w:contextualSpacing w:val="0"/>
        <w:jc w:val="both"/>
        <w:rPr>
          <w:rFonts w:ascii="Times New Roman" w:hAnsi="Times New Roman" w:eastAsia="Calibri"/>
          <w:sz w:val="24"/>
          <w:szCs w:val="24"/>
        </w:rPr>
      </w:pPr>
      <w:r>
        <w:rPr>
          <w:rFonts w:ascii="Times New Roman" w:hAnsi="Times New Roman" w:eastAsia="Calibri"/>
          <w:sz w:val="24"/>
          <w:szCs w:val="24"/>
        </w:rPr>
        <w:t>How does stock market development affect the health outcomes in Nigeria?</w:t>
      </w:r>
    </w:p>
    <w:p>
      <w:pPr>
        <w:spacing w:after="0" w:line="240" w:lineRule="auto"/>
        <w:rPr>
          <w:rFonts w:ascii="Times New Roman" w:hAnsi="Times New Roman" w:eastAsia="Calibri"/>
          <w:bCs/>
          <w:sz w:val="24"/>
          <w:szCs w:val="24"/>
        </w:rPr>
      </w:pPr>
      <w:r>
        <w:rPr>
          <w:rFonts w:ascii="Times New Roman" w:hAnsi="Times New Roman" w:eastAsia="Calibri"/>
          <w:bCs/>
          <w:sz w:val="24"/>
          <w:szCs w:val="24"/>
        </w:rPr>
        <w:br w:type="page"/>
      </w:r>
    </w:p>
    <w:p>
      <w:pPr>
        <w:spacing w:after="120" w:line="480" w:lineRule="auto"/>
        <w:jc w:val="both"/>
        <w:rPr>
          <w:rFonts w:ascii="Times New Roman" w:hAnsi="Times New Roman" w:eastAsia="Calibri"/>
          <w:b/>
          <w:sz w:val="24"/>
          <w:szCs w:val="24"/>
        </w:rPr>
      </w:pPr>
      <w:r>
        <w:rPr>
          <w:rFonts w:ascii="Times New Roman" w:hAnsi="Times New Roman" w:eastAsia="Calibri"/>
          <w:b/>
          <w:sz w:val="24"/>
          <w:szCs w:val="24"/>
        </w:rPr>
        <w:t>1.4</w:t>
      </w:r>
      <w:r>
        <w:rPr>
          <w:rFonts w:ascii="Times New Roman" w:hAnsi="Times New Roman" w:eastAsia="Calibri"/>
          <w:b/>
          <w:sz w:val="24"/>
          <w:szCs w:val="24"/>
        </w:rPr>
        <w:tab/>
      </w:r>
      <w:r>
        <w:rPr>
          <w:rFonts w:ascii="Times New Roman" w:hAnsi="Times New Roman" w:eastAsia="Calibri"/>
          <w:b/>
          <w:sz w:val="24"/>
          <w:szCs w:val="24"/>
        </w:rPr>
        <w:t>Objectives of the Study</w:t>
      </w:r>
    </w:p>
    <w:p>
      <w:pPr>
        <w:spacing w:after="120" w:line="480" w:lineRule="auto"/>
        <w:jc w:val="both"/>
        <w:rPr>
          <w:rFonts w:ascii="Times New Roman" w:hAnsi="Times New Roman" w:eastAsia="Calibri"/>
          <w:sz w:val="24"/>
          <w:szCs w:val="24"/>
        </w:rPr>
      </w:pPr>
      <w:r>
        <w:rPr>
          <w:rFonts w:ascii="Times New Roman" w:hAnsi="Times New Roman" w:eastAsia="Calibri"/>
          <w:sz w:val="24"/>
          <w:szCs w:val="24"/>
        </w:rPr>
        <w:t>The broad objective of the study is to investigate the effect of financial development on health outcomes in Nigeria.The specific objectives were to:</w:t>
      </w:r>
    </w:p>
    <w:p>
      <w:pPr>
        <w:pStyle w:val="30"/>
        <w:numPr>
          <w:ilvl w:val="0"/>
          <w:numId w:val="2"/>
        </w:numPr>
        <w:spacing w:before="0" w:beforeAutospacing="0" w:after="120" w:line="480" w:lineRule="auto"/>
        <w:contextualSpacing w:val="0"/>
        <w:jc w:val="both"/>
        <w:rPr>
          <w:rFonts w:ascii="Times New Roman" w:hAnsi="Times New Roman" w:eastAsia="Calibri"/>
          <w:sz w:val="24"/>
          <w:szCs w:val="24"/>
        </w:rPr>
      </w:pPr>
      <w:r>
        <w:rPr>
          <w:rFonts w:ascii="Times New Roman" w:hAnsi="Times New Roman" w:eastAsia="Calibri"/>
          <w:sz w:val="24"/>
          <w:szCs w:val="24"/>
        </w:rPr>
        <w:t>investigate the role of money market development on health outcome in Nigeria.</w:t>
      </w:r>
    </w:p>
    <w:p>
      <w:pPr>
        <w:pStyle w:val="30"/>
        <w:numPr>
          <w:ilvl w:val="0"/>
          <w:numId w:val="2"/>
        </w:numPr>
        <w:spacing w:before="0" w:beforeAutospacing="0" w:after="120" w:line="480" w:lineRule="auto"/>
        <w:contextualSpacing w:val="0"/>
        <w:jc w:val="both"/>
        <w:rPr>
          <w:rFonts w:ascii="Times New Roman" w:hAnsi="Times New Roman" w:eastAsia="Calibri"/>
          <w:sz w:val="24"/>
          <w:szCs w:val="24"/>
        </w:rPr>
      </w:pPr>
      <w:r>
        <w:rPr>
          <w:rFonts w:ascii="Times New Roman" w:hAnsi="Times New Roman" w:eastAsia="Calibri"/>
          <w:sz w:val="24"/>
          <w:szCs w:val="24"/>
        </w:rPr>
        <w:t>evaluate the influence of bank sector development on health outcome in Nigeria.</w:t>
      </w:r>
    </w:p>
    <w:p>
      <w:pPr>
        <w:pStyle w:val="30"/>
        <w:numPr>
          <w:ilvl w:val="0"/>
          <w:numId w:val="2"/>
        </w:numPr>
        <w:spacing w:before="0" w:beforeAutospacing="0" w:after="120" w:line="480" w:lineRule="auto"/>
        <w:contextualSpacing w:val="0"/>
        <w:jc w:val="both"/>
        <w:rPr>
          <w:rFonts w:ascii="Times New Roman" w:hAnsi="Times New Roman" w:eastAsia="Calibri"/>
          <w:sz w:val="24"/>
          <w:szCs w:val="24"/>
        </w:rPr>
      </w:pPr>
      <w:r>
        <w:rPr>
          <w:rFonts w:ascii="Times New Roman" w:hAnsi="Times New Roman" w:eastAsia="Calibri"/>
          <w:sz w:val="24"/>
          <w:szCs w:val="24"/>
        </w:rPr>
        <w:t>determine the effect of stock market development on health outcome in Nigeria.</w:t>
      </w:r>
    </w:p>
    <w:p>
      <w:pPr>
        <w:pStyle w:val="28"/>
        <w:spacing w:after="120" w:line="480" w:lineRule="auto"/>
        <w:jc w:val="both"/>
        <w:rPr>
          <w:rFonts w:eastAsia="Calibri"/>
          <w:b/>
          <w:color w:val="auto"/>
        </w:rPr>
      </w:pPr>
      <w:r>
        <w:rPr>
          <w:b/>
          <w:color w:val="auto"/>
        </w:rPr>
        <w:t>1.5</w:t>
      </w:r>
      <w:r>
        <w:rPr>
          <w:b/>
          <w:color w:val="auto"/>
        </w:rPr>
        <w:tab/>
      </w:r>
      <w:r>
        <w:rPr>
          <w:b/>
          <w:color w:val="auto"/>
        </w:rPr>
        <w:t>Hypotheses</w:t>
      </w:r>
    </w:p>
    <w:p>
      <w:pPr>
        <w:spacing w:after="120" w:line="480" w:lineRule="auto"/>
        <w:jc w:val="both"/>
        <w:rPr>
          <w:rFonts w:ascii="Times New Roman" w:hAnsi="Times New Roman" w:eastAsia="Calibri"/>
          <w:sz w:val="24"/>
          <w:szCs w:val="24"/>
        </w:rPr>
      </w:pPr>
      <w:r>
        <w:rPr>
          <w:rFonts w:ascii="Times New Roman" w:hAnsi="Times New Roman" w:eastAsia="Calibri"/>
          <w:sz w:val="24"/>
          <w:szCs w:val="24"/>
        </w:rPr>
        <w:t>The following hypotheses are developed in line with the objectives above to guide the research questions.</w:t>
      </w:r>
    </w:p>
    <w:p>
      <w:pPr>
        <w:spacing w:after="120" w:line="480" w:lineRule="auto"/>
        <w:ind w:left="540" w:hanging="540"/>
        <w:jc w:val="both"/>
        <w:rPr>
          <w:rFonts w:ascii="Times New Roman" w:hAnsi="Times New Roman" w:eastAsia="Calibri"/>
          <w:sz w:val="24"/>
          <w:szCs w:val="24"/>
        </w:rPr>
      </w:pPr>
      <w:r>
        <w:rPr>
          <w:rFonts w:ascii="Times New Roman" w:hAnsi="Times New Roman" w:eastAsia="Calibri"/>
          <w:b/>
          <w:sz w:val="24"/>
          <w:szCs w:val="24"/>
        </w:rPr>
        <w:t>H</w:t>
      </w:r>
      <w:r>
        <w:rPr>
          <w:rFonts w:ascii="Times New Roman" w:hAnsi="Times New Roman" w:eastAsia="Calibri"/>
          <w:b/>
          <w:sz w:val="24"/>
          <w:szCs w:val="24"/>
          <w:vertAlign w:val="subscript"/>
        </w:rPr>
        <w:t>01</w:t>
      </w:r>
      <w:r>
        <w:rPr>
          <w:rFonts w:ascii="Times New Roman" w:hAnsi="Times New Roman" w:eastAsia="Calibri"/>
          <w:sz w:val="24"/>
          <w:szCs w:val="24"/>
        </w:rPr>
        <w:t>: There is no significant effect of money market development on health outcome in Nigeria.</w:t>
      </w:r>
    </w:p>
    <w:p>
      <w:pPr>
        <w:spacing w:after="120" w:line="480" w:lineRule="auto"/>
        <w:jc w:val="both"/>
        <w:rPr>
          <w:rFonts w:ascii="Times New Roman" w:hAnsi="Times New Roman" w:eastAsia="Calibri"/>
          <w:sz w:val="24"/>
          <w:szCs w:val="24"/>
        </w:rPr>
      </w:pPr>
      <w:r>
        <w:rPr>
          <w:rFonts w:ascii="Times New Roman" w:hAnsi="Times New Roman" w:eastAsia="Calibri"/>
          <w:b/>
          <w:sz w:val="24"/>
          <w:szCs w:val="24"/>
        </w:rPr>
        <w:t>H</w:t>
      </w:r>
      <w:r>
        <w:rPr>
          <w:rFonts w:ascii="Times New Roman" w:hAnsi="Times New Roman" w:eastAsia="Calibri"/>
          <w:b/>
          <w:sz w:val="24"/>
          <w:szCs w:val="24"/>
          <w:vertAlign w:val="subscript"/>
        </w:rPr>
        <w:t>02</w:t>
      </w:r>
      <w:r>
        <w:rPr>
          <w:rFonts w:ascii="Times New Roman" w:hAnsi="Times New Roman" w:eastAsia="Calibri"/>
          <w:sz w:val="24"/>
          <w:szCs w:val="24"/>
        </w:rPr>
        <w:t>: There is no significant effect of bank sector development on health outcome in Nigeria.</w:t>
      </w:r>
    </w:p>
    <w:p>
      <w:pPr>
        <w:spacing w:after="120" w:line="480" w:lineRule="auto"/>
        <w:jc w:val="both"/>
        <w:rPr>
          <w:rFonts w:ascii="Times New Roman" w:hAnsi="Times New Roman" w:eastAsia="Calibri"/>
          <w:sz w:val="24"/>
          <w:szCs w:val="24"/>
        </w:rPr>
      </w:pPr>
      <w:r>
        <w:rPr>
          <w:rFonts w:ascii="Times New Roman" w:hAnsi="Times New Roman" w:eastAsia="Calibri"/>
          <w:b/>
          <w:sz w:val="24"/>
          <w:szCs w:val="24"/>
        </w:rPr>
        <w:t>H</w:t>
      </w:r>
      <w:r>
        <w:rPr>
          <w:rFonts w:ascii="Times New Roman" w:hAnsi="Times New Roman" w:eastAsia="Calibri"/>
          <w:b/>
          <w:sz w:val="24"/>
          <w:szCs w:val="24"/>
          <w:vertAlign w:val="subscript"/>
        </w:rPr>
        <w:t>03</w:t>
      </w:r>
      <w:r>
        <w:rPr>
          <w:rFonts w:ascii="Times New Roman" w:hAnsi="Times New Roman" w:eastAsia="Calibri"/>
          <w:sz w:val="24"/>
          <w:szCs w:val="24"/>
        </w:rPr>
        <w:t>: There is no significant effect of stock market development on health outcome in Nigeria.</w:t>
      </w:r>
    </w:p>
    <w:p>
      <w:pPr>
        <w:pStyle w:val="28"/>
        <w:spacing w:after="120" w:line="480" w:lineRule="auto"/>
        <w:jc w:val="both"/>
        <w:rPr>
          <w:b/>
          <w:color w:val="auto"/>
        </w:rPr>
      </w:pPr>
      <w:r>
        <w:rPr>
          <w:b/>
          <w:color w:val="auto"/>
        </w:rPr>
        <w:t>1.6</w:t>
      </w:r>
      <w:r>
        <w:rPr>
          <w:b/>
          <w:color w:val="auto"/>
        </w:rPr>
        <w:tab/>
      </w:r>
      <w:r>
        <w:rPr>
          <w:b/>
          <w:color w:val="auto"/>
        </w:rPr>
        <w:t>Scope of the Study</w:t>
      </w:r>
    </w:p>
    <w:p>
      <w:pPr>
        <w:spacing w:after="120" w:line="480" w:lineRule="auto"/>
        <w:jc w:val="both"/>
        <w:rPr>
          <w:rFonts w:ascii="Times New Roman" w:hAnsi="Times New Roman" w:eastAsia="Calibri"/>
          <w:sz w:val="24"/>
          <w:szCs w:val="24"/>
        </w:rPr>
      </w:pPr>
      <w:r>
        <w:rPr>
          <w:rFonts w:ascii="Times New Roman" w:hAnsi="Times New Roman" w:eastAsia="Calibri"/>
          <w:sz w:val="24"/>
          <w:szCs w:val="24"/>
        </w:rPr>
        <w:t>This study focused on investigating the effect of financial sector development and health outcomes in Nigeria between the period of 1985 and 2022. This scope was selected because it falls under the period of financial sector reforms in Nigeria when the government of Nigeria has been emphasizing that banks increase their provision for credit to the private sector. Moreover, the study intends to recognize the post-structural period were health sector reforms takes a full shape in Nigeria. Data was sourced from the Central Bank of Nigeria (CBN) statistical bulletin and Word development Indicators (WDI, 2022).</w:t>
      </w:r>
    </w:p>
    <w:p>
      <w:pPr>
        <w:spacing w:after="0" w:line="240" w:lineRule="auto"/>
        <w:rPr>
          <w:rFonts w:ascii="Times New Roman" w:hAnsi="Times New Roman" w:cs="Times New Roman"/>
          <w:b/>
          <w:sz w:val="24"/>
          <w:szCs w:val="24"/>
        </w:rPr>
      </w:pPr>
      <w:r>
        <w:rPr>
          <w:b/>
        </w:rPr>
        <w:br w:type="page"/>
      </w:r>
    </w:p>
    <w:p>
      <w:pPr>
        <w:pStyle w:val="28"/>
        <w:spacing w:after="120" w:line="480" w:lineRule="auto"/>
        <w:jc w:val="both"/>
        <w:rPr>
          <w:rFonts w:eastAsia="Calibri"/>
          <w:b/>
          <w:color w:val="auto"/>
        </w:rPr>
      </w:pPr>
      <w:r>
        <w:rPr>
          <w:b/>
          <w:color w:val="auto"/>
        </w:rPr>
        <w:t>1.7</w:t>
      </w:r>
      <w:r>
        <w:rPr>
          <w:b/>
          <w:color w:val="auto"/>
        </w:rPr>
        <w:tab/>
      </w:r>
      <w:r>
        <w:rPr>
          <w:b/>
          <w:color w:val="auto"/>
        </w:rPr>
        <w:t xml:space="preserve">Significance of the Study </w:t>
      </w:r>
    </w:p>
    <w:p>
      <w:pPr>
        <w:pStyle w:val="28"/>
        <w:spacing w:after="120" w:line="480" w:lineRule="auto"/>
        <w:jc w:val="both"/>
        <w:rPr>
          <w:color w:val="auto"/>
        </w:rPr>
      </w:pPr>
      <w:r>
        <w:rPr>
          <w:color w:val="auto"/>
        </w:rPr>
        <w:t>The study’s significance lies in bridging the gap between finance and health, shedding light on how financial sector development can influence health outcomes in Nigeria. By comprehending this relationship, policymakers and stakeholders can make well-informed decisions aimed at promoting sustainable economic growth and enhancing health outcomes, so eventually contributing to the overall well-being of the Nigerian population.</w:t>
      </w:r>
    </w:p>
    <w:p>
      <w:pPr>
        <w:pStyle w:val="28"/>
        <w:spacing w:after="120" w:line="480" w:lineRule="auto"/>
        <w:jc w:val="both"/>
        <w:rPr>
          <w:color w:val="auto"/>
        </w:rPr>
      </w:pPr>
      <w:r>
        <w:rPr>
          <w:color w:val="auto"/>
        </w:rPr>
        <w:t>The findings of this study have the potential to offer significant insights to policymakers, regulators, and financial institutions operating within the Nigerian context. The examination of the relationship between the growth of the financial sector and health outcomes can shed light on the significance of a robust financial system in facilitating and advancing the general welfare of society. Policymakers can utilize this knowledge to formulate and execute financial sector changes that place emphasis on stability, inclusiveness, and efficiency. This approach can ultimately lead to improved health outcomes by facilitating enhanced funding and investment prospects within the health sector.</w:t>
      </w:r>
    </w:p>
    <w:p>
      <w:pPr>
        <w:pStyle w:val="28"/>
        <w:spacing w:after="120" w:line="480" w:lineRule="auto"/>
        <w:jc w:val="both"/>
        <w:rPr>
          <w:color w:val="auto"/>
        </w:rPr>
      </w:pPr>
      <w:r>
        <w:rPr>
          <w:color w:val="auto"/>
        </w:rPr>
        <w:t>This study possesses significance that extends beyond the geographical boundaries of Nigeria. Numerous emerging economies face the same contradiction wherein they have notable economic growth and persistent health inequities. Lessons drawn from this study can be applied globally, offering valuable insights to policymakers in other nations facing similar challenges. Therefore, this study makes a valuable contribution to the existing body of knowledge that guides the creation of policies aimed at striking a balance between economic growth and the well-being of individuals' health in emerging economies.</w:t>
      </w:r>
    </w:p>
    <w:p>
      <w:pPr>
        <w:pStyle w:val="28"/>
        <w:spacing w:after="120" w:line="480" w:lineRule="auto"/>
        <w:jc w:val="both"/>
        <w:rPr>
          <w:color w:val="auto"/>
        </w:rPr>
      </w:pPr>
      <w:r>
        <w:rPr>
          <w:color w:val="auto"/>
        </w:rPr>
        <w:t>The examination of how financial sector development impacts health disparities among different socio-economic groups is another crucial aspect of this study’s significance. It sheds light on the issue of health equity, which is of paramount importance in a diverse and populous nation like Nigeria. These findings can be utilized by policymakers to formulate policies that aim to achieve a more equitable distribution of the advantages of economic growth throughout society, hence contributing to the mitigation of health inequities.</w:t>
      </w:r>
    </w:p>
    <w:p>
      <w:pPr>
        <w:pStyle w:val="28"/>
        <w:spacing w:after="120" w:line="480" w:lineRule="auto"/>
        <w:jc w:val="both"/>
        <w:rPr>
          <w:color w:val="auto"/>
        </w:rPr>
      </w:pPr>
      <w:r>
        <w:rPr>
          <w:color w:val="auto"/>
        </w:rPr>
        <w:t>This study has the potential to serve as a fundamental basis for future research endeavors within the realm of finance and its impact on health outcomes. This study offers an initial framework for investigating the intricate connection between financial development and health. It enables researchers to further examine specific elements, such as the influence of financial inclusion, stability within the banking sector, or the effects of innovative financial products on health indicators. Furthermore, this emphasizes the importance of multidisciplinary research in comprehending the interaction between finance and health, fostering the collaboration of future scholars and the exploration of intriguing lines of investigation.</w:t>
      </w:r>
    </w:p>
    <w:p>
      <w:pPr>
        <w:pStyle w:val="28"/>
        <w:spacing w:after="120" w:line="480" w:lineRule="auto"/>
        <w:jc w:val="both"/>
        <w:rPr>
          <w:rFonts w:eastAsia="Calibri"/>
          <w:b/>
          <w:color w:val="auto"/>
        </w:rPr>
      </w:pPr>
      <w:r>
        <w:rPr>
          <w:b/>
          <w:color w:val="auto"/>
        </w:rPr>
        <w:t>1.8</w:t>
      </w:r>
      <w:r>
        <w:rPr>
          <w:b/>
          <w:color w:val="auto"/>
        </w:rPr>
        <w:tab/>
      </w:r>
      <w:r>
        <w:rPr>
          <w:b/>
          <w:color w:val="auto"/>
        </w:rPr>
        <w:t xml:space="preserve">Operational Definition of Terms </w:t>
      </w:r>
    </w:p>
    <w:p>
      <w:pPr>
        <w:spacing w:after="120" w:line="480" w:lineRule="auto"/>
        <w:jc w:val="both"/>
        <w:rPr>
          <w:rFonts w:ascii="Times New Roman" w:hAnsi="Times New Roman" w:eastAsia="Calibri"/>
          <w:b/>
          <w:sz w:val="24"/>
          <w:szCs w:val="24"/>
        </w:rPr>
      </w:pPr>
      <w:r>
        <w:rPr>
          <w:rFonts w:ascii="Times New Roman" w:hAnsi="Times New Roman" w:eastAsia="Calibri"/>
          <w:b/>
          <w:sz w:val="24"/>
          <w:szCs w:val="24"/>
        </w:rPr>
        <w:t>Credit:</w:t>
      </w:r>
      <w:r>
        <w:rPr>
          <w:rFonts w:ascii="Times New Roman" w:hAnsi="Times New Roman" w:eastAsia="Calibri"/>
          <w:sz w:val="24"/>
          <w:szCs w:val="24"/>
        </w:rPr>
        <w:t xml:space="preserve"> a financial facility that enables a person or business to borrow money to purchase products and raw materials. </w:t>
      </w:r>
    </w:p>
    <w:p>
      <w:pPr>
        <w:spacing w:after="120" w:line="480" w:lineRule="auto"/>
        <w:jc w:val="both"/>
        <w:rPr>
          <w:rFonts w:ascii="Times New Roman" w:hAnsi="Times New Roman" w:eastAsia="Calibri"/>
          <w:sz w:val="24"/>
          <w:szCs w:val="24"/>
        </w:rPr>
      </w:pPr>
      <w:r>
        <w:rPr>
          <w:rFonts w:ascii="Times New Roman" w:hAnsi="Times New Roman" w:eastAsia="Calibri"/>
          <w:b/>
          <w:sz w:val="24"/>
          <w:szCs w:val="24"/>
        </w:rPr>
        <w:t xml:space="preserve">Deposit money bank: </w:t>
      </w:r>
      <w:r>
        <w:rPr>
          <w:rFonts w:ascii="Times New Roman" w:hAnsi="Times New Roman" w:eastAsia="Calibri"/>
          <w:sz w:val="24"/>
          <w:szCs w:val="24"/>
        </w:rPr>
        <w:t>the financial institution licensed by the regulatory authority to mobilize deposits from the surplus unit and channel the funds through loan to the deficit unit and performs other financial activities.</w:t>
      </w:r>
    </w:p>
    <w:p>
      <w:pPr>
        <w:spacing w:after="120" w:line="480" w:lineRule="auto"/>
        <w:jc w:val="both"/>
        <w:rPr>
          <w:rFonts w:ascii="Times New Roman" w:hAnsi="Times New Roman" w:eastAsia="Calibri"/>
          <w:sz w:val="24"/>
          <w:szCs w:val="24"/>
        </w:rPr>
      </w:pPr>
      <w:r>
        <w:rPr>
          <w:rFonts w:ascii="Times New Roman" w:hAnsi="Times New Roman" w:eastAsia="Calibri"/>
          <w:b/>
          <w:sz w:val="24"/>
          <w:szCs w:val="24"/>
        </w:rPr>
        <w:t xml:space="preserve">Deposit money bank credit: </w:t>
      </w:r>
      <w:r>
        <w:rPr>
          <w:rFonts w:ascii="Times New Roman" w:hAnsi="Times New Roman" w:eastAsia="Calibri"/>
          <w:sz w:val="24"/>
          <w:szCs w:val="24"/>
        </w:rPr>
        <w:t>A credit is the lending of money by one or more individuals, organizations or other entities to other individuals, organizations etc. The recipient incurs a debt, and usually liable to pay interest on that debt until it is repaid, and also to repay the principal amount borrowed.</w:t>
      </w:r>
    </w:p>
    <w:p>
      <w:pPr>
        <w:spacing w:after="120" w:line="480" w:lineRule="auto"/>
        <w:jc w:val="both"/>
        <w:rPr>
          <w:rFonts w:ascii="Times New Roman" w:hAnsi="Times New Roman" w:eastAsia="Calibri"/>
          <w:sz w:val="24"/>
          <w:szCs w:val="24"/>
        </w:rPr>
      </w:pPr>
      <w:r>
        <w:rPr>
          <w:rFonts w:ascii="Times New Roman" w:hAnsi="Times New Roman" w:eastAsia="Calibri"/>
          <w:b/>
          <w:sz w:val="24"/>
          <w:szCs w:val="24"/>
        </w:rPr>
        <w:t>Financing</w:t>
      </w:r>
      <w:r>
        <w:rPr>
          <w:rFonts w:ascii="Times New Roman" w:hAnsi="Times New Roman" w:eastAsia="Calibri"/>
          <w:sz w:val="24"/>
          <w:szCs w:val="24"/>
        </w:rPr>
        <w:t>: To provide funds for a person or an enterprise. Financing is the process of providing funds for business activities making purchases or investing.</w:t>
      </w:r>
    </w:p>
    <w:p>
      <w:pPr>
        <w:spacing w:after="120" w:line="480" w:lineRule="auto"/>
        <w:jc w:val="both"/>
        <w:rPr>
          <w:rFonts w:ascii="Times New Roman" w:hAnsi="Times New Roman" w:eastAsia="Calibri"/>
          <w:sz w:val="24"/>
          <w:szCs w:val="24"/>
        </w:rPr>
      </w:pPr>
      <w:r>
        <w:rPr>
          <w:rFonts w:ascii="Times New Roman" w:hAnsi="Times New Roman" w:eastAsia="Calibri"/>
          <w:b/>
          <w:sz w:val="24"/>
          <w:szCs w:val="24"/>
        </w:rPr>
        <w:t>Financial Sector</w:t>
      </w:r>
      <w:r>
        <w:rPr>
          <w:rFonts w:ascii="Times New Roman" w:hAnsi="Times New Roman" w:eastAsia="Calibri"/>
          <w:sz w:val="24"/>
          <w:szCs w:val="24"/>
        </w:rPr>
        <w:t>: Financial sector is the set of institutions, instruments, markets, as well as the legal and regulatory framework that permit transactions to be made by extending credit.</w:t>
      </w:r>
    </w:p>
    <w:p>
      <w:pPr>
        <w:spacing w:after="120" w:line="480" w:lineRule="auto"/>
        <w:jc w:val="both"/>
        <w:rPr>
          <w:rFonts w:ascii="Calibri" w:hAnsi="Calibri" w:eastAsia="Times New Roman"/>
        </w:rPr>
      </w:pPr>
      <w:r>
        <w:rPr>
          <w:rFonts w:ascii="Times New Roman" w:hAnsi="Times New Roman" w:eastAsia="Calibri"/>
          <w:b/>
          <w:sz w:val="24"/>
          <w:szCs w:val="24"/>
        </w:rPr>
        <w:t>Financial Reforms:</w:t>
      </w:r>
      <w:r>
        <w:rPr>
          <w:rFonts w:ascii="Times New Roman" w:hAnsi="Times New Roman" w:eastAsia="Calibri"/>
          <w:sz w:val="24"/>
          <w:szCs w:val="24"/>
        </w:rPr>
        <w:t>Financial reforms refer to the process or change in the components of the financial sector (i.e. deposit money banks, stock markets other financial intermediaries and a central bank becoming more efficient in providing financial service.</w:t>
      </w:r>
    </w:p>
    <w:p>
      <w:pPr>
        <w:spacing w:after="120" w:line="480" w:lineRule="auto"/>
        <w:jc w:val="both"/>
        <w:rPr>
          <w:rFonts w:ascii="Times New Roman" w:hAnsi="Times New Roman" w:cs="Times New Roman"/>
          <w:b/>
          <w:sz w:val="24"/>
          <w:szCs w:val="24"/>
        </w:rPr>
      </w:pPr>
      <w:r>
        <w:rPr>
          <w:b/>
        </w:rPr>
        <w:br w:type="page"/>
      </w:r>
    </w:p>
    <w:p>
      <w:pPr>
        <w:spacing w:line="360" w:lineRule="auto"/>
        <w:jc w:val="center"/>
        <w:rPr>
          <w:rFonts w:ascii="Times New Roman" w:hAnsi="Times New Roman" w:eastAsia="Calibri"/>
          <w:b/>
          <w:bCs/>
          <w:sz w:val="24"/>
          <w:szCs w:val="24"/>
        </w:rPr>
      </w:pPr>
      <w:r>
        <w:rPr>
          <w:rFonts w:ascii="Times New Roman" w:hAnsi="Times New Roman" w:eastAsia="Calibri"/>
          <w:b/>
          <w:bCs/>
          <w:sz w:val="24"/>
          <w:szCs w:val="24"/>
        </w:rPr>
        <w:t>Endnotes</w:t>
      </w:r>
    </w:p>
    <w:p>
      <w:pPr>
        <w:pStyle w:val="14"/>
        <w:spacing w:after="20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1</w:t>
      </w:r>
      <w:r>
        <w:rPr>
          <w:rFonts w:ascii="Times New Roman" w:hAnsi="Times New Roman" w:eastAsia="Calibri"/>
          <w:sz w:val="24"/>
          <w:szCs w:val="24"/>
          <w:shd w:val="clear" w:color="auto" w:fill="FFFFFF"/>
        </w:rPr>
        <w:t>G. Ranis, F. Stewart, &amp; A. Ramirez.</w:t>
      </w:r>
      <w:r>
        <w:rPr>
          <w:rFonts w:ascii="Times New Roman" w:hAnsi="Times New Roman" w:eastAsia="Calibri"/>
          <w:i/>
          <w:iCs/>
          <w:sz w:val="24"/>
          <w:szCs w:val="24"/>
          <w:shd w:val="clear" w:color="auto" w:fill="FFFFFF"/>
        </w:rPr>
        <w:t>Economic growth and human development.</w:t>
      </w:r>
      <w:r>
        <w:rPr>
          <w:rFonts w:ascii="Times New Roman" w:hAnsi="Times New Roman" w:eastAsia="Calibri"/>
          <w:b/>
          <w:bCs/>
          <w:sz w:val="24"/>
          <w:szCs w:val="24"/>
          <w:shd w:val="clear" w:color="auto" w:fill="FFFFFF"/>
        </w:rPr>
        <w:t>World Development</w:t>
      </w:r>
      <w:r>
        <w:rPr>
          <w:rFonts w:ascii="Times New Roman" w:hAnsi="Times New Roman" w:eastAsia="Calibri"/>
          <w:sz w:val="24"/>
          <w:szCs w:val="24"/>
          <w:shd w:val="clear" w:color="auto" w:fill="FFFFFF"/>
        </w:rPr>
        <w:t>, 28(2), 2000, 197-219.</w:t>
      </w:r>
    </w:p>
    <w:p>
      <w:pPr>
        <w:pStyle w:val="14"/>
        <w:spacing w:after="20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2</w:t>
      </w:r>
      <w:r>
        <w:rPr>
          <w:rFonts w:ascii="Times New Roman" w:hAnsi="Times New Roman" w:eastAsia="Calibri"/>
          <w:sz w:val="24"/>
          <w:szCs w:val="24"/>
          <w:shd w:val="clear" w:color="auto" w:fill="FFFFFF"/>
        </w:rPr>
        <w:t>J. Afolabi.</w:t>
      </w:r>
      <w:r>
        <w:rPr>
          <w:rFonts w:ascii="Times New Roman" w:hAnsi="Times New Roman" w:eastAsia="Calibri"/>
          <w:i/>
          <w:iCs/>
          <w:sz w:val="24"/>
          <w:szCs w:val="24"/>
          <w:shd w:val="clear" w:color="auto" w:fill="FFFFFF"/>
        </w:rPr>
        <w:t>Financial Development, Trade Openness, and Economic Growth in Nigeria.</w:t>
      </w:r>
      <w:r>
        <w:rPr>
          <w:rFonts w:ascii="Times New Roman" w:hAnsi="Times New Roman" w:eastAsia="Calibri"/>
          <w:b/>
          <w:bCs/>
          <w:sz w:val="24"/>
          <w:szCs w:val="24"/>
          <w:shd w:val="clear" w:color="auto" w:fill="FFFFFF"/>
        </w:rPr>
        <w:t>Iranian Economic Review</w:t>
      </w:r>
      <w:r>
        <w:rPr>
          <w:rFonts w:ascii="Times New Roman" w:hAnsi="Times New Roman" w:eastAsia="Calibri"/>
          <w:i/>
          <w:iCs/>
          <w:sz w:val="24"/>
          <w:szCs w:val="24"/>
          <w:shd w:val="clear" w:color="auto" w:fill="FFFFFF"/>
        </w:rPr>
        <w:t>,</w:t>
      </w:r>
      <w:r>
        <w:rPr>
          <w:rFonts w:ascii="Times New Roman" w:hAnsi="Times New Roman" w:eastAsia="Calibri"/>
          <w:sz w:val="24"/>
          <w:szCs w:val="24"/>
          <w:shd w:val="clear" w:color="auto" w:fill="FFFFFF"/>
        </w:rPr>
        <w:t xml:space="preserve"> 26(1), 2022, 237-254.</w:t>
      </w:r>
    </w:p>
    <w:p>
      <w:pPr>
        <w:pStyle w:val="14"/>
        <w:spacing w:after="20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3</w:t>
      </w:r>
      <w:r>
        <w:rPr>
          <w:rFonts w:ascii="Times New Roman" w:hAnsi="Times New Roman" w:eastAsia="Calibri"/>
          <w:sz w:val="24"/>
          <w:szCs w:val="24"/>
          <w:shd w:val="clear" w:color="auto" w:fill="FFFFFF"/>
        </w:rPr>
        <w:t xml:space="preserve">P. K. Ozili. </w:t>
      </w:r>
      <w:r>
        <w:rPr>
          <w:rFonts w:ascii="Times New Roman" w:hAnsi="Times New Roman" w:eastAsia="Calibri"/>
          <w:i/>
          <w:iCs/>
          <w:sz w:val="24"/>
          <w:szCs w:val="24"/>
          <w:shd w:val="clear" w:color="auto" w:fill="FFFFFF"/>
        </w:rPr>
        <w:t>Impact of digital finance on financial inclusion and stability.</w:t>
      </w:r>
      <w:r>
        <w:rPr>
          <w:rFonts w:ascii="Times New Roman" w:hAnsi="Times New Roman" w:eastAsia="Calibri"/>
          <w:b/>
          <w:bCs/>
          <w:sz w:val="24"/>
          <w:szCs w:val="24"/>
          <w:shd w:val="clear" w:color="auto" w:fill="FFFFFF"/>
        </w:rPr>
        <w:t>Borsa Istanbul Review,</w:t>
      </w:r>
      <w:r>
        <w:rPr>
          <w:rFonts w:ascii="Times New Roman" w:hAnsi="Times New Roman" w:eastAsia="Calibri"/>
          <w:sz w:val="24"/>
          <w:szCs w:val="24"/>
          <w:shd w:val="clear" w:color="auto" w:fill="FFFFFF"/>
        </w:rPr>
        <w:t xml:space="preserve"> 18(4), 2018, 329-340.</w:t>
      </w:r>
    </w:p>
    <w:p>
      <w:pPr>
        <w:pStyle w:val="14"/>
        <w:spacing w:after="200"/>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vertAlign w:val="superscript"/>
        </w:rPr>
        <w:t>4</w:t>
      </w:r>
      <w:r>
        <w:rPr>
          <w:rFonts w:ascii="Times New Roman" w:hAnsi="Times New Roman" w:eastAsia="Calibri"/>
          <w:sz w:val="24"/>
          <w:szCs w:val="24"/>
          <w:shd w:val="clear" w:color="auto" w:fill="FFFFFF"/>
        </w:rPr>
        <w:t xml:space="preserve">S., Abdulhamid, S. Ahmed, &amp; S. Hassan. </w:t>
      </w:r>
      <w:r>
        <w:rPr>
          <w:rFonts w:ascii="Times New Roman" w:hAnsi="Times New Roman" w:eastAsia="Calibri"/>
          <w:i/>
          <w:iCs/>
          <w:sz w:val="24"/>
          <w:szCs w:val="24"/>
          <w:shd w:val="clear" w:color="auto" w:fill="FFFFFF"/>
        </w:rPr>
        <w:t>The effects of foreign direct investment on economic growth: The case of Sub-Sahara Africa.</w:t>
      </w:r>
      <w:r>
        <w:rPr>
          <w:rFonts w:ascii="Times New Roman" w:hAnsi="Times New Roman" w:eastAsia="Calibri"/>
          <w:b/>
          <w:bCs/>
          <w:sz w:val="24"/>
          <w:szCs w:val="24"/>
          <w:shd w:val="clear" w:color="auto" w:fill="FFFFFF"/>
        </w:rPr>
        <w:t>Southwestern Economic Review,</w:t>
      </w:r>
      <w:r>
        <w:rPr>
          <w:rFonts w:ascii="Times New Roman" w:hAnsi="Times New Roman" w:eastAsia="Calibri"/>
          <w:sz w:val="24"/>
          <w:szCs w:val="24"/>
          <w:shd w:val="clear" w:color="auto" w:fill="FFFFFF"/>
        </w:rPr>
        <w:t xml:space="preserve"> 34 2007, 61-73.</w:t>
      </w:r>
    </w:p>
    <w:p>
      <w:pPr>
        <w:pStyle w:val="14"/>
        <w:spacing w:after="20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5</w:t>
      </w:r>
      <w:r>
        <w:rPr>
          <w:rFonts w:ascii="Times New Roman" w:hAnsi="Times New Roman" w:eastAsia="Calibri"/>
          <w:sz w:val="24"/>
          <w:szCs w:val="24"/>
          <w:shd w:val="clear" w:color="auto" w:fill="FFFFFF"/>
        </w:rPr>
        <w:t xml:space="preserve">D. I. Levine,&amp; D. Rothman. </w:t>
      </w:r>
      <w:r>
        <w:rPr>
          <w:rFonts w:ascii="Times New Roman" w:hAnsi="Times New Roman" w:eastAsia="Calibri"/>
          <w:i/>
          <w:iCs/>
          <w:sz w:val="24"/>
          <w:szCs w:val="24"/>
          <w:shd w:val="clear" w:color="auto" w:fill="FFFFFF"/>
        </w:rPr>
        <w:t>Does trade affect child health?</w:t>
      </w:r>
      <w:r>
        <w:rPr>
          <w:rFonts w:ascii="Times New Roman" w:hAnsi="Times New Roman" w:eastAsia="Calibri"/>
          <w:b/>
          <w:bCs/>
          <w:sz w:val="24"/>
          <w:szCs w:val="24"/>
          <w:shd w:val="clear" w:color="auto" w:fill="FFFFFF"/>
        </w:rPr>
        <w:t>Journal of health Economics,</w:t>
      </w:r>
      <w:r>
        <w:rPr>
          <w:rFonts w:ascii="Times New Roman" w:hAnsi="Times New Roman" w:eastAsia="Calibri"/>
          <w:sz w:val="24"/>
          <w:szCs w:val="24"/>
          <w:shd w:val="clear" w:color="auto" w:fill="FFFFFF"/>
        </w:rPr>
        <w:t xml:space="preserve"> 25(3), 2006, 538-554.</w:t>
      </w:r>
    </w:p>
    <w:p>
      <w:pPr>
        <w:pStyle w:val="14"/>
        <w:spacing w:after="20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6</w:t>
      </w:r>
      <w:r>
        <w:rPr>
          <w:rFonts w:ascii="Times New Roman" w:hAnsi="Times New Roman" w:eastAsia="Calibri"/>
          <w:sz w:val="24"/>
          <w:szCs w:val="24"/>
          <w:shd w:val="clear" w:color="auto" w:fill="FFFFFF"/>
        </w:rPr>
        <w:t xml:space="preserve">World Health Organization. </w:t>
      </w:r>
      <w:r>
        <w:rPr>
          <w:rFonts w:ascii="Times New Roman" w:hAnsi="Times New Roman" w:eastAsia="Calibri"/>
          <w:i/>
          <w:iCs/>
          <w:sz w:val="24"/>
          <w:szCs w:val="24"/>
          <w:shd w:val="clear" w:color="auto" w:fill="FFFFFF"/>
        </w:rPr>
        <w:t>WHO report on the global tobacco epidemic, 2013: enforcing bans on tobacco advertising, promotion and sponsorship</w:t>
      </w:r>
      <w:r>
        <w:rPr>
          <w:rFonts w:ascii="Times New Roman" w:hAnsi="Times New Roman" w:eastAsia="Calibri"/>
          <w:sz w:val="24"/>
          <w:szCs w:val="24"/>
          <w:shd w:val="clear" w:color="auto" w:fill="FFFFFF"/>
        </w:rPr>
        <w:t>.</w:t>
      </w:r>
      <w:r>
        <w:rPr>
          <w:rFonts w:ascii="Times New Roman" w:hAnsi="Times New Roman" w:eastAsia="Calibri"/>
          <w:b/>
          <w:bCs/>
          <w:sz w:val="24"/>
          <w:szCs w:val="24"/>
          <w:shd w:val="clear" w:color="auto" w:fill="FFFFFF"/>
        </w:rPr>
        <w:t>World Health Organization</w:t>
      </w:r>
      <w:r>
        <w:rPr>
          <w:rFonts w:ascii="Times New Roman" w:hAnsi="Times New Roman" w:eastAsia="Calibri"/>
          <w:sz w:val="24"/>
          <w:szCs w:val="24"/>
          <w:shd w:val="clear" w:color="auto" w:fill="FFFFFF"/>
        </w:rPr>
        <w:t>, 2013.</w:t>
      </w:r>
    </w:p>
    <w:p>
      <w:pPr>
        <w:pStyle w:val="14"/>
        <w:spacing w:after="200"/>
        <w:jc w:val="both"/>
        <w:rPr>
          <w:rFonts w:ascii="Calibri" w:hAnsi="Calibri" w:eastAsia="Times New Roman"/>
        </w:rPr>
      </w:pPr>
      <w:r>
        <w:rPr>
          <w:rFonts w:ascii="Times New Roman" w:hAnsi="Times New Roman" w:eastAsia="Calibri"/>
          <w:sz w:val="24"/>
          <w:szCs w:val="24"/>
          <w:shd w:val="clear" w:color="auto" w:fill="FFFFFF"/>
          <w:vertAlign w:val="superscript"/>
        </w:rPr>
        <w:t>7</w:t>
      </w:r>
      <w:r>
        <w:rPr>
          <w:rFonts w:ascii="Times New Roman" w:hAnsi="Times New Roman" w:eastAsia="Calibri"/>
          <w:sz w:val="24"/>
          <w:szCs w:val="24"/>
          <w:shd w:val="clear" w:color="auto" w:fill="FFFFFF"/>
        </w:rPr>
        <w:t xml:space="preserve">S. Guoxin, D. Wang, &amp;M. Altuntaş. </w:t>
      </w:r>
      <w:r>
        <w:rPr>
          <w:rFonts w:ascii="Times New Roman" w:hAnsi="Times New Roman" w:eastAsia="Calibri"/>
          <w:i/>
          <w:iCs/>
          <w:sz w:val="24"/>
          <w:szCs w:val="24"/>
          <w:shd w:val="clear" w:color="auto" w:fill="FFFFFF"/>
        </w:rPr>
        <w:t>Financial Development and Health Outcomes: Do Financial Globalization Matter in Selected Asian Economies?.</w:t>
      </w:r>
      <w:r>
        <w:rPr>
          <w:rFonts w:ascii="Times New Roman" w:hAnsi="Times New Roman" w:eastAsia="Calibri"/>
          <w:b/>
          <w:bCs/>
          <w:sz w:val="24"/>
          <w:szCs w:val="24"/>
          <w:shd w:val="clear" w:color="auto" w:fill="FFFFFF"/>
        </w:rPr>
        <w:t>Frontiers in Public Health</w:t>
      </w:r>
      <w:r>
        <w:rPr>
          <w:rFonts w:ascii="Times New Roman" w:hAnsi="Times New Roman" w:eastAsia="Calibri"/>
          <w:sz w:val="24"/>
          <w:szCs w:val="24"/>
          <w:shd w:val="clear" w:color="auto" w:fill="FFFFFF"/>
        </w:rPr>
        <w:t xml:space="preserve"> 10, 2022, 106.</w:t>
      </w:r>
    </w:p>
    <w:p>
      <w:pPr>
        <w:pStyle w:val="14"/>
        <w:spacing w:after="20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8</w:t>
      </w:r>
      <w:r>
        <w:rPr>
          <w:rFonts w:ascii="Times New Roman" w:hAnsi="Times New Roman" w:eastAsia="Calibri"/>
          <w:sz w:val="24"/>
          <w:szCs w:val="24"/>
          <w:shd w:val="clear" w:color="auto" w:fill="FFFFFF"/>
        </w:rPr>
        <w:t xml:space="preserve">H., Mobolaji, &amp; O. Oluitan. </w:t>
      </w:r>
      <w:r>
        <w:rPr>
          <w:rFonts w:ascii="Times New Roman" w:hAnsi="Times New Roman" w:eastAsia="Calibri"/>
          <w:i/>
          <w:iCs/>
          <w:sz w:val="24"/>
          <w:szCs w:val="24"/>
          <w:shd w:val="clear" w:color="auto" w:fill="FFFFFF"/>
        </w:rPr>
        <w:t>Financial development and human capital in South Africa: a time-series approach.</w:t>
      </w:r>
      <w:r>
        <w:rPr>
          <w:rFonts w:ascii="Times New Roman" w:hAnsi="Times New Roman" w:eastAsia="Calibri"/>
          <w:b/>
          <w:bCs/>
          <w:sz w:val="24"/>
          <w:szCs w:val="24"/>
          <w:shd w:val="clear" w:color="auto" w:fill="FFFFFF"/>
        </w:rPr>
        <w:t>Research in Applied Economics,</w:t>
      </w:r>
      <w:r>
        <w:rPr>
          <w:rFonts w:ascii="Times New Roman" w:hAnsi="Times New Roman" w:eastAsia="Calibri"/>
          <w:sz w:val="24"/>
          <w:szCs w:val="24"/>
          <w:shd w:val="clear" w:color="auto" w:fill="FFFFFF"/>
        </w:rPr>
        <w:t xml:space="preserve"> 4(3), 2012, 18.</w:t>
      </w:r>
    </w:p>
    <w:p>
      <w:pPr>
        <w:pStyle w:val="14"/>
        <w:spacing w:after="20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9</w:t>
      </w:r>
      <w:r>
        <w:rPr>
          <w:rFonts w:ascii="Times New Roman" w:hAnsi="Times New Roman" w:eastAsia="Calibri"/>
          <w:sz w:val="24"/>
          <w:szCs w:val="24"/>
          <w:shd w:val="clear" w:color="auto" w:fill="FFFFFF"/>
        </w:rPr>
        <w:t xml:space="preserve">T. S. Akintunde, A. D. Oladipo, &amp; R. Oyaromade. </w:t>
      </w:r>
      <w:r>
        <w:rPr>
          <w:rFonts w:ascii="Times New Roman" w:hAnsi="Times New Roman" w:eastAsia="Calibri"/>
          <w:i/>
          <w:iCs/>
          <w:sz w:val="24"/>
          <w:szCs w:val="24"/>
          <w:shd w:val="clear" w:color="auto" w:fill="FFFFFF"/>
        </w:rPr>
        <w:t>Socioeconomic determinants of health status in Nigeria (1980-2014).</w:t>
      </w:r>
      <w:r>
        <w:rPr>
          <w:rFonts w:ascii="Times New Roman" w:hAnsi="Times New Roman" w:eastAsia="Calibri"/>
          <w:b/>
          <w:bCs/>
          <w:sz w:val="24"/>
          <w:szCs w:val="24"/>
          <w:shd w:val="clear" w:color="auto" w:fill="FFFFFF"/>
        </w:rPr>
        <w:t>African Review of Economics and Finance,</w:t>
      </w:r>
      <w:r>
        <w:rPr>
          <w:rFonts w:ascii="Times New Roman" w:hAnsi="Times New Roman" w:eastAsia="Calibri"/>
          <w:sz w:val="24"/>
          <w:szCs w:val="24"/>
          <w:shd w:val="clear" w:color="auto" w:fill="FFFFFF"/>
        </w:rPr>
        <w:t xml:space="preserve"> 11(2), 2019, 365-388.</w:t>
      </w:r>
    </w:p>
    <w:p>
      <w:pPr>
        <w:pStyle w:val="14"/>
        <w:spacing w:after="20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10</w:t>
      </w:r>
      <w:r>
        <w:rPr>
          <w:rFonts w:ascii="Times New Roman" w:hAnsi="Times New Roman" w:eastAsia="Calibri"/>
          <w:sz w:val="24"/>
          <w:szCs w:val="24"/>
          <w:shd w:val="clear" w:color="auto" w:fill="FFFFFF"/>
        </w:rPr>
        <w:t>J. Chireshe, &amp; K. O. Matthew.</w:t>
      </w:r>
      <w:r>
        <w:rPr>
          <w:rFonts w:ascii="Times New Roman" w:hAnsi="Times New Roman" w:eastAsia="Calibri"/>
          <w:i/>
          <w:iCs/>
          <w:sz w:val="24"/>
          <w:szCs w:val="24"/>
          <w:shd w:val="clear" w:color="auto" w:fill="FFFFFF"/>
        </w:rPr>
        <w:t>Health care expenditure and health outcomes in sub‐Saharan African countries.</w:t>
      </w:r>
      <w:r>
        <w:rPr>
          <w:rFonts w:ascii="Times New Roman" w:hAnsi="Times New Roman" w:eastAsia="Calibri"/>
          <w:b/>
          <w:bCs/>
          <w:sz w:val="24"/>
          <w:szCs w:val="24"/>
          <w:shd w:val="clear" w:color="auto" w:fill="FFFFFF"/>
        </w:rPr>
        <w:t>African Development Review,</w:t>
      </w:r>
      <w:r>
        <w:rPr>
          <w:rFonts w:ascii="Times New Roman" w:hAnsi="Times New Roman" w:eastAsia="Calibri"/>
          <w:sz w:val="24"/>
          <w:szCs w:val="24"/>
          <w:shd w:val="clear" w:color="auto" w:fill="FFFFFF"/>
        </w:rPr>
        <w:t xml:space="preserve"> 32(3), 2020, 349-361.</w:t>
      </w:r>
    </w:p>
    <w:p>
      <w:pPr>
        <w:pStyle w:val="14"/>
        <w:spacing w:after="20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12</w:t>
      </w:r>
      <w:r>
        <w:rPr>
          <w:rFonts w:ascii="Times New Roman" w:hAnsi="Times New Roman" w:eastAsia="Calibri"/>
          <w:sz w:val="24"/>
          <w:szCs w:val="24"/>
          <w:shd w:val="clear" w:color="auto" w:fill="FFFFFF"/>
        </w:rPr>
        <w:t xml:space="preserve">N. A. Abd Kadir, et al. </w:t>
      </w:r>
      <w:r>
        <w:rPr>
          <w:rFonts w:ascii="Times New Roman" w:hAnsi="Times New Roman" w:eastAsia="Calibri"/>
          <w:i/>
          <w:iCs/>
          <w:sz w:val="24"/>
          <w:szCs w:val="24"/>
          <w:shd w:val="clear" w:color="auto" w:fill="FFFFFF"/>
        </w:rPr>
        <w:t>Long Run Analysis between Climate Change, Socio-Economic Factors and Technology on Health Expenditure in Malaysia."</w:t>
      </w:r>
      <w:r>
        <w:rPr>
          <w:rFonts w:ascii="Times New Roman" w:hAnsi="Times New Roman" w:eastAsia="Calibri"/>
          <w:sz w:val="24"/>
          <w:szCs w:val="24"/>
          <w:shd w:val="clear" w:color="auto" w:fill="FFFFFF"/>
        </w:rPr>
        <w:t> </w:t>
      </w:r>
      <w:r>
        <w:rPr>
          <w:rFonts w:ascii="Times New Roman" w:hAnsi="Times New Roman" w:eastAsia="Calibri"/>
          <w:b/>
          <w:bCs/>
          <w:sz w:val="24"/>
          <w:szCs w:val="24"/>
          <w:shd w:val="clear" w:color="auto" w:fill="FFFFFF"/>
        </w:rPr>
        <w:t>International Journal of Human Resource Studies,</w:t>
      </w:r>
      <w:r>
        <w:rPr>
          <w:rFonts w:ascii="Times New Roman" w:hAnsi="Times New Roman" w:eastAsia="Calibri"/>
          <w:sz w:val="24"/>
          <w:szCs w:val="24"/>
          <w:shd w:val="clear" w:color="auto" w:fill="FFFFFF"/>
        </w:rPr>
        <w:t> 12(2), 2022, 6589-6589.</w:t>
      </w:r>
    </w:p>
    <w:p>
      <w:pPr>
        <w:pStyle w:val="14"/>
        <w:spacing w:after="20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13</w:t>
      </w:r>
      <w:r>
        <w:rPr>
          <w:rFonts w:ascii="Times New Roman" w:hAnsi="Times New Roman" w:eastAsia="Calibri"/>
          <w:sz w:val="24"/>
          <w:szCs w:val="24"/>
          <w:shd w:val="clear" w:color="auto" w:fill="FFFFFF"/>
        </w:rPr>
        <w:t xml:space="preserve">E. Arthur, &amp; H. E. Oaikhenan. </w:t>
      </w:r>
      <w:r>
        <w:rPr>
          <w:rFonts w:ascii="Times New Roman" w:hAnsi="Times New Roman" w:eastAsia="Calibri"/>
          <w:i/>
          <w:iCs/>
          <w:sz w:val="24"/>
          <w:szCs w:val="24"/>
          <w:shd w:val="clear" w:color="auto" w:fill="FFFFFF"/>
        </w:rPr>
        <w:t>"The effects of health expenditure on health outcomes in Sub‐Saharan Africa (SSA)."</w:t>
      </w:r>
      <w:r>
        <w:rPr>
          <w:rFonts w:ascii="Times New Roman" w:hAnsi="Times New Roman" w:eastAsia="Calibri"/>
          <w:b/>
          <w:bCs/>
          <w:sz w:val="24"/>
          <w:szCs w:val="24"/>
          <w:shd w:val="clear" w:color="auto" w:fill="FFFFFF"/>
        </w:rPr>
        <w:t>African Development Review,</w:t>
      </w:r>
      <w:r>
        <w:rPr>
          <w:rFonts w:ascii="Times New Roman" w:hAnsi="Times New Roman" w:eastAsia="Calibri"/>
          <w:sz w:val="24"/>
          <w:szCs w:val="24"/>
          <w:shd w:val="clear" w:color="auto" w:fill="FFFFFF"/>
        </w:rPr>
        <w:t>29(3), 2017, 524-536.</w:t>
      </w:r>
    </w:p>
    <w:p>
      <w:pPr>
        <w:pStyle w:val="14"/>
        <w:spacing w:after="20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14</w:t>
      </w:r>
      <w:r>
        <w:rPr>
          <w:rFonts w:ascii="Times New Roman" w:hAnsi="Times New Roman" w:eastAsia="Calibri"/>
          <w:sz w:val="24"/>
          <w:szCs w:val="24"/>
          <w:shd w:val="clear" w:color="auto" w:fill="FFFFFF"/>
        </w:rPr>
        <w:t xml:space="preserve">S. Lyu, et al. </w:t>
      </w:r>
      <w:r>
        <w:rPr>
          <w:rFonts w:ascii="Times New Roman" w:hAnsi="Times New Roman" w:eastAsia="Calibri"/>
          <w:i/>
          <w:iCs/>
          <w:sz w:val="24"/>
          <w:szCs w:val="24"/>
          <w:shd w:val="clear" w:color="auto" w:fill="FFFFFF"/>
        </w:rPr>
        <w:t xml:space="preserve">"One pandemic, two solutions: comparing the US-China response and health priorities to COVID-19 from the perspective of “Two Types of Control”. </w:t>
      </w:r>
      <w:r>
        <w:rPr>
          <w:rFonts w:ascii="Times New Roman" w:hAnsi="Times New Roman" w:eastAsia="Calibri"/>
          <w:b/>
          <w:bCs/>
          <w:sz w:val="24"/>
          <w:szCs w:val="24"/>
          <w:shd w:val="clear" w:color="auto" w:fill="FFFFFF"/>
        </w:rPr>
        <w:t>Healthcare,</w:t>
      </w:r>
      <w:r>
        <w:rPr>
          <w:rFonts w:ascii="Times New Roman" w:hAnsi="Times New Roman" w:eastAsia="Calibri"/>
          <w:sz w:val="24"/>
          <w:szCs w:val="24"/>
          <w:shd w:val="clear" w:color="auto" w:fill="FFFFFF"/>
        </w:rPr>
        <w:t xml:space="preserve"> 11(13), 2023.</w:t>
      </w:r>
    </w:p>
    <w:p>
      <w:pPr>
        <w:pStyle w:val="14"/>
        <w:spacing w:after="20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15</w:t>
      </w:r>
      <w:r>
        <w:rPr>
          <w:rFonts w:ascii="Times New Roman" w:hAnsi="Times New Roman" w:eastAsia="Calibri"/>
          <w:sz w:val="24"/>
          <w:szCs w:val="24"/>
          <w:shd w:val="clear" w:color="auto" w:fill="FFFFFF"/>
        </w:rPr>
        <w:t>World Health Organization.</w:t>
      </w:r>
      <w:r>
        <w:rPr>
          <w:rFonts w:ascii="Times New Roman" w:hAnsi="Times New Roman" w:eastAsia="Calibri"/>
          <w:i/>
          <w:iCs/>
          <w:sz w:val="24"/>
          <w:szCs w:val="24"/>
          <w:shd w:val="clear" w:color="auto" w:fill="FFFFFF"/>
        </w:rPr>
        <w:t>"Global strategy for dengue prevention and control 2012-2020."</w:t>
      </w:r>
      <w:r>
        <w:rPr>
          <w:rFonts w:ascii="Times New Roman" w:hAnsi="Times New Roman" w:eastAsia="Calibri"/>
          <w:sz w:val="24"/>
          <w:szCs w:val="24"/>
          <w:shd w:val="clear" w:color="auto" w:fill="FFFFFF"/>
        </w:rPr>
        <w:t xml:space="preserve"> 2012.</w:t>
      </w:r>
    </w:p>
    <w:p>
      <w:pPr>
        <w:pStyle w:val="14"/>
        <w:spacing w:after="20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16</w:t>
      </w:r>
      <w:r>
        <w:rPr>
          <w:rFonts w:ascii="Times New Roman" w:hAnsi="Times New Roman" w:eastAsia="Calibri"/>
          <w:sz w:val="24"/>
          <w:szCs w:val="24"/>
          <w:shd w:val="clear" w:color="auto" w:fill="FFFFFF"/>
        </w:rPr>
        <w:t xml:space="preserve">S. I. Peter, &amp; O. A. Omorose. </w:t>
      </w:r>
      <w:r>
        <w:rPr>
          <w:rFonts w:ascii="Times New Roman" w:hAnsi="Times New Roman" w:eastAsia="Calibri"/>
          <w:i/>
          <w:iCs/>
          <w:sz w:val="24"/>
          <w:szCs w:val="24"/>
          <w:shd w:val="clear" w:color="auto" w:fill="FFFFFF"/>
        </w:rPr>
        <w:t xml:space="preserve">Financial Liberalization and Health Outcomes in Nigeria: A Case of Infant Mortality. </w:t>
      </w:r>
      <w:r>
        <w:rPr>
          <w:rFonts w:ascii="Times New Roman" w:hAnsi="Times New Roman" w:eastAsia="Calibri"/>
          <w:b/>
          <w:bCs/>
          <w:sz w:val="24"/>
          <w:szCs w:val="24"/>
          <w:shd w:val="clear" w:color="auto" w:fill="FFFFFF"/>
        </w:rPr>
        <w:t>Management,</w:t>
      </w:r>
      <w:r>
        <w:rPr>
          <w:rFonts w:ascii="Times New Roman" w:hAnsi="Times New Roman" w:eastAsia="Calibri"/>
          <w:sz w:val="24"/>
          <w:szCs w:val="24"/>
          <w:shd w:val="clear" w:color="auto" w:fill="FFFFFF"/>
        </w:rPr>
        <w:t xml:space="preserve"> 3(1), 2020, 81-105.</w:t>
      </w:r>
    </w:p>
    <w:p>
      <w:pPr>
        <w:rPr>
          <w:rFonts w:ascii="Times New Roman" w:hAnsi="Times New Roman" w:cs="Times New Roman"/>
          <w:b/>
          <w:sz w:val="24"/>
          <w:szCs w:val="24"/>
        </w:rPr>
      </w:pPr>
      <w:r>
        <w:rPr>
          <w:b/>
        </w:rPr>
        <w:br w:type="page"/>
      </w:r>
    </w:p>
    <w:p>
      <w:pPr>
        <w:pStyle w:val="28"/>
        <w:spacing w:after="120" w:line="480" w:lineRule="auto"/>
        <w:jc w:val="center"/>
        <w:rPr>
          <w:b/>
          <w:color w:val="auto"/>
        </w:rPr>
      </w:pPr>
      <w:r>
        <w:rPr>
          <w:b/>
          <w:color w:val="auto"/>
        </w:rPr>
        <w:t>Chapter Two</w:t>
      </w:r>
    </w:p>
    <w:p>
      <w:pPr>
        <w:pStyle w:val="28"/>
        <w:spacing w:after="120" w:line="480" w:lineRule="auto"/>
        <w:jc w:val="center"/>
        <w:rPr>
          <w:b/>
          <w:color w:val="auto"/>
        </w:rPr>
      </w:pPr>
      <w:r>
        <w:rPr>
          <w:b/>
          <w:color w:val="auto"/>
        </w:rPr>
        <w:t>Literature Review</w:t>
      </w:r>
    </w:p>
    <w:p>
      <w:pPr>
        <w:pStyle w:val="28"/>
        <w:spacing w:after="120" w:line="480" w:lineRule="auto"/>
        <w:jc w:val="both"/>
        <w:rPr>
          <w:color w:val="auto"/>
        </w:rPr>
      </w:pPr>
      <w:r>
        <w:rPr>
          <w:color w:val="auto"/>
        </w:rPr>
        <w:t>This section provides an overview of the relevant concepts, theories, and empirical research pertaining to financial sector development and health outcomes in Nigeria. This section provides a conceptual review for understanding the concepts of financial sector development proxy by money market, stock market and bank sector and health outcomes proxy by life expectancy and infant mortality rate in Nigeria. Furthermore, the study includes an in-depth review of relevant theories and empirical research pertaining to the subject matter. Finally, gaps in the existing body of literature were identified.</w:t>
      </w:r>
    </w:p>
    <w:p>
      <w:pPr>
        <w:pStyle w:val="28"/>
        <w:spacing w:after="120" w:line="480" w:lineRule="auto"/>
        <w:jc w:val="both"/>
        <w:rPr>
          <w:b/>
          <w:color w:val="auto"/>
        </w:rPr>
      </w:pPr>
      <w:r>
        <w:rPr>
          <w:b/>
          <w:color w:val="auto"/>
        </w:rPr>
        <w:t xml:space="preserve">2.0 </w:t>
      </w:r>
      <w:r>
        <w:rPr>
          <w:b/>
          <w:color w:val="auto"/>
        </w:rPr>
        <w:tab/>
      </w:r>
      <w:r>
        <w:rPr>
          <w:b/>
          <w:color w:val="auto"/>
        </w:rPr>
        <w:t xml:space="preserve">Preamble </w:t>
      </w:r>
    </w:p>
    <w:p>
      <w:pPr>
        <w:pStyle w:val="28"/>
        <w:spacing w:after="120" w:line="480" w:lineRule="auto"/>
        <w:jc w:val="both"/>
        <w:rPr>
          <w:b/>
          <w:color w:val="auto"/>
        </w:rPr>
      </w:pPr>
      <w:r>
        <w:rPr>
          <w:b/>
          <w:color w:val="auto"/>
        </w:rPr>
        <w:t>2.1</w:t>
      </w:r>
      <w:r>
        <w:rPr>
          <w:b/>
          <w:color w:val="auto"/>
        </w:rPr>
        <w:tab/>
      </w:r>
      <w:r>
        <w:rPr>
          <w:b/>
          <w:color w:val="auto"/>
        </w:rPr>
        <w:t>Conceptual Review</w:t>
      </w:r>
    </w:p>
    <w:p>
      <w:pPr>
        <w:pStyle w:val="28"/>
        <w:spacing w:after="120" w:line="480" w:lineRule="auto"/>
        <w:jc w:val="both"/>
        <w:rPr>
          <w:b/>
          <w:color w:val="auto"/>
        </w:rPr>
      </w:pPr>
      <w:r>
        <w:rPr>
          <w:b/>
          <w:color w:val="auto"/>
        </w:rPr>
        <w:t>2.1.1</w:t>
      </w:r>
      <w:r>
        <w:rPr>
          <w:b/>
          <w:color w:val="auto"/>
        </w:rPr>
        <w:tab/>
      </w:r>
      <w:r>
        <w:rPr>
          <w:b/>
          <w:color w:val="auto"/>
        </w:rPr>
        <w:t xml:space="preserve"> Financial Sector Development</w:t>
      </w:r>
    </w:p>
    <w:p>
      <w:pPr>
        <w:tabs>
          <w:tab w:val="left" w:pos="3319"/>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Financial sector development refers to the enhancement and advancement of the financial system within an economy.  One potential approach involves augmenting the supply of financial assets within the economy and establishing a competent and efficient intermediation mechanism. This strategy aims to boost the overall well-being of individuals in society and foster economic growth. The government frequently enhances its financial system by intervention, achieved by the promulgation of laws, rules, and policies. The primary focus of financial policies centers on the advancement of a nation's financial sector</w:t>
      </w:r>
      <w:r>
        <w:rPr>
          <w:rFonts w:ascii="Times New Roman" w:hAnsi="Times New Roman" w:cs="Times New Roman"/>
          <w:sz w:val="24"/>
          <w:szCs w:val="24"/>
          <w:vertAlign w:val="superscript"/>
        </w:rPr>
        <w:t>1</w:t>
      </w:r>
      <w:r>
        <w:rPr>
          <w:rFonts w:ascii="Times New Roman" w:hAnsi="Times New Roman" w:cs="Times New Roman"/>
          <w:sz w:val="24"/>
          <w:szCs w:val="24"/>
        </w:rPr>
        <w:t xml:space="preserve">. Therefore, a well-developed financial system is considered to be a driving force behind economic advancements and development. </w:t>
      </w:r>
    </w:p>
    <w:p>
      <w:pPr>
        <w:tabs>
          <w:tab w:val="left" w:pos="3319"/>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Financial development pertains to the progression of developing and augmenting the financial system within a given country or region. The concept incorporates multiple dimensions, such as the extent, scope, effectiveness, robustness, and inclusivity of financial institutions, markets, and instruments. The function of financial development is of utmost importance in stimulating economic growth, facilitating the effective allocation of resources, mobilizing savings, and providing support for investment and entrepreneurship.</w:t>
      </w:r>
    </w:p>
    <w:p>
      <w:pPr>
        <w:tabs>
          <w:tab w:val="left" w:pos="3319"/>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Financial development encompasses the establishment and enhancement of financial intermediaries, such as banks and non-bank financial institutions, alongside the advancement of financial markets, including money markets, stock markets, equity markets, and derivative markets</w:t>
      </w:r>
      <w:r>
        <w:rPr>
          <w:rFonts w:ascii="Times New Roman" w:hAnsi="Times New Roman" w:cs="Times New Roman"/>
          <w:sz w:val="24"/>
          <w:szCs w:val="24"/>
          <w:vertAlign w:val="superscript"/>
        </w:rPr>
        <w:t>2</w:t>
      </w:r>
      <w:r>
        <w:rPr>
          <w:rFonts w:ascii="Times New Roman" w:hAnsi="Times New Roman" w:cs="Times New Roman"/>
          <w:sz w:val="24"/>
          <w:szCs w:val="24"/>
        </w:rPr>
        <w:t>. These institutions and markets serve as a medium for individuals, organizations, and governments to obtain and manage financial resources, engage in transactions, and mitigate risks.</w:t>
      </w:r>
    </w:p>
    <w:p>
      <w:pPr>
        <w:tabs>
          <w:tab w:val="left" w:pos="3319"/>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Financial development also includes the creation and execution of legal and regulatory frameworks that provide support. This encompasses the establishment of legislative and regulatory frameworks that oversee financial operations, guarantee transparency, safeguard the interests of investors and consumers, and uphold the stability and integrity of the financial system.</w:t>
      </w:r>
    </w:p>
    <w:p>
      <w:pPr>
        <w:tabs>
          <w:tab w:val="left" w:pos="3319"/>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The notion of financial development is intricately connected to the idea of financial inclusion, which pertains to the provision of accessible and cost-effective financial services to individuals and businesses. Financial inclusion has a pivotal role in fostering comprehensive financial development by facilitating inclusive economic growth, alleviating poverty, and fostering social development.</w:t>
      </w:r>
    </w:p>
    <w:p>
      <w:pPr>
        <w:tabs>
          <w:tab w:val="left" w:pos="3319"/>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Empirical research has shown that financial development has significant positive effects on economic growth and development. Numerous studies have presented empirical evidence supporting the existence of a favorable relationship between financial development and economic growth. These studies highlight the significance of financial intermediation and the availability of financial resources in promoting investment, fostering innovation, and enhancing productivity</w:t>
      </w:r>
      <w:r>
        <w:rPr>
          <w:rFonts w:ascii="Times New Roman" w:hAnsi="Times New Roman" w:cs="Times New Roman"/>
          <w:sz w:val="24"/>
          <w:szCs w:val="24"/>
          <w:vertAlign w:val="superscript"/>
        </w:rPr>
        <w:t>3</w:t>
      </w:r>
      <w:r>
        <w:rPr>
          <w:rFonts w:ascii="Times New Roman" w:hAnsi="Times New Roman" w:cs="Times New Roman"/>
          <w:sz w:val="24"/>
          <w:szCs w:val="24"/>
        </w:rPr>
        <w:t>.</w:t>
      </w:r>
    </w:p>
    <w:p>
      <w:pPr>
        <w:tabs>
          <w:tab w:val="left" w:pos="3319"/>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In basic terms, financial development pertains to the establishment and development of financial institutions, markets, and frameworks that facilitate economic growth, allocation of resources, mobilization of savings, and management of risk. The process encompasses the establishment and advancement of financial intermediaries, markets, and regulatory frameworks. The importance of financial development cannot be overstated in its role of facilitating growth, mitigating poverty, and nurturing inclusive development.</w:t>
      </w:r>
    </w:p>
    <w:p>
      <w:pPr>
        <w:tabs>
          <w:tab w:val="left" w:pos="3319"/>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 xml:space="preserve">The Nigerian government has implemented several processes, concepts, and policies in its pursuit of achieving effective financial development. These include financial deepening, financial inclusion, financial liberalization, financial intermediation, the cashless policy, and various financial reforms. This section provides an explanation of the government's policies and processes aimed at promoting financial development, which serve as the specific objectives of this study.   </w:t>
      </w:r>
    </w:p>
    <w:p>
      <w:pPr>
        <w:tabs>
          <w:tab w:val="left" w:pos="8505"/>
          <w:tab w:val="left" w:pos="8647"/>
          <w:tab w:val="left" w:pos="9355"/>
        </w:tabs>
        <w:spacing w:after="120" w:line="480" w:lineRule="auto"/>
        <w:ind w:right="-1"/>
        <w:jc w:val="both"/>
        <w:rPr>
          <w:rFonts w:ascii="Times New Roman" w:hAnsi="Times New Roman" w:cs="Times New Roman"/>
          <w:b/>
          <w:sz w:val="24"/>
          <w:szCs w:val="24"/>
        </w:rPr>
      </w:pPr>
      <w:r>
        <w:rPr>
          <w:rFonts w:ascii="Times New Roman" w:hAnsi="Times New Roman" w:cs="Times New Roman"/>
          <w:b/>
          <w:sz w:val="24"/>
          <w:szCs w:val="24"/>
        </w:rPr>
        <w:t>2.1.1.1    Money Market Development</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 xml:space="preserve">The term "money market development" refers to the expansion and development of the money market, a division of the financial market where short-term borrowing and lending of funds are conducted. This development encompasses various aspects, including the expansion of market participants, the introduction of new financial instruments, the enhancement of regulatory frameworks, and the adoption of advanced technologies. </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The money market is of paramount importance in the comprehensive operation of the financial system as it enables financial institutions to manage liquidity effectively and serves as a platform for the efficient allocation of short-term funds. The involvement of a wide variety of market participants is one of the key factors influencing money market development</w:t>
      </w:r>
      <w:r>
        <w:rPr>
          <w:rFonts w:ascii="Times New Roman" w:hAnsi="Times New Roman" w:cs="Times New Roman"/>
          <w:sz w:val="24"/>
          <w:szCs w:val="24"/>
          <w:vertAlign w:val="superscript"/>
        </w:rPr>
        <w:t>4</w:t>
      </w:r>
      <w:r>
        <w:rPr>
          <w:rFonts w:ascii="Times New Roman" w:hAnsi="Times New Roman" w:cs="Times New Roman"/>
          <w:sz w:val="24"/>
          <w:szCs w:val="24"/>
        </w:rPr>
        <w:t>. The presence of diversity in a market environment serves to increase market liquidity and mitigate concentration risks.</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One of the primary instruments in the Nigerian money market is Treasury Bills (T-Bills). These are short-term government securities with maturities ranging from 91 days to 364 days. Investors purchase T-Bills at a discount to their face value and receive the full face value at maturity. The Central Bank of Nigeria (CBN) issues these bills on a weekly basis through auctions, thereby serving the dual purpose of enhancing liquidity in the financial system and offering opportunities for investment. Open Market Operations (OMO) represent a crucial component inside the money market. The Central Bank of Nigeria (CBN) conducts Open Market Operations (OMO) auctions as a means to regulate liquidity within the money market. The utilization of Open Market Operations (OMO) instruments is employed to absorb surplus money or provide liquidity to the financial system, hence exerting an effect on interest rates and upholding monetary stability. The Nigerian money market encompasses many financial instruments, including Commercial Papers (CPs) and Banker's Acceptances (BAs), in addition to T-Bills and OMO. Commercial papers (CPs) are commonly issued by enterprises and financial institutions as a means to generate short-term capital. Conversely, bank acceptances (BAs) play a crucial role in facilitating trade finance and are particularly vital in international trade transactions. Certificate of Deposits (CDs) are also part of the money market, allowing banks to raise funds from the public for a specified period at a predetermined interest rate.</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Significant changes and reforms have been made to the Nigerian money market over time. In 2006, the introduction of the Dutch Auction System (DAS) for T-Bills brought more transparency and competitiveness to the auction process. This change was pivotal in enhancing the efficiency of the market. In 2011, the Nigerian Treasury Bills (NTB) replaced the old Federal Government Treasury Bills (FGTB), deepening the money market and providing a benchmark yield curve for shorter-dated government securities. Further reforms in 2012 aimed to increase the participation of retail investors in primary market auctions of T-Bills and Federal Government Bonds, broadening market participation.</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The Nigerian Interbank Offered Rate (NIBOR) underwent a revamp in 2014, with the introduction of new guidelines to enhance transparency and efficiency in the interbank lending market. In 2019, the Central Bank directed banks to maintain a minimum Loan to Deposit Ratio (LDR) to stimulate lending to the real sector, thus redirecting funds from the money market to productive sectors. The year 2020 had distinctive difficulties as a result of the global COVID-19 epidemic. The CBN responded with measures that included reducing interest rates on OMO bills and introducing a Targeted Credit Facility (TCF) to support households and businesses affected by the economic impact of the pandemic.</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The development of money markets is further facilitated by the introduction of new financial instruments and technologies. A prime example of this phenomenon is the introduction of asset-backed commercial paper (ABCP), which enabled financial institutions to convert illiquid assets, such as mortgages, into marketable short-term products. This innovation has significantly enhanced the liquidity and efficiency of the money market</w:t>
      </w:r>
      <w:r>
        <w:rPr>
          <w:rFonts w:ascii="Times New Roman" w:hAnsi="Times New Roman" w:cs="Times New Roman"/>
          <w:sz w:val="24"/>
          <w:szCs w:val="24"/>
          <w:vertAlign w:val="superscript"/>
        </w:rPr>
        <w:t>5</w:t>
      </w:r>
      <w:r>
        <w:rPr>
          <w:rFonts w:ascii="Times New Roman" w:hAnsi="Times New Roman" w:cs="Times New Roman"/>
          <w:sz w:val="24"/>
          <w:szCs w:val="24"/>
        </w:rPr>
        <w:t>. Regulatory frameworks are of utmost importance in safeguarding the stability and integrity of the money market. Enhancing regulatory frameworks and implementing effective supervision measures instills trust among market participants and mitigates the occurrence of systemic risks. For instance, the implementation of Basel III regulations, which introduced stricter capital requirements for banks, aimed to enhance the resilience of the banking system and indirectly benefit the money market</w:t>
      </w:r>
      <w:r>
        <w:rPr>
          <w:rFonts w:ascii="Times New Roman" w:hAnsi="Times New Roman" w:cs="Times New Roman"/>
          <w:sz w:val="24"/>
          <w:szCs w:val="24"/>
          <w:vertAlign w:val="superscript"/>
        </w:rPr>
        <w:t>6</w:t>
      </w:r>
      <w:r>
        <w:rPr>
          <w:rFonts w:ascii="Times New Roman" w:hAnsi="Times New Roman" w:cs="Times New Roman"/>
          <w:sz w:val="24"/>
          <w:szCs w:val="24"/>
        </w:rPr>
        <w:t>.</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Technological improvements furthermore play a role in fostering the development of the money market. The implementation of electronic trading platforms and settlement systems has been found to boost transparency, decrease transaction costs, and improve market accessibility. The implementation of electronic trading platforms has led to increased trading volumes and improved market efficiency in the money market</w:t>
      </w:r>
      <w:r>
        <w:rPr>
          <w:rFonts w:ascii="Times New Roman" w:hAnsi="Times New Roman" w:cs="Times New Roman"/>
          <w:sz w:val="24"/>
          <w:szCs w:val="24"/>
          <w:vertAlign w:val="superscript"/>
        </w:rPr>
        <w:t>7</w:t>
      </w:r>
      <w:r>
        <w:rPr>
          <w:rFonts w:ascii="Times New Roman" w:hAnsi="Times New Roman" w:cs="Times New Roman"/>
          <w:sz w:val="24"/>
          <w:szCs w:val="24"/>
        </w:rPr>
        <w:t>.</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In summary, the development of the money market involves multiple elements, such as the involvement of a wide range of market participants, the introduction of novel financial products, the enhancement of regulatory frameworks, and the adoption of significant technological advancements. These aforementioned characteristics play a pivotal role in fostering the expansion, fluidity, and effectiveness of the money market, hence yielding advantageous outcomes for the broader financial system.</w:t>
      </w:r>
    </w:p>
    <w:p>
      <w:pPr>
        <w:tabs>
          <w:tab w:val="left" w:pos="8505"/>
          <w:tab w:val="left" w:pos="8647"/>
          <w:tab w:val="left" w:pos="9355"/>
        </w:tabs>
        <w:spacing w:after="120" w:line="480" w:lineRule="auto"/>
        <w:ind w:right="-1"/>
        <w:jc w:val="both"/>
        <w:rPr>
          <w:rFonts w:ascii="Times New Roman" w:hAnsi="Times New Roman" w:cs="Times New Roman"/>
          <w:b/>
          <w:sz w:val="24"/>
          <w:szCs w:val="24"/>
        </w:rPr>
      </w:pPr>
      <w:r>
        <w:rPr>
          <w:rFonts w:ascii="Times New Roman" w:hAnsi="Times New Roman" w:cs="Times New Roman"/>
          <w:b/>
          <w:sz w:val="24"/>
          <w:szCs w:val="24"/>
        </w:rPr>
        <w:t>2.1.2 Effects of Money Market Development</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The development of the money market sector has the potential to have a considerable impact on the Nigerian economy. Money markets play an important role in the financial system by promoting the efficient deployment of funds and ensuring the financial system's stability.</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Improved liquidity management is one of the most significant effects of the expansion of the money market industry. A developed money market provides the Central Bank of Nigeria (CBN) with better tools to manage liquidity in the banking system. This enables the CBN to carry out effective monetary policy, which is critical for managing inflation and maintaining overall economic stability.</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Furthermore, the growth of the money market allows for greater regulation of interest rates. When the money market is well-established, the CBN can employ instruments such as Treasury bills to affect interest rates more efficiently. Lower interest rates can encourage economic borrowing and investment, which can be advantageous to businesses and economic growth.</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Increased access to borrowing and finance choices is another important benefit. A developed money market provides access to numerous short-term funding mechanisms for both the government and the business sector. This means that the government will have easier access to funds to finance budget deficits, and businesses will have easier access to capital to fund operations and investments.</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Additionally, a developed money market supports risk management. To hedge against interest rate and liquidity concerns, market participants might utilize a variety of money market instruments. This not only helps individual businesses but also contributes to the overall stability of the economy.</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The money market is closely linked to the foreign exchange market, and its development can contribute to exchange rate stability. It enables market participants to buy and sell foreign currency, which is necessary for international trade and investment.</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Increasing investor confidence is another critical factor. A well-regulated and transparent money market helps boost investor confidence in the Nigerian economy. When investors have faith in the financial system's stability and integrity, they are more inclined to invest in Nigerian assets such as government securities and corporate bonds.</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Furthermore, the establishment of money markets helps increase financial inclusion. It provides accessible and low-risk investment options to a greater segment of the public, assisting individuals and households in more successfully saving and investing their money.</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Finally, a well-developed money market can help to economic growth by providing a secure and efficient financial infrastructure that facilitates investment, savings, and economic activity. However, delivering these benefits requires efficient regulation, transparency, and sufficient oversight to preserve the financial system's stability and integrity. To realize the full potential of Nigeria's money market sector, policymakers must carefully balance market development promotion with these considerations.</w:t>
      </w:r>
    </w:p>
    <w:p>
      <w:pPr>
        <w:tabs>
          <w:tab w:val="left" w:pos="8505"/>
          <w:tab w:val="left" w:pos="8647"/>
          <w:tab w:val="left" w:pos="9355"/>
        </w:tabs>
        <w:spacing w:after="120" w:line="480" w:lineRule="auto"/>
        <w:ind w:right="-1"/>
        <w:jc w:val="both"/>
        <w:rPr>
          <w:rFonts w:ascii="Times New Roman" w:hAnsi="Times New Roman" w:cs="Times New Roman"/>
          <w:sz w:val="24"/>
          <w:szCs w:val="24"/>
        </w:rPr>
      </w:pPr>
    </w:p>
    <w:p>
      <w:pPr>
        <w:tabs>
          <w:tab w:val="left" w:pos="8505"/>
          <w:tab w:val="left" w:pos="8647"/>
          <w:tab w:val="left" w:pos="9355"/>
        </w:tabs>
        <w:spacing w:after="120" w:line="480" w:lineRule="auto"/>
        <w:ind w:right="-1"/>
        <w:jc w:val="both"/>
        <w:rPr>
          <w:rFonts w:ascii="Times New Roman" w:hAnsi="Times New Roman" w:cs="Times New Roman"/>
          <w:b/>
          <w:sz w:val="24"/>
          <w:szCs w:val="24"/>
        </w:rPr>
      </w:pPr>
      <w:r>
        <w:rPr>
          <w:rFonts w:ascii="Times New Roman" w:hAnsi="Times New Roman" w:cs="Times New Roman"/>
          <w:b/>
          <w:sz w:val="24"/>
          <w:szCs w:val="24"/>
        </w:rPr>
        <w:t>2.1.1.2    Bank Sector Development</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Bank sector development pertains to the growth and evolution of the banking industry, embracing several facets such as the expansion of banking institutions, regulatory reforms, technology improvements, and programs aimed at promoting financial inclusion. The advancement of the banking industry is of paramount importance in fostering financial intermediation, mobilizing savings, offering credit services, and facilitating growth in the economy. Several researchers have conducted research that emphasizes the positive correlation between the growth of the banking sector and economic development</w:t>
      </w:r>
      <w:r>
        <w:rPr>
          <w:rFonts w:ascii="Times New Roman" w:hAnsi="Times New Roman" w:cs="Times New Roman"/>
          <w:sz w:val="24"/>
          <w:szCs w:val="24"/>
          <w:vertAlign w:val="superscript"/>
        </w:rPr>
        <w:t>8</w:t>
      </w:r>
      <w:r>
        <w:rPr>
          <w:rFonts w:ascii="Times New Roman" w:hAnsi="Times New Roman" w:cs="Times New Roman"/>
          <w:sz w:val="24"/>
          <w:szCs w:val="24"/>
        </w:rPr>
        <w:t>. They have underscored the significance of a banking system that operates effectively and efficiently. One significant facet of the development of the banking sector is to the expansion of financial institutions. This expansion can involve the entry of new banks, both domestic and foreign, or the expansion of existing banks into new geographical areas. The presence of a varied range of banks boosts competition, improves access to financial services, and promotes financial stability</w:t>
      </w:r>
      <w:r>
        <w:rPr>
          <w:rFonts w:ascii="Times New Roman" w:hAnsi="Times New Roman" w:cs="Times New Roman"/>
          <w:sz w:val="24"/>
          <w:szCs w:val="24"/>
          <w:vertAlign w:val="superscript"/>
        </w:rPr>
        <w:t>9</w:t>
      </w:r>
      <w:r>
        <w:rPr>
          <w:rFonts w:ascii="Times New Roman" w:hAnsi="Times New Roman" w:cs="Times New Roman"/>
          <w:sz w:val="24"/>
          <w:szCs w:val="24"/>
        </w:rPr>
        <w:t>.</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 xml:space="preserve"> The Nigerian banking system has undergone substantial advancements and reforms over time, resulting in a transformation of its overall structure and operations. This sector encompasses wide range financial institutions, including as commercial banks, microfinance banks, development finance institutions, and others, all of which are supervised by regulatory bodies like the Central Bank of Nigeria (CBN) and the Nigeria Deposit Insurance Corporation (NDIC).</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Regulatory reforms are of paramount importance in influencing the trajectory of the banking sector’s growth and evolution. The promotion of financial stability and the mitigation of risks are achieved through the strengthening of regulatory frameworks and the enhancement of supervisory systems.</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The banking sector consolidation in 2005 stands as a significant turning point in the history of Nigerian banking. In order to enhance the sector's capacity to withstand challenges, the Central Bank of Nigeria (CBN) implemented an increase in the minimum capital requirement for banks. This policy led to a series of mergers and acquisitions, reducing the number of banks but significantly boosting their capital base. This restructuring made Nigerian banks more robust and better equipped to handle financial shocks.</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In the year 2010, the Central Bank of Nigeria (CBN) implemented risk-based supervision (RBS) as a component of its regulatory reforms. RBS aimed to assess the risk profiles of banks and allocate regulatory resources accordingly, ensuring more effective oversight. This transition from a one-size-fits-all regulatory approach to a more targeted and risk-focused policy improved the sector's stability.</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In 2013, Nigeria commenced the implementation of the Basel II and subsequently Basel III frameworks in order to conform to global standards. These frameworks introduced enhanced risk management practices, capital adequacy requirements, and disclosure standards for banks, further solidifying the sector's regulatory framework</w:t>
      </w:r>
      <w:r>
        <w:rPr>
          <w:rFonts w:ascii="Times New Roman" w:hAnsi="Times New Roman" w:cs="Times New Roman"/>
          <w:sz w:val="24"/>
          <w:szCs w:val="24"/>
          <w:vertAlign w:val="superscript"/>
        </w:rPr>
        <w:t>10</w:t>
      </w:r>
      <w:r>
        <w:rPr>
          <w:rFonts w:ascii="Times New Roman" w:hAnsi="Times New Roman" w:cs="Times New Roman"/>
          <w:sz w:val="24"/>
          <w:szCs w:val="24"/>
        </w:rPr>
        <w:t>.</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Islamic banking was introduced in Nigeria in the year 2011. The CBN granted licenses to some banks to operate Islamic banking windows, catering to the financial needs of the Muslim population and promoting financial inclusion through Sharia-compliant banking services.</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The year 2012 marked the introduction of the cashless policy and payment system reforms. This policy sought to lessen dependency on physical cash while encouraging electronic payments. As a result, it initiated the expansion of digital banking services, encompassing mobile banking and internet transactions, hence enhancing the accessibility of financial services to the Nigerian population.</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The banking sector in Nigeria has not been without issues, most notably high levels of Non-Performing Loans (NPLs). In order to tackle this matter, the Central Bank of Nigeria (CBN) formed the Asset Management Corporation of Nigeria (AMCON) in the year 2015. AMCON's role is to purchase and resolve NPLs, relieving banks of the burden and promoting financial stability. In 2019, the Central Bank of Nigeria (CBN) implemented a policy known as the Minimum Loan to Deposit Ratio (LDR) with the aim of promoting increased lending to the real sector of the economy. This policy necessitated that banks uphold a minimum Loan-Deposit Ratio (LDR), thereby reallocating funds from the money market toward productive sectors and fostering economic expansion.</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In response to the economic impact of the COVID-19 pandemic in 2020, the CBN implemented various measures, including regulatory forbearance, loan restructuring, and liquidity support to banks. These initiatives intended to lessen the impact of the epidemic on the banking industry and the economy as a whole.</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Technological improvements have altered the banking industry, resulting in substantial changes. The implementation of digital banking technologies, including internet banking, mobile banking, and fintech advancements, has resulted in increased availability of financial services, decreased expenses, and enhanced operational effectiveness</w:t>
      </w:r>
      <w:r>
        <w:rPr>
          <w:rFonts w:ascii="Times New Roman" w:hAnsi="Times New Roman" w:cs="Times New Roman"/>
          <w:sz w:val="24"/>
          <w:szCs w:val="24"/>
          <w:vertAlign w:val="superscript"/>
        </w:rPr>
        <w:t>11</w:t>
      </w:r>
      <w:r>
        <w:rPr>
          <w:rFonts w:ascii="Times New Roman" w:hAnsi="Times New Roman" w:cs="Times New Roman"/>
          <w:sz w:val="24"/>
          <w:szCs w:val="24"/>
        </w:rPr>
        <w:t xml:space="preserve">. These developments have also paved the way for the establishment of new business models, such as digital-only banks and peer-to-peer lending platforms. </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The promotion of financial inclusion constitutes a significant facet of the development of the banking sector. Initiatives aiming at increasing access to financial services for underserved populations, such as low-income individuals and rural communities, help to drive inclusive economic growth. For example, the introduction of microfinance institutions and the execution of financial literacy programmes have been essential in augmenting financial inclusion</w:t>
      </w:r>
      <w:r>
        <w:rPr>
          <w:rFonts w:ascii="Times New Roman" w:hAnsi="Times New Roman" w:cs="Times New Roman"/>
          <w:sz w:val="24"/>
          <w:szCs w:val="24"/>
          <w:vertAlign w:val="superscript"/>
        </w:rPr>
        <w:t>12</w:t>
      </w:r>
      <w:r>
        <w:rPr>
          <w:rFonts w:ascii="Times New Roman" w:hAnsi="Times New Roman" w:cs="Times New Roman"/>
          <w:sz w:val="24"/>
          <w:szCs w:val="24"/>
        </w:rPr>
        <w:t>.</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In summary, the development of the bank sector encompasses various aspects such as the growth of banking institutions, regulatory modifications, developments in technology, and programs aimed at promoting financial inclusion. Several elements have a significant role in enhancing the efficiency, stability, and accessibility of the banking system, hence promoting economic growth and development.</w:t>
      </w:r>
    </w:p>
    <w:p>
      <w:pPr>
        <w:tabs>
          <w:tab w:val="left" w:pos="8505"/>
          <w:tab w:val="left" w:pos="8647"/>
          <w:tab w:val="left" w:pos="9355"/>
        </w:tabs>
        <w:spacing w:after="120" w:line="480" w:lineRule="auto"/>
        <w:ind w:right="-1"/>
        <w:jc w:val="both"/>
        <w:rPr>
          <w:rFonts w:ascii="Times New Roman" w:hAnsi="Times New Roman" w:cs="Times New Roman"/>
          <w:b/>
          <w:sz w:val="24"/>
          <w:szCs w:val="24"/>
        </w:rPr>
      </w:pPr>
      <w:r>
        <w:rPr>
          <w:rFonts w:ascii="Times New Roman" w:hAnsi="Times New Roman" w:cs="Times New Roman"/>
          <w:b/>
          <w:sz w:val="24"/>
          <w:szCs w:val="24"/>
        </w:rPr>
        <w:t>2.1.1.3    Stock Market Development</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Stock market development refers to the expansion and evolution of stock markets, which includes factors such as market size, liquidity, efficiency, regulatory frameworks, and technology improvements. The Nigerian stock market, which is supervised by the Securities and Exchange Commission (SEC) and principally facilitated by the Nigerian Stock Exchange (NSE), is critical to the country’s financial system. It serves as a platform for enterprises to generate funds through the issue of shares, as well as providing investment options to a wide range of investors. Stock markets play an important role in mobilizing funds, promoting capital development, and efficiently allocating resources within an economy. Some academics have emphasized the relevance of well-functioning stock markets in stimulating investment and innovation</w:t>
      </w:r>
      <w:r>
        <w:rPr>
          <w:rFonts w:ascii="Times New Roman" w:hAnsi="Times New Roman" w:cs="Times New Roman"/>
          <w:sz w:val="24"/>
          <w:szCs w:val="24"/>
          <w:vertAlign w:val="superscript"/>
        </w:rPr>
        <w:t>13</w:t>
      </w:r>
      <w:r>
        <w:rPr>
          <w:rFonts w:ascii="Times New Roman" w:hAnsi="Times New Roman" w:cs="Times New Roman"/>
          <w:sz w:val="24"/>
          <w:szCs w:val="24"/>
        </w:rPr>
        <w:t>.</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The huge increase in the Nigerian stock market in the mid-2000s was one of the notable developments. During this time, market capitalization achieved new highs, driven by strong economic development, rising investor interest, and a variety of regulatory reforms. This expansion attracted both domestic and international investors, contributing to the development of Nigeria's financial sector.</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The Nigerian Stock Exchange (NSE) successfully concluded its demutualization process in March 2020, as part of a significant reform initiative. This shift transformed the exchange from a mutual organization owned by its members to a corporation owned by its shareholders. The demutualization was intended to improve corporate governance, transparency, and competitiveness by bringing the NSE in line with global best practices in stock exchange operations.</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The NSE introduced several changes to its listing rules over the years to enhance transparency and corporate governance standards. These changes were intended to make the exchange more appealing to companies looking to go public and to increase investor trust. By accommodating different types of companies and investors through market segments such as the Premium Board, Main Board, and Alternative Securities Market (ASeM), the NSE aimed to cater to a broader range of listing requirements and company sizes.</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Another major development in the Nigerian stock market was the introduction of exchange-traded funds (ETFs). ETFs offer investors a handy option to obtain exposure to diversified asset portfolios. This financial product grew in popularity because it allowed investors to diversify their holdings and better control risk.</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The market faced challenges during economic downturns, prompting regulatory changes in the 2010s to address market volatility and improve risk management. These changes included the implementation of circuit breakers and adjustments to margin trading rules, aiming to stabilize the market during turbulent times.</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To improve the experience of shareholders and reduce unclaimed dividends, the SEC initiated the e-Dividend Mandate Management System and Direct Cash Settlement in 2016. These measures streamlined the dividend payment process, enhancing investor protection and reducing the number of unclaimed dividends.</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The COVID-19 pandemic in 2020 had an impact on the Nigerian stock market, as it did globally. In response to the market's volatility during this time, the NSE implemented safeguards such as circuit breakers and allowed remote trading capabilities to maintain the market's orderly operation while safeguarding market participants' health.</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In parallel with these developments, the NSE invested in technology upgrades to enhance trading and market data dissemination. These enhancements were designed to attract new investors, boost market efficiency, and keep the exchange competitive in the digital age.</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Furthermore, the SEC and NSE have consistently improved market surveillance and enforcement procedures in order to detect and discourage market abuses, guaranteeing market integrity and investor trust.</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Another aspect of stock market development is the expansion of market size and liquidity. A larger market size, in terms of the number of listed companies and market capitalization, attracts more investors and enhances market depth. According to some academics, a broad and liquid stock market encourages financial intermediation, decreases the cost of capital, and enables company financing</w:t>
      </w:r>
      <w:r>
        <w:rPr>
          <w:rFonts w:ascii="Times New Roman" w:hAnsi="Times New Roman" w:cs="Times New Roman"/>
          <w:sz w:val="24"/>
          <w:szCs w:val="24"/>
          <w:vertAlign w:val="superscript"/>
        </w:rPr>
        <w:t>14</w:t>
      </w:r>
      <w:r>
        <w:rPr>
          <w:rFonts w:ascii="Times New Roman" w:hAnsi="Times New Roman" w:cs="Times New Roman"/>
          <w:sz w:val="24"/>
          <w:szCs w:val="24"/>
        </w:rPr>
        <w:t>. Efficiency in stock markets is crucial for fair pricing, transparent trading, and accurate information dissemination. The creation of efficient trading methods, such as electronic trading platforms, increases market transparency, lowers transaction costs, and increases liquidity. The introduction of electronic trading systems has been associated with increased trading volumes and improved market efficiency</w:t>
      </w:r>
      <w:r>
        <w:rPr>
          <w:rFonts w:ascii="Times New Roman" w:hAnsi="Times New Roman" w:cs="Times New Roman"/>
          <w:sz w:val="24"/>
          <w:szCs w:val="24"/>
          <w:vertAlign w:val="superscript"/>
        </w:rPr>
        <w:t>15</w:t>
      </w:r>
      <w:r>
        <w:rPr>
          <w:rFonts w:ascii="Times New Roman" w:hAnsi="Times New Roman" w:cs="Times New Roman"/>
          <w:sz w:val="24"/>
          <w:szCs w:val="24"/>
        </w:rPr>
        <w:t>.</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Regulatory frameworks are critical in shaping the evolution of stock markets. Transparent and well-enforced regulations are essential to protect investors' interests, ensure market integrity, and reduce information asymmetry. Implementing regulatory measures like disclosure requirements, insider trading restrictions, and company governance standards boosts investor confidence and attracts both domestic and foreign investors</w:t>
      </w:r>
      <w:r>
        <w:rPr>
          <w:rFonts w:ascii="Times New Roman" w:hAnsi="Times New Roman" w:cs="Times New Roman"/>
          <w:sz w:val="24"/>
          <w:szCs w:val="24"/>
          <w:vertAlign w:val="superscript"/>
        </w:rPr>
        <w:t>16</w:t>
      </w:r>
      <w:r>
        <w:rPr>
          <w:rFonts w:ascii="Times New Roman" w:hAnsi="Times New Roman" w:cs="Times New Roman"/>
          <w:sz w:val="24"/>
          <w:szCs w:val="24"/>
        </w:rPr>
        <w:t>.</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Technological improvements have had a profound impact on the evolution of the stock market. The use of modern trading technologies like algorithmic trading and high-frequency trading has boosted market efficiency and liquidity. Furthermore, the use of information technology in market surveillance and regulatory control has increased market transparency and made quick interventions possible</w:t>
      </w:r>
      <w:r>
        <w:rPr>
          <w:rFonts w:ascii="Times New Roman" w:hAnsi="Times New Roman" w:cs="Times New Roman"/>
          <w:sz w:val="24"/>
          <w:szCs w:val="24"/>
          <w:vertAlign w:val="superscript"/>
        </w:rPr>
        <w:t>17</w:t>
      </w:r>
      <w:r>
        <w:rPr>
          <w:rFonts w:ascii="Times New Roman" w:hAnsi="Times New Roman" w:cs="Times New Roman"/>
          <w:sz w:val="24"/>
          <w:szCs w:val="24"/>
        </w:rPr>
        <w:t>.</w:t>
      </w:r>
    </w:p>
    <w:p>
      <w:pPr>
        <w:tabs>
          <w:tab w:val="left" w:pos="8505"/>
          <w:tab w:val="left" w:pos="8647"/>
          <w:tab w:val="left" w:pos="9355"/>
        </w:tabs>
        <w:spacing w:after="120" w:line="480" w:lineRule="auto"/>
        <w:ind w:right="-1"/>
        <w:jc w:val="both"/>
        <w:rPr>
          <w:rFonts w:ascii="Times New Roman" w:hAnsi="Times New Roman" w:cs="Times New Roman"/>
          <w:sz w:val="24"/>
          <w:szCs w:val="24"/>
        </w:rPr>
      </w:pPr>
      <w:r>
        <w:rPr>
          <w:rFonts w:ascii="Times New Roman" w:hAnsi="Times New Roman" w:cs="Times New Roman"/>
          <w:sz w:val="24"/>
          <w:szCs w:val="24"/>
        </w:rPr>
        <w:t>Finally, stock market development takes into account a variety of aspects such as market size, liquidity, efficiency, regulatory frameworks, and technology improvements. These characteristics help the stock market work as a whole, stimulate economic growth, and allow for more efficient capital allocation.</w:t>
      </w:r>
    </w:p>
    <w:p>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p>
    <w:p>
      <w:pPr>
        <w:pStyle w:val="28"/>
        <w:spacing w:after="120" w:line="480" w:lineRule="auto"/>
        <w:jc w:val="both"/>
        <w:rPr>
          <w:b/>
          <w:color w:val="auto"/>
        </w:rPr>
      </w:pPr>
      <w:r>
        <w:rPr>
          <w:b/>
          <w:color w:val="auto"/>
        </w:rPr>
        <w:t>2.1.2</w:t>
      </w:r>
      <w:r>
        <w:rPr>
          <w:b/>
          <w:color w:val="auto"/>
        </w:rPr>
        <w:tab/>
      </w:r>
      <w:r>
        <w:rPr>
          <w:b/>
          <w:color w:val="auto"/>
        </w:rPr>
        <w:t>Health Outcomes</w:t>
      </w:r>
    </w:p>
    <w:p>
      <w:pPr>
        <w:pStyle w:val="28"/>
        <w:spacing w:after="120" w:line="480" w:lineRule="auto"/>
        <w:jc w:val="both"/>
        <w:rPr>
          <w:color w:val="auto"/>
        </w:rPr>
      </w:pPr>
      <w:r>
        <w:rPr>
          <w:color w:val="auto"/>
        </w:rPr>
        <w:t>Health outcomes refer to the measurable effects on individuals or populations resulting from healthcare interventions, policies, or other factors that influence health. These outcomes can encompass a wide range of dimensions, including physical health, mental well-being, mortality rates, disease prevalence, quality of life, and healthcare utilization. For this study emphasis will be placed on life expectancy and infant mortality rate as they are used to proxy health outcomes.</w:t>
      </w:r>
    </w:p>
    <w:p>
      <w:pPr>
        <w:pStyle w:val="28"/>
        <w:spacing w:after="120" w:line="480" w:lineRule="auto"/>
        <w:jc w:val="both"/>
        <w:rPr>
          <w:color w:val="auto"/>
        </w:rPr>
      </w:pPr>
      <w:r>
        <w:rPr>
          <w:color w:val="auto"/>
        </w:rPr>
        <w:t>Life expectancy is a critical indicator of a population's overall health and well-being. It measures the average number of years a person can expect to live from birth, assuming current mortality rates remain constant. This metric is an essential tool for assessing the overall health of a nation and understanding the effectiveness of its healthcare system. In the year 2023, the life expectancy in Nigeria was approximately 61.79 years. To be more precise, the statistic indicated a life expectancy of 60 years for males and 64 years for females. The life expectancy at birth in Nigeria is comparatively low, both within the African continent and globally.</w:t>
      </w:r>
    </w:p>
    <w:p>
      <w:pPr>
        <w:pStyle w:val="28"/>
        <w:spacing w:after="120" w:line="480" w:lineRule="auto"/>
        <w:jc w:val="both"/>
        <w:rPr>
          <w:color w:val="auto"/>
        </w:rPr>
      </w:pPr>
      <w:r>
        <w:rPr>
          <w:color w:val="auto"/>
        </w:rPr>
        <w:t>Several factors influence life expectancy, including access to healthcare, socio-economic conditions, lifestyle choices, and genetics. In developed countries with robust healthcare systems, access to quality medical care, disease prevention measures, and advancements in medical technology contribute to longer life expectancies. On the other hand, in developing countries with limited access to healthcare and higher rates of infectious diseases, life expectancy tends to be lower.</w:t>
      </w:r>
    </w:p>
    <w:p>
      <w:pPr>
        <w:pStyle w:val="28"/>
        <w:spacing w:after="120" w:line="480" w:lineRule="auto"/>
        <w:jc w:val="both"/>
        <w:rPr>
          <w:color w:val="auto"/>
        </w:rPr>
      </w:pPr>
      <w:r>
        <w:rPr>
          <w:color w:val="auto"/>
        </w:rPr>
        <w:t>Efforts to improve life expectancy often involve addressing social determinants of health, such as poverty, education, and nutrition. Public health interventions, vaccination programs, and initiatives to reduce smoking and alcohol consumption have also played significant roles in increasing life expectancy worldwide. Additionally, advancements in medical research and healthcare delivery have led to longer, healthier lives for many individuals.</w:t>
      </w:r>
    </w:p>
    <w:p>
      <w:pPr>
        <w:pStyle w:val="28"/>
        <w:spacing w:after="120" w:line="480" w:lineRule="auto"/>
        <w:jc w:val="both"/>
        <w:rPr>
          <w:color w:val="auto"/>
        </w:rPr>
      </w:pPr>
      <w:r>
        <w:rPr>
          <w:color w:val="auto"/>
        </w:rPr>
        <w:t>While life expectancy has generally been increasing globally, disparities still exist within and between countries. Addressing these disparities requires a multifaceted approach that considers not only healthcare but also broader social and economic factors that impact health outcomes.</w:t>
      </w:r>
    </w:p>
    <w:p>
      <w:pPr>
        <w:pStyle w:val="28"/>
        <w:spacing w:after="120" w:line="480" w:lineRule="auto"/>
        <w:jc w:val="both"/>
        <w:rPr>
          <w:color w:val="auto"/>
        </w:rPr>
      </w:pPr>
      <w:r>
        <w:rPr>
          <w:color w:val="auto"/>
        </w:rPr>
        <w:t>The infant mortality rate (IMR) is another crucial indicator of a nation's health outcomes, specifically focusing on the well-being of its youngest citizens. IMR measures the number of infants who die before their first birthday per 1,000 live births in a given year. A low IMR is a sign of a healthy population, as it indicates that infants are surviving their critical early months of life. As of 2023, the infant mortality rate in Nigeria was measured at 55.17 per 1,000 live births. This indicates that the infant mortality rate was approximately 55 fatalities per 1,000 live births for infants under the age of one year. In Africa, there is a relatively high rate of child mortality.</w:t>
      </w:r>
    </w:p>
    <w:p>
      <w:pPr>
        <w:pStyle w:val="28"/>
        <w:spacing w:after="120" w:line="480" w:lineRule="auto"/>
        <w:jc w:val="both"/>
        <w:rPr>
          <w:color w:val="auto"/>
        </w:rPr>
      </w:pPr>
      <w:r>
        <w:rPr>
          <w:color w:val="auto"/>
        </w:rPr>
        <w:t>IMR is strongly linked to the quality and accessibility of maternal and child healthcare services, as well as broader socio-economic factors. Adequate prenatal care, skilled birth attendants, access to clean water and sanitation, and vaccinations all contribute to reducing infant mortality. Additionally, efforts to improve maternal health and nutrition play a significant role, as healthier mothers are more likely to have healthier babies.</w:t>
      </w:r>
    </w:p>
    <w:p>
      <w:pPr>
        <w:pStyle w:val="28"/>
        <w:spacing w:after="120" w:line="480" w:lineRule="auto"/>
        <w:jc w:val="both"/>
        <w:rPr>
          <w:color w:val="auto"/>
        </w:rPr>
      </w:pPr>
      <w:r>
        <w:rPr>
          <w:color w:val="auto"/>
        </w:rPr>
        <w:t>Reductions in IMR are often seen as a marker of a country's progress in healthcare and social development. Public health initiatives, like immunization campaigns and education on safe infant care practices, have been successful in driving down IMR in many parts of the world. International organizations and governments have also worked together to improve access to healthcare in underserved areas and address preventable causes of infant mortality, such as infectious diseases and malnutrition.</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Despite global progress, significant disparities persist in infant mortality rates, both between and within countries. Addressing these disparities requires a comprehensive approach that includes improving access to healthcare, reducing poverty and inequality, and promoting education and awareness about maternal and child health. Efforts to reduce IMR are essential for ensuring that every child can grow and thrive</w:t>
      </w:r>
      <w:r>
        <w:rPr>
          <w:rFonts w:ascii="Times New Roman" w:hAnsi="Times New Roman" w:cs="Times New Roman"/>
          <w:sz w:val="24"/>
          <w:szCs w:val="24"/>
          <w:vertAlign w:val="superscript"/>
        </w:rPr>
        <w:t>18, 19, 20</w:t>
      </w:r>
      <w:r>
        <w:rPr>
          <w:rFonts w:ascii="Times New Roman" w:hAnsi="Times New Roman" w:cs="Times New Roman"/>
          <w:sz w:val="24"/>
          <w:szCs w:val="24"/>
        </w:rPr>
        <w:t>.</w:t>
      </w:r>
    </w:p>
    <w:p>
      <w:pPr>
        <w:pStyle w:val="28"/>
        <w:spacing w:after="120" w:line="480" w:lineRule="auto"/>
        <w:jc w:val="both"/>
        <w:rPr>
          <w:b/>
          <w:color w:val="auto"/>
        </w:rPr>
      </w:pPr>
      <w:r>
        <w:rPr>
          <w:b/>
          <w:color w:val="auto"/>
        </w:rPr>
        <w:t>2.2</w:t>
      </w:r>
      <w:r>
        <w:rPr>
          <w:b/>
          <w:color w:val="auto"/>
        </w:rPr>
        <w:tab/>
      </w:r>
      <w:r>
        <w:rPr>
          <w:b/>
          <w:color w:val="auto"/>
        </w:rPr>
        <w:t>Theoretical Review</w:t>
      </w:r>
    </w:p>
    <w:p>
      <w:pPr>
        <w:autoSpaceDE w:val="0"/>
        <w:autoSpaceDN w:val="0"/>
        <w:adjustRightInd w:val="0"/>
        <w:spacing w:after="120" w:line="480" w:lineRule="auto"/>
        <w:jc w:val="both"/>
        <w:rPr>
          <w:rFonts w:ascii="Times New Roman" w:hAnsi="Times New Roman" w:cs="Times New Roman"/>
          <w:sz w:val="24"/>
          <w:szCs w:val="24"/>
        </w:rPr>
      </w:pPr>
      <w:r>
        <w:rPr>
          <w:rFonts w:ascii="Times New Roman" w:hAnsi="Times New Roman" w:cs="Times New Roman"/>
          <w:b/>
          <w:bCs/>
          <w:sz w:val="24"/>
          <w:szCs w:val="24"/>
        </w:rPr>
        <w:t>2.2.1</w:t>
      </w:r>
      <w:r>
        <w:rPr>
          <w:rFonts w:ascii="Times New Roman" w:hAnsi="Times New Roman" w:cs="Times New Roman"/>
          <w:b/>
          <w:bCs/>
          <w:sz w:val="24"/>
          <w:szCs w:val="24"/>
        </w:rPr>
        <w:tab/>
      </w:r>
      <w:r>
        <w:rPr>
          <w:rFonts w:ascii="Times New Roman" w:hAnsi="Times New Roman" w:cs="Times New Roman"/>
          <w:b/>
          <w:bCs/>
          <w:sz w:val="24"/>
          <w:szCs w:val="24"/>
        </w:rPr>
        <w:t>Bismarck Health Care Financing Model (Social Insurance-Based)</w:t>
      </w:r>
    </w:p>
    <w:p>
      <w:pPr>
        <w:pStyle w:val="28"/>
        <w:spacing w:after="120" w:line="480" w:lineRule="auto"/>
        <w:jc w:val="both"/>
        <w:rPr>
          <w:color w:val="auto"/>
        </w:rPr>
      </w:pPr>
      <w:r>
        <w:rPr>
          <w:color w:val="auto"/>
        </w:rPr>
        <w:t>The Bismarck health care finance model is characterized by its adoption of a social insurance framework. In the present paradigm, the provision of healthcare services is financed by means of contributions made to a health fund. The primary source of contributions commonly stems from the payroll, wherein both the employer and employee allocate a proportionate amount of their respective salaries</w:t>
      </w:r>
      <w:r>
        <w:rPr>
          <w:color w:val="auto"/>
          <w:vertAlign w:val="superscript"/>
        </w:rPr>
        <w:t>21</w:t>
      </w:r>
      <w:r>
        <w:rPr>
          <w:color w:val="auto"/>
        </w:rPr>
        <w:t>. Social insurance plans has significant potential for delivering efficient risk protection, particularly within nations with high income levels. The primary drawbacks associated with social health insurance models arise from their limited coverage, particularly in low-income nations where these models predominantly cater to formal sector employees and simply aggregate the health risks of scheme members. The implementation of social health insurance necessitates the presence of sufficient fiscal capacity within the government, as well as widespread acceptability among the population. Similar to taxes, social health insurance encounters some challenges that diminish its efficacy in terms of tax collection. Additionally, contributions to social health insurance by employers increase the cost of labor and may lead to increases in unemployment levels</w:t>
      </w:r>
      <w:r>
        <w:rPr>
          <w:rStyle w:val="13"/>
          <w:color w:val="auto"/>
        </w:rPr>
        <w:t>22</w:t>
      </w:r>
      <w:r>
        <w:rPr>
          <w:color w:val="auto"/>
        </w:rPr>
        <w:t>. Tanzania (17 percent) and Kenya (11 percent) are among the countries with the largest coverage of social health insurance schemes</w:t>
      </w:r>
      <w:r>
        <w:rPr>
          <w:rStyle w:val="13"/>
          <w:color w:val="auto"/>
        </w:rPr>
        <w:t>23</w:t>
      </w:r>
      <w:r>
        <w:rPr>
          <w:color w:val="auto"/>
        </w:rPr>
        <w:t>. Similar to national health insurance schemes, social health insurance schemes in Sub-Saharan Africa (SSA) encounter challenges due to their restricted subscription bases, mostly because the formal sector in this region is relatively tiny.</w:t>
      </w:r>
    </w:p>
    <w:p>
      <w:pPr>
        <w:pStyle w:val="28"/>
        <w:spacing w:after="120" w:line="480" w:lineRule="auto"/>
        <w:jc w:val="both"/>
        <w:rPr>
          <w:b/>
        </w:rPr>
      </w:pPr>
      <w:r>
        <w:rPr>
          <w:b/>
        </w:rPr>
        <w:t>2.2.2</w:t>
      </w:r>
      <w:r>
        <w:rPr>
          <w:b/>
        </w:rPr>
        <w:tab/>
      </w:r>
      <w:r>
        <w:rPr>
          <w:b/>
        </w:rPr>
        <w:t>Income and Expenditure Theory</w:t>
      </w:r>
    </w:p>
    <w:p>
      <w:pPr>
        <w:pStyle w:val="28"/>
        <w:spacing w:after="120" w:line="480" w:lineRule="auto"/>
        <w:jc w:val="both"/>
      </w:pPr>
      <w:r>
        <w:t>This theory posits that financial sector development, particularly increased access to credit and financial services, can contribute to higher income levels for individuals. Higher income is associated with improved living standards and greater capacity to afford healthcare services, leading to better health outcomes. The Income and Expenditure Theory is a macroeconomic concept that explores the relationships between aggregate income and aggregate expenditure within an economy. Developed primarily by economist John Maynard Keynes, this theory serves as a foundational framework for understanding the determinants of national income and the factors that influence overall economic activity. In essence, the Income and Expenditure Theory posits that the total level of economic output, or national income, is primarily determined by the total level of expenditures in the economy. These expenditures include consumption by households, investment by businesses, government spending, and net exports (exports minus imports). According to Keynesian economics, which is closely associated with this theory, the key driver of economic activity is the total spending or demand in the economy. The theory introduces the concept of an equilibrium level of income, where the total expenditures in the economy match the total income generated. At this equilibrium point, there is neither a surplus nor a shortfall in overall spending, leading to economic stability. However, the economy may deviate from this equilibrium, and such deviations can have significant implications for unemployment, inflation, and overall economic well-being.</w:t>
      </w:r>
    </w:p>
    <w:p>
      <w:pPr>
        <w:pStyle w:val="28"/>
        <w:spacing w:after="120" w:line="480" w:lineRule="auto"/>
        <w:jc w:val="both"/>
      </w:pPr>
      <w:r>
        <w:t>The Income and Expenditure Theory, which focuses on the relationships between aggregate income and total expenditures in an economy, can be applied to the intersection of financial sector development and health outcomes. In the context of healthcare, financial sector development plays a crucial role in shaping the income and expenditure dynamics related to health services. As the financial sector evolves and becomes more sophisticated, it facilitates income growth through mechanisms such as increased access to credit, investments in health infrastructure, and the expansion of health-related industries. This income growth can positively impact individual and household spending on healthcare, leading to improved access to medical services, preventive measures, and overall better health outcomes. Moreover, the Income and Expenditure Theory's multiplier effect is relevant in the context of financial sector development and health outcomes. A well-developed financial sector can contribute to increased income not only through direct investments in health but also through the creation of employment opportunities and the expansion of economic activities related to healthcare. This, in turn, can trigger a multiplier effect, where the initial financial investments in health lead to subsequent rounds of spending, job creation, and income growth. The resulting positive feedback loop can contribute to sustainable improvements in health outcomes as communities benefit from increased resources for healthcare services and infrastructure. In summary, financial sector development, guided by the principles of the Income and Expenditure Theory, can foster economic growth, increase income, and positively influence health outcomes by enhancing the capacity of individuals and communities to invest in their well-being.</w:t>
      </w:r>
    </w:p>
    <w:p>
      <w:pPr>
        <w:spacing w:after="120" w:line="480" w:lineRule="auto"/>
        <w:jc w:val="both"/>
        <w:rPr>
          <w:rFonts w:ascii="Times New Roman" w:hAnsi="Times New Roman" w:cs="Times New Roman"/>
          <w:b/>
          <w:sz w:val="24"/>
          <w:szCs w:val="24"/>
        </w:rPr>
      </w:pPr>
      <w:r>
        <w:rPr>
          <w:rFonts w:ascii="Times New Roman" w:hAnsi="Times New Roman" w:cs="Times New Roman"/>
          <w:b/>
          <w:sz w:val="24"/>
          <w:szCs w:val="24"/>
        </w:rPr>
        <w:t>2.2.3</w:t>
      </w:r>
      <w:r>
        <w:rPr>
          <w:rFonts w:ascii="Times New Roman" w:hAnsi="Times New Roman" w:cs="Times New Roman"/>
          <w:b/>
          <w:sz w:val="24"/>
          <w:szCs w:val="24"/>
        </w:rPr>
        <w:tab/>
      </w:r>
      <w:r>
        <w:rPr>
          <w:rFonts w:ascii="Times New Roman" w:hAnsi="Times New Roman" w:cs="Times New Roman"/>
          <w:b/>
          <w:sz w:val="24"/>
          <w:szCs w:val="24"/>
        </w:rPr>
        <w:t>Grossman Theory on Health Investment and Outcomes</w:t>
      </w:r>
    </w:p>
    <w:p>
      <w:pPr>
        <w:spacing w:after="120" w:line="480" w:lineRule="auto"/>
        <w:jc w:val="both"/>
        <w:rPr>
          <w:rFonts w:ascii="Times New Roman" w:hAnsi="Times New Roman" w:cs="Times New Roman"/>
          <w:bCs/>
          <w:sz w:val="24"/>
          <w:szCs w:val="24"/>
        </w:rPr>
      </w:pPr>
      <w:r>
        <w:rPr>
          <w:rFonts w:ascii="Times New Roman" w:hAnsi="Times New Roman" w:cs="Times New Roman"/>
          <w:bCs/>
          <w:sz w:val="24"/>
          <w:szCs w:val="24"/>
        </w:rPr>
        <w:t>The Grossman model of health investment posits that individuals make rational decisions about their health by investing in medical care and health-related activities. This economic theory, developed by Michael Grossman, views health as a form of capital that can be improved through investments in health-enhancing activities and medical care. In the context of financial sector development and health outcomes, the Grossman model suggests that a well-functioning financial sector plays a crucial role in facilitating individuals' ability to make optimal health investments. Access to credit, insurance mechanisms, and financial instruments can empower individuals to allocate resources efficiently, enabling them to make investments in preventive measures, medical care, and a healthier lifestyle.</w:t>
      </w:r>
    </w:p>
    <w:p>
      <w:pPr>
        <w:spacing w:after="120" w:line="480" w:lineRule="auto"/>
        <w:jc w:val="both"/>
        <w:rPr>
          <w:rFonts w:ascii="Times New Roman" w:hAnsi="Times New Roman" w:cs="Times New Roman"/>
          <w:bCs/>
          <w:sz w:val="24"/>
          <w:szCs w:val="24"/>
        </w:rPr>
      </w:pPr>
      <w:r>
        <w:rPr>
          <w:rFonts w:ascii="Times New Roman" w:hAnsi="Times New Roman" w:cs="Times New Roman"/>
          <w:bCs/>
          <w:sz w:val="24"/>
          <w:szCs w:val="24"/>
        </w:rPr>
        <w:t>Financial sector development can enhance the Grossman model's applicability by providing individuals with the means to make informed health investments. For example, improved financial literacy, coupled with accessible financial services, allows individuals to plan for and afford health-enhancing activities. Additionally, the availability of health insurance and other risk-mitigation tools within a well-developed financial sector can protect individuals from the financial burden of unexpected health expenses. As a result, the Grossman model suggests that a symbiotic relationship exists between financial sector development and health outcomes, where a robust financial sector empowers individuals to make effective health investments, leading to improved overall health and well-being.</w:t>
      </w:r>
    </w:p>
    <w:p>
      <w:pPr>
        <w:spacing w:after="120" w:line="480" w:lineRule="auto"/>
        <w:jc w:val="both"/>
        <w:rPr>
          <w:rFonts w:ascii="Times New Roman" w:hAnsi="Times New Roman" w:cs="Times New Roman"/>
          <w:bCs/>
          <w:sz w:val="24"/>
          <w:szCs w:val="24"/>
        </w:rPr>
      </w:pPr>
      <w:r>
        <w:rPr>
          <w:rFonts w:ascii="Times New Roman" w:hAnsi="Times New Roman" w:cs="Times New Roman"/>
          <w:bCs/>
          <w:sz w:val="24"/>
          <w:szCs w:val="24"/>
        </w:rPr>
        <w:t>Grossman developed a model for good health in 1972, and health has been treated as a durable capital stock</w:t>
      </w:r>
      <w:r>
        <w:rPr>
          <w:rFonts w:ascii="Times New Roman" w:hAnsi="Times New Roman" w:cs="Times New Roman"/>
          <w:bCs/>
          <w:sz w:val="24"/>
          <w:szCs w:val="24"/>
          <w:vertAlign w:val="superscript"/>
        </w:rPr>
        <w:t>23,24</w:t>
      </w:r>
      <w:r>
        <w:rPr>
          <w:rFonts w:ascii="Times New Roman" w:hAnsi="Times New Roman" w:cs="Times New Roman"/>
          <w:bCs/>
          <w:sz w:val="24"/>
          <w:szCs w:val="24"/>
        </w:rPr>
        <w:t>. According to Grossman, healthy days are said to have been born out of health stock, where utility is said to have been gained both directly because it allows for the enjoyment of good health (via consumption commodity) and indirectly because it allows for time to be expended on other market as well as non-market activities (via individual commodity). As Grossman enforces two constraints, it is assumed that individuals maximize the utility they derive from consumption. First, such time constraints that establish time in a specified period has to be allotted to investment, consumption, or wage generation. An increase in sick days reduces the amount of time available for actions. Second, income constraints should represent the real cost of time spent on consumption or some levels of investment rather than wage generation, which is a maximization issue. There is an unwavering assumption that individuals are born with some level of health stock that deteriorates with age. The reduction could be offset by investment activities, but when the stock reaches the critical level, it dies. Grossman develops a pure model of consumption as well as a pure investment model on the assumption that the marginal cost is constant</w:t>
      </w:r>
      <w:r>
        <w:rPr>
          <w:rFonts w:ascii="Times New Roman" w:hAnsi="Times New Roman" w:cs="Times New Roman"/>
          <w:bCs/>
          <w:sz w:val="24"/>
          <w:szCs w:val="24"/>
          <w:vertAlign w:val="superscript"/>
        </w:rPr>
        <w:t>35</w:t>
      </w:r>
      <w:r>
        <w:rPr>
          <w:rFonts w:ascii="Times New Roman" w:hAnsi="Times New Roman" w:cs="Times New Roman"/>
          <w:bCs/>
          <w:sz w:val="24"/>
          <w:szCs w:val="24"/>
        </w:rPr>
        <w:t>, based on the marginal benefit being increased with consumption and investment activities taken as additive</w:t>
      </w:r>
      <w:r>
        <w:rPr>
          <w:rFonts w:ascii="Times New Roman" w:hAnsi="Times New Roman" w:cs="Times New Roman"/>
          <w:bCs/>
          <w:sz w:val="24"/>
          <w:szCs w:val="24"/>
          <w:vertAlign w:val="superscript"/>
        </w:rPr>
        <w:t>25</w:t>
      </w:r>
      <w:r>
        <w:rPr>
          <w:rFonts w:ascii="Times New Roman" w:hAnsi="Times New Roman" w:cs="Times New Roman"/>
          <w:bCs/>
          <w:sz w:val="24"/>
          <w:szCs w:val="24"/>
        </w:rPr>
        <w:t>.</w:t>
      </w:r>
    </w:p>
    <w:p>
      <w:pPr>
        <w:spacing w:after="120" w:line="480" w:lineRule="auto"/>
        <w:jc w:val="both"/>
        <w:rPr>
          <w:rFonts w:ascii="Times New Roman" w:hAnsi="Times New Roman" w:cs="Times New Roman"/>
          <w:bCs/>
          <w:sz w:val="24"/>
          <w:szCs w:val="24"/>
        </w:rPr>
      </w:pPr>
      <w:r>
        <w:rPr>
          <w:rFonts w:ascii="Times New Roman" w:hAnsi="Times New Roman" w:cs="Times New Roman"/>
          <w:bCs/>
          <w:sz w:val="24"/>
          <w:szCs w:val="24"/>
        </w:rPr>
        <w:t>The marginal benefit of consumption and that of investment are separated and then equated to the health shadow price as an additive function of interest rate and rate of health depreciation (given). As a result, the empirical evaluation of the investment model's three key predictions is possible. First, a higher depreciation rate with a positive correlation with wage would lead to a decrease in demand for health care. This is due to the fact that as the cost of producing healthy days rises, the marginal cost of investment tends to be higher than the marginal benefits of investment. Second, an increase in wages will have an indeterminate effect on the quantity of health demand. When wages rise, marginal productivity rises because more health days are available to earn higher wages, resulting in more incentives for health investment and higher health stock demand</w:t>
      </w:r>
      <w:r>
        <w:rPr>
          <w:rFonts w:ascii="Times New Roman" w:hAnsi="Times New Roman" w:cs="Times New Roman"/>
          <w:bCs/>
          <w:sz w:val="24"/>
          <w:szCs w:val="24"/>
          <w:vertAlign w:val="superscript"/>
        </w:rPr>
        <w:t>25</w:t>
      </w:r>
      <w:r>
        <w:rPr>
          <w:rFonts w:ascii="Times New Roman" w:hAnsi="Times New Roman" w:cs="Times New Roman"/>
          <w:bCs/>
          <w:sz w:val="24"/>
          <w:szCs w:val="24"/>
        </w:rPr>
        <w:t>.</w:t>
      </w:r>
    </w:p>
    <w:p>
      <w:pPr>
        <w:pStyle w:val="28"/>
        <w:spacing w:after="120" w:line="480" w:lineRule="auto"/>
        <w:jc w:val="both"/>
        <w:rPr>
          <w:b/>
          <w:color w:val="auto"/>
        </w:rPr>
      </w:pPr>
      <w:r>
        <w:rPr>
          <w:b/>
          <w:color w:val="auto"/>
        </w:rPr>
        <w:t>2.2.4</w:t>
      </w:r>
      <w:r>
        <w:rPr>
          <w:b/>
          <w:color w:val="auto"/>
        </w:rPr>
        <w:tab/>
      </w:r>
      <w:r>
        <w:rPr>
          <w:b/>
          <w:color w:val="auto"/>
        </w:rPr>
        <w:t>Financial Development Theory</w:t>
      </w:r>
    </w:p>
    <w:p>
      <w:pPr>
        <w:pStyle w:val="28"/>
        <w:spacing w:after="120" w:line="480" w:lineRule="auto"/>
        <w:jc w:val="both"/>
        <w:rPr>
          <w:color w:val="auto"/>
        </w:rPr>
      </w:pPr>
      <w:r>
        <w:rPr>
          <w:color w:val="auto"/>
        </w:rPr>
        <w:t>The theory of financial development holds significant importance within the field of economics as it analyses the complex interplay between a nation's financial sector and its overall economic growth and development</w:t>
      </w:r>
      <w:r>
        <w:rPr>
          <w:color w:val="auto"/>
          <w:vertAlign w:val="superscript"/>
        </w:rPr>
        <w:t>24,25</w:t>
      </w:r>
      <w:r>
        <w:rPr>
          <w:color w:val="auto"/>
        </w:rPr>
        <w:t>. The present idea postulates that the establishment of a robust and effective financial system plays a pivotal role in facilitating economic advancement. The process of allocating savings to productive investments and promoting economic development is facilitated by financial intermediaries such as banks, financial markets, and institutions. This theory emphasizes the significance of financial inclusion, the enlargement of financial markets, and financial innovations in fostering economic growth and stability.</w:t>
      </w:r>
    </w:p>
    <w:p>
      <w:pPr>
        <w:pStyle w:val="28"/>
        <w:spacing w:after="120" w:line="480" w:lineRule="auto"/>
        <w:jc w:val="both"/>
        <w:rPr>
          <w:color w:val="auto"/>
        </w:rPr>
      </w:pPr>
      <w:r>
        <w:rPr>
          <w:color w:val="auto"/>
        </w:rPr>
        <w:t>Financial development theory places significant emphasis on the pivotal role played by the banking sector</w:t>
      </w:r>
      <w:r>
        <w:rPr>
          <w:color w:val="auto"/>
          <w:vertAlign w:val="superscript"/>
        </w:rPr>
        <w:t>26,27</w:t>
      </w:r>
      <w:r>
        <w:rPr>
          <w:color w:val="auto"/>
        </w:rPr>
        <w:t>. A banking system that is robust and stable serves as a reliable means of financial support for both enterprises and individuals, hence fostering investment and entrepreneurial activities. Moreover, it underscores the importance of an enabling legal and regulatory structure that guarantees property rights, facilitates contract enforcement, and fosters a stable ecosystem for the flourishing of financial endeavors. Furthermore, the concept of financial liberalization is an additional dimension that underscores the significance of diminishing constraints and regulations in order to foster the movement of capital and promote economic expansion, all while ensuring the preservation of stability remains a pivotal factor</w:t>
      </w:r>
      <w:r>
        <w:rPr>
          <w:color w:val="auto"/>
          <w:vertAlign w:val="superscript"/>
        </w:rPr>
        <w:t>28,29</w:t>
      </w:r>
      <w:r>
        <w:rPr>
          <w:color w:val="auto"/>
        </w:rPr>
        <w:t>.</w:t>
      </w:r>
    </w:p>
    <w:p>
      <w:pPr>
        <w:pStyle w:val="28"/>
        <w:spacing w:after="120" w:line="480" w:lineRule="auto"/>
        <w:jc w:val="both"/>
        <w:rPr>
          <w:color w:val="auto"/>
        </w:rPr>
      </w:pPr>
      <w:r>
        <w:rPr>
          <w:color w:val="auto"/>
        </w:rPr>
        <w:t>The theory of financial development also acknowledges the significance of financial innovation. The implementation of novel financial products, services, and technologies contributes to the optimization of the financial sector, facilitating the more efficient allocation of resources towards productive ventures. The stability of the financial sector is a paramount concern due to its potential to undermine economic development. The theory emphasizes the importance of implementing risk management strategies and ensuring financial stability in order to sustain the overall economic well-being.</w:t>
      </w:r>
    </w:p>
    <w:p>
      <w:pPr>
        <w:pStyle w:val="28"/>
        <w:spacing w:after="120" w:line="480" w:lineRule="auto"/>
        <w:jc w:val="both"/>
        <w:rPr>
          <w:color w:val="auto"/>
        </w:rPr>
      </w:pPr>
      <w:r>
        <w:rPr>
          <w:color w:val="auto"/>
        </w:rPr>
        <w:t>Financial development is driven by a combination of domestic and foreign forces within a global environment. The development of a country's financial sector can be greatly influenced by cross-border financial flows, commerce, and foreign investments. Domestic economic policies and institutions play a crucial role in determining the trajectory and magnitude of financial development. Furthermore, there is an increasing emphasis on the correlation between financial development and inclusive growth</w:t>
      </w:r>
      <w:r>
        <w:rPr>
          <w:color w:val="auto"/>
          <w:vertAlign w:val="superscript"/>
        </w:rPr>
        <w:t>30</w:t>
      </w:r>
      <w:r>
        <w:rPr>
          <w:color w:val="auto"/>
        </w:rPr>
        <w:t>. The primary objective of policymakers is to facilitate financial development in a manner that fosters inclusivity, so mitigating income disparity and fostering a more egalitarian trajectory of economic advancement.</w:t>
      </w:r>
    </w:p>
    <w:p>
      <w:pPr>
        <w:pStyle w:val="28"/>
        <w:spacing w:after="120" w:line="480" w:lineRule="auto"/>
        <w:jc w:val="both"/>
        <w:rPr>
          <w:b/>
          <w:color w:val="auto"/>
        </w:rPr>
      </w:pPr>
      <w:r>
        <w:rPr>
          <w:b/>
          <w:color w:val="auto"/>
        </w:rPr>
        <w:t>2.3</w:t>
      </w:r>
      <w:r>
        <w:rPr>
          <w:b/>
          <w:color w:val="auto"/>
        </w:rPr>
        <w:tab/>
      </w:r>
      <w:r>
        <w:rPr>
          <w:b/>
          <w:color w:val="auto"/>
        </w:rPr>
        <w:t xml:space="preserve">Empirical Review </w:t>
      </w:r>
    </w:p>
    <w:p>
      <w:pPr>
        <w:pStyle w:val="28"/>
        <w:spacing w:after="120" w:line="480" w:lineRule="auto"/>
        <w:jc w:val="both"/>
        <w:rPr>
          <w:b/>
          <w:color w:val="auto"/>
        </w:rPr>
      </w:pPr>
      <w:r>
        <w:rPr>
          <w:b/>
          <w:color w:val="auto"/>
        </w:rPr>
        <w:t>2.3.1</w:t>
      </w:r>
      <w:r>
        <w:rPr>
          <w:b/>
          <w:color w:val="auto"/>
        </w:rPr>
        <w:tab/>
      </w:r>
      <w:r>
        <w:rPr>
          <w:b/>
          <w:color w:val="auto"/>
        </w:rPr>
        <w:t>Evidence from Developed Economy</w:t>
      </w:r>
    </w:p>
    <w:p>
      <w:pPr>
        <w:pStyle w:val="28"/>
        <w:spacing w:after="120" w:line="480" w:lineRule="auto"/>
        <w:jc w:val="both"/>
        <w:rPr>
          <w:color w:val="auto"/>
        </w:rPr>
      </w:pPr>
      <w:r>
        <w:rPr>
          <w:color w:val="auto"/>
        </w:rPr>
        <w:t>To examine the effects of financial globalization, institutions, and economic growth on the advancement of the European financial sector, a comprehensive investigation was carried out using panel data spanning from the years 1989 to 2016. The empirical results show that economic growth and institutional quality have a favorable relationship with financial development when using the composite index of financial development, which covers various dimensions of the financial market, such as depth, access, and efficiency. Financial globalization, on the other hand, hinders the development of the financial industry. The findings are robust to utilizing other proxies for economic growth, institutional measures, and capturing the financial crisis period. These empirical findings propose policy suggestions for developing the financial sector using economic tools such as globalization, institutional quality, and economic growth</w:t>
      </w:r>
      <w:r>
        <w:rPr>
          <w:color w:val="auto"/>
          <w:vertAlign w:val="superscript"/>
        </w:rPr>
        <w:t>31</w:t>
      </w:r>
      <w:r>
        <w:rPr>
          <w:color w:val="auto"/>
        </w:rPr>
        <w:t>.</w:t>
      </w:r>
    </w:p>
    <w:p>
      <w:pPr>
        <w:pStyle w:val="28"/>
        <w:spacing w:after="120" w:line="480" w:lineRule="auto"/>
        <w:jc w:val="both"/>
        <w:rPr>
          <w:color w:val="auto"/>
        </w:rPr>
      </w:pPr>
      <w:r>
        <w:rPr>
          <w:color w:val="auto"/>
        </w:rPr>
        <w:t>To empirically examine the association between financial development variables and growth in 11 European Countries throughout the period of 1995-2016.  Some scholars employed the dynamic panel models, specifically utilizing the Pooled Mean Group estimator. The results indicated that there is a positive association between financial development and economic growth, but this relationship is only significant in the short-term. This conclusion supports the idea that financial development leads to economic growth through the supply side. When examining the hypothesis concerning non-linearities in the finance-growth nexus, it is observed that the relationship exhibits an inverted U-shaped pattern. Specifically, the impact of financial development on economic activity is positive up to a certain threshold, beyond which the association turns negative. The veracity of the non-linearity hypothesis is applicable just to the variable of domestic credit to the private sector. In relation to policy implications, it was advised that governments should prioritize the allocation of resources towards investment projects that demonstrate efficiency, with the aim of enhancing economic growth and facilitating the effective expansion of the banking sector</w:t>
      </w:r>
      <w:r>
        <w:rPr>
          <w:color w:val="auto"/>
          <w:vertAlign w:val="superscript"/>
        </w:rPr>
        <w:t>32</w:t>
      </w:r>
      <w:r>
        <w:rPr>
          <w:color w:val="auto"/>
        </w:rPr>
        <w:t>.</w:t>
      </w:r>
    </w:p>
    <w:p>
      <w:pPr>
        <w:pStyle w:val="28"/>
        <w:spacing w:after="120" w:line="480" w:lineRule="auto"/>
        <w:jc w:val="both"/>
        <w:rPr>
          <w:color w:val="auto"/>
        </w:rPr>
      </w:pPr>
      <w:r>
        <w:rPr>
          <w:color w:val="auto"/>
        </w:rPr>
        <w:t>To investigate the impact of financial development and financial globalization on the significant increase in life expectancy in China, India, and Japan. The researchers utilized annual data from 1991 to 2019 to analyze this phenomenon. The ARDL limits testing approach provides empirical evidence supporting the existence of a long-term association between financial development, financial globalization, and life expectancy, while controlling for factors such as GDP, health expenditure, and internet usage. The empirical evidence from long-term studies suggested a positive correlation between financial development and life expectancy in China, with a 0.599% increase in life expectancy associated with financial development. Their findings also suggest that there is a positive correlation between financial globalization and life expectancy, with a 1.247% increase observed in Japan and a 1.121% increase observed in India. The results of their study provide valuable empirical knowledge for policymakers seeking to enhance life expectancy in China, India, and Japan</w:t>
      </w:r>
      <w:r>
        <w:rPr>
          <w:color w:val="auto"/>
          <w:vertAlign w:val="superscript"/>
        </w:rPr>
        <w:t>33</w:t>
      </w:r>
      <w:r>
        <w:rPr>
          <w:color w:val="auto"/>
        </w:rPr>
        <w:t>.</w:t>
      </w:r>
    </w:p>
    <w:p>
      <w:pPr>
        <w:autoSpaceDE w:val="0"/>
        <w:autoSpaceDN w:val="0"/>
        <w:adjustRightInd w:val="0"/>
        <w:spacing w:after="120" w:line="480" w:lineRule="auto"/>
        <w:jc w:val="both"/>
        <w:rPr>
          <w:rFonts w:ascii="Times New Roman" w:hAnsi="Times New Roman" w:cs="Times New Roman"/>
          <w:sz w:val="24"/>
          <w:szCs w:val="24"/>
        </w:rPr>
      </w:pPr>
      <w:r>
        <w:rPr>
          <w:rFonts w:ascii="Times New Roman" w:hAnsi="Times New Roman" w:cs="Times New Roman"/>
          <w:sz w:val="24"/>
          <w:szCs w:val="24"/>
        </w:rPr>
        <w:t>To ascertain the causal relationship between the development of the stock market, the development of the banking sector, and the economic growth in Central and Eastern European (CEE) countries. A scholar focused on examining the correlation between the development of the stock market, the development of the banking sector, and the economic growth within the Central and Eastern European (CEE) countries. The study utilized annual data from two distinct time periods, specifically 1999-2012 and 1999-2015, for a total of 8 and 5 Central and Eastern European (CEE) countries, respectively. The research was grounded in the utilization of the Granger causality test and linear regression models. The findings of the study indicated that the advancement of the stock market has a significant impact on the attraction of foreign direct investment and the promotion of economic growth in Central and Eastern European (CEE) nations in the long run. The ways through which stock market capitalization indirectly influences economic growth are disclosed. The stock market capitalization exerts influence on the banking sector and gross capital formation, hence affecting the economic growth of Central and Eastern European (CEE) countries. The economic growth in Central and Eastern European (CEE) countries between 1999 and 2015 was influenced by the development of both the stock market and the banking sector. The relationship between the size of the stock market and economic growth is found to be positive, whereas the influence of domestic loans to the private sector is observed to be negative. The practical ramifications of this phenomenon are worth considering. The study provided evidence supporting the rationale for Central and Eastern European (CEE) nations to pursue enhanced development of their stock markets. This entails enhancing the market infrastructure and institutional environment to facilitate the expansion of the stock market. By doing so, these countries may make a valuable contribution to their economic growth</w:t>
      </w:r>
      <w:r>
        <w:rPr>
          <w:rFonts w:ascii="Times New Roman" w:hAnsi="Times New Roman" w:cs="Times New Roman"/>
          <w:sz w:val="24"/>
          <w:szCs w:val="24"/>
          <w:vertAlign w:val="superscript"/>
        </w:rPr>
        <w:t>34</w:t>
      </w:r>
      <w:r>
        <w:rPr>
          <w:rFonts w:ascii="Times New Roman" w:hAnsi="Times New Roman" w:cs="Times New Roman"/>
          <w:sz w:val="24"/>
          <w:szCs w:val="24"/>
        </w:rPr>
        <w:t xml:space="preserve">. </w:t>
      </w:r>
    </w:p>
    <w:p>
      <w:pPr>
        <w:pStyle w:val="28"/>
        <w:spacing w:after="120" w:line="480" w:lineRule="auto"/>
        <w:jc w:val="both"/>
        <w:rPr>
          <w:b/>
          <w:color w:val="auto"/>
        </w:rPr>
      </w:pPr>
      <w:r>
        <w:rPr>
          <w:b/>
          <w:color w:val="auto"/>
        </w:rPr>
        <w:t>2.3.2</w:t>
      </w:r>
      <w:r>
        <w:rPr>
          <w:b/>
          <w:color w:val="auto"/>
        </w:rPr>
        <w:tab/>
      </w:r>
      <w:r>
        <w:rPr>
          <w:b/>
          <w:color w:val="auto"/>
        </w:rPr>
        <w:t>Evidence from Developing/Emerging Economy</w:t>
      </w:r>
    </w:p>
    <w:p>
      <w:pPr>
        <w:pStyle w:val="28"/>
        <w:spacing w:after="120" w:line="480" w:lineRule="auto"/>
        <w:jc w:val="both"/>
        <w:rPr>
          <w:color w:val="auto"/>
        </w:rPr>
      </w:pPr>
      <w:r>
        <w:rPr>
          <w:color w:val="auto"/>
        </w:rPr>
        <w:t>Some researchers undertook a comprehensive analysis of the impact of financial inclusion on life expectancy and newborn mortality rates and investigate if this impact is influenced by potential threshold effects, which are defined by the extent of income inequality and poverty levels. Their conclusions were derived on an analysis of 61 emerging and transitional economies spanning the time frame of 2011 to 2017. By employing a composite hybrid financial inclusion index, they demonstrated that there exists a direct and favorable impact of financial inclusion on health outcomes. Moreover, in countries characterized by a higher prevalence of poverty and economic inequality, the efficacy of financial inclusion as a policy instrument for attaining improved health outcomes is enhanced. The findings have enormous importance from a policy standpoint, as increased financial inclusion provides opportunities to invest in health capital and strengthens the ability of the most disadvantaged groups to handle risks associated with health crises</w:t>
      </w:r>
      <w:r>
        <w:rPr>
          <w:color w:val="auto"/>
          <w:vertAlign w:val="superscript"/>
        </w:rPr>
        <w:t>35</w:t>
      </w:r>
      <w:r>
        <w:rPr>
          <w:color w:val="auto"/>
        </w:rPr>
        <w:t>.</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To examine the impact of remittances on health outcomes in a sample of 39 chosen Sub-Saharan African (SSA) countries from 1996 to 2016. Some researchers examined the various avenues via which remittances impact health outcomes, specifically focusing on the role of financial development and institutional quality. Through the application of dynamic panel estimates, their analysis revealed that remittances play a crucial role in sustaining health outcomes. Furthermore, they observe that both financial development and institutional quality act as complementary factors to remittances in this regard. It is imperative for countries within the SSA region to persistently enhance their financial sectors and elevate the quality of their institutions to a satisfactory standard. The establishment and enhancement of robust financial systems and institutions have the potential to facilitate and attract significant inflows of remittances, thereby contributing to the improvement of human capital, health outcomes, and the reduction of poverty</w:t>
      </w:r>
      <w:r>
        <w:rPr>
          <w:rFonts w:ascii="Times New Roman" w:hAnsi="Times New Roman" w:cs="Times New Roman"/>
          <w:sz w:val="24"/>
          <w:szCs w:val="24"/>
          <w:vertAlign w:val="superscript"/>
        </w:rPr>
        <w:t>36</w:t>
      </w:r>
      <w:r>
        <w:rPr>
          <w:rFonts w:ascii="Times New Roman" w:hAnsi="Times New Roman" w:cs="Times New Roman"/>
          <w:sz w:val="24"/>
          <w:szCs w:val="24"/>
        </w:rPr>
        <w:t>.</w:t>
      </w:r>
    </w:p>
    <w:p>
      <w:pPr>
        <w:pStyle w:val="28"/>
        <w:spacing w:after="120" w:line="480" w:lineRule="auto"/>
        <w:jc w:val="both"/>
        <w:rPr>
          <w:iCs/>
          <w:color w:val="auto"/>
        </w:rPr>
      </w:pPr>
      <w:r>
        <w:rPr>
          <w:color w:val="auto"/>
        </w:rPr>
        <w:t>To examine the impact of financial growth on human development indicators, specifically life expectancy and primary enrollment rates, in developing countries disaggregated by gender throughout the period spanning from 2016 to 2020. The research employed the Generalized Method of Moments (GMM) panel method to estimate the experimental model. The variables considered in the analysis included facilities granted to the private sector, the ratio of money to GDP, the degree of economic openness, as well as the impact of educational and health expenditures. The findings from the estimation of the model suggest that the provision of facilities to the private sector has a statistically significant and beneficial impact on human capital. The impact of the ratio between money supply and GDP is deemed to be adverse, primarily attributed to the detrimental consequences of inflation on various economic models. In all models, except for the female registration rate, the coefficient of the degree of openness of the economy exhibits a positive and statistically significant relationship. The impact of educational expenses on the enrollment rates of males and females, as well as men's life expectancy, was found to be positive and statistically significant. The impact of health expenditures was consistently positive and statistically significant across all models, including those examining life expectancy for men and women, as well as women's registration rate. Hence, it is imperative for governments to prioritize the promotion of exports, undertake tariff system reforms that incentivize the importation of capital goods, ensure currency stability, streamline banking operations, and facilitate the process of opening letters of credit</w:t>
      </w:r>
      <w:r>
        <w:rPr>
          <w:color w:val="auto"/>
          <w:vertAlign w:val="superscript"/>
        </w:rPr>
        <w:t>37</w:t>
      </w:r>
      <w:r>
        <w:rPr>
          <w:color w:val="auto"/>
        </w:rPr>
        <w:t>.</w:t>
      </w:r>
    </w:p>
    <w:p>
      <w:pPr>
        <w:pStyle w:val="28"/>
        <w:spacing w:after="120" w:line="480" w:lineRule="auto"/>
        <w:jc w:val="both"/>
        <w:rPr>
          <w:color w:val="auto"/>
        </w:rPr>
      </w:pPr>
      <w:r>
        <w:rPr>
          <w:color w:val="auto"/>
        </w:rPr>
        <w:t>To analyze the impact of health expenditure on various health outcomes, specifically life expectancy, infant mortality, under-five mortality, and crude death rates, within the sub-Saharan Africa region. The panel of 39 sub-Saharan African Countries for the years 1995-2014 was subjected to the use of the linear dynamic generalized method of moments instrumental variable (GMM-IV). The findings of their study indicated a substantial positive relationship between health expenditure and several health outcomes, including increased life expectancy and reduced rates of infant mortality, under-five mortality, and crude death in the Sub-Saharan Africa region. There is a notable correlation between public and private health expenditures and various health outcomes, such as life expectancy, infant mortality, under-five mortality, and crude death rates. Specifically, public health expenditures were found to have a positive impact on life expectancy and a negative impact on infant mortality, under-five mortality, and crude death rates. Similarly, private health expenditures also exhibit a substantial positive association with life expectancy and a negative relationship with infant mortality, under-five mortality, and crude death rates. The study calculated a lag of one period in health expenditure and found that the regression findings demonstrated a statistically significant association with health outcomes. In conjunction with health expenditure, many factors such as Gross Domestic Product (GDP) per capita, urbanization, immunization, and access to basic drinking water have contributed to advancements in life expectancy, newborn mortality rates, under-five mortality rates, and crude death rates. On the contrary, the presence of HIV and high levels of unemployment are variables that have a detrimental impact on life expectancy, as well as exacerbating rates of newborn mortality, under-five mortality, and crude death. Their study demonstrates that health expenditure plays a significant role in achieving enhanced health outcomes in Sub-Saharan African countries. Hence, allocating a higher proportion of health expenditure to the health sector results in improved health outcomes. Further examination of policy revisions aimed at enhancing GDP per capita, immunization rates, urbanization, and access to basic drinking water services, alongside the implementation of methods designed to decrease HIV prevalence and unemployment, can contribute to the attainment of improved health outcomes</w:t>
      </w:r>
      <w:r>
        <w:rPr>
          <w:color w:val="auto"/>
          <w:vertAlign w:val="superscript"/>
        </w:rPr>
        <w:t>38</w:t>
      </w:r>
      <w:r>
        <w:rPr>
          <w:color w:val="auto"/>
        </w:rPr>
        <w:t>.</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Similarly, some researchers conducted a study and obtained data from 11 African countries spanning the period from 2001 to 2017. The study examined the issue of causation using the Dumitrescu and Hurlin test, which specifically addresses the presence of cross-section dependency. The study's variables exhibit cross-sectional dependence. The findings of the causality research revealed the existence of a bidirectional association between financial development and health factors. The expansion of work opportunities and the reduction of salary disparities between skilled and unskilled labor are observed as financial development occurs. Conversely, it becomes feasible for the government to allocate additional funds towards healthcare expenses targeted at individuals with low socioeconomic status. The significance of individuals' health levels lies in their ability to translate the education they acquire into economic productivity. Within this context, it is anticipated that there exists a reciprocal association between the advancement of financial systems and the state of health. The findings of the study revealed a significant correlation between health and financial development, so providing empirical support to existing scholarly literature on the subject matter</w:t>
      </w:r>
      <w:r>
        <w:rPr>
          <w:rFonts w:ascii="Times New Roman" w:hAnsi="Times New Roman" w:cs="Times New Roman"/>
          <w:sz w:val="24"/>
          <w:szCs w:val="24"/>
          <w:vertAlign w:val="superscript"/>
        </w:rPr>
        <w:t>39</w:t>
      </w:r>
      <w:r>
        <w:rPr>
          <w:rFonts w:ascii="Times New Roman" w:hAnsi="Times New Roman" w:cs="Times New Roman"/>
          <w:sz w:val="24"/>
          <w:szCs w:val="24"/>
        </w:rPr>
        <w:t>.</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Similarly, to examine the causal relationship between energy consumption, environmental degradation, financial development, and health consequences in the context of Pakistan. Some scholars employed life expectancy and infant mortality as proxy for health outcomes. Various econometric techniques have been employed to analyze time series data, including unit root tests, co-integration procedures, causality techniques, and co-integration regressions. Furthermore, their analysis not only identifies the causal direction between variables but also quantifies the magnitude of causation using variance decomposition. The findings of the study provided confirmation that all variables examined in the research exhibit co-integration over an extended period. The examination of causation indicated that there is a one-way causal relationship from energy consumption and environmental degradation to health results. On the other hand, a two-way causal relationship exists between financial development and health outcomes in the long term. Furthermore, their study examined the impact of energy, environmental degradation, and financial development on the health outcome model. The findings indicated that both energy and financial development have the potential to enhance health outcomes in Pakistan</w:t>
      </w:r>
      <w:r>
        <w:rPr>
          <w:rFonts w:ascii="Times New Roman" w:hAnsi="Times New Roman" w:cs="Times New Roman"/>
          <w:sz w:val="24"/>
          <w:szCs w:val="24"/>
          <w:vertAlign w:val="superscript"/>
        </w:rPr>
        <w:t>40</w:t>
      </w:r>
      <w:r>
        <w:rPr>
          <w:rFonts w:ascii="Times New Roman" w:hAnsi="Times New Roman" w:cs="Times New Roman"/>
          <w:sz w:val="24"/>
          <w:szCs w:val="24"/>
        </w:rPr>
        <w:t>.</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To examine the impact of financial growth on the significant increase in life expectancy in Bangladesh, using annual data from 1972 to 2013. Some researchers investigated the unit root characteristics of the variables by utilizing a structural break unit root test. The utilization of the combined co-integration and ARDL limits testing approach provides empirical evidence supporting the existence of a sustained relationship between financial development and life expectancy, even when considering the influence of globalization, income inequality, and economic growth. Their empirical findings suggested that there exists a positive relationship between financial development and globalization, and life expectancy in Bangladesh. The results of the VECM Granger causality analysis suggest the presence of a feedback relationship between financial development and life expectancy. There is evidence to suggest that economic expansion and globalization have a causal relationship with life expectancy, as indicated by their Granger causality analysis</w:t>
      </w:r>
      <w:r>
        <w:rPr>
          <w:rFonts w:ascii="Times New Roman" w:hAnsi="Times New Roman" w:cs="Times New Roman"/>
          <w:sz w:val="24"/>
          <w:szCs w:val="24"/>
          <w:vertAlign w:val="superscript"/>
        </w:rPr>
        <w:t>41</w:t>
      </w:r>
      <w:r>
        <w:rPr>
          <w:rFonts w:ascii="Times New Roman" w:hAnsi="Times New Roman" w:cs="Times New Roman"/>
          <w:sz w:val="24"/>
          <w:szCs w:val="24"/>
        </w:rPr>
        <w:t xml:space="preserve">. </w:t>
      </w:r>
    </w:p>
    <w:p>
      <w:pPr>
        <w:spacing w:after="120" w:line="480" w:lineRule="auto"/>
        <w:jc w:val="both"/>
        <w:rPr>
          <w:rFonts w:ascii="Times New Roman" w:hAnsi="Times New Roman" w:cs="Times New Roman"/>
          <w:iCs/>
          <w:sz w:val="24"/>
          <w:szCs w:val="24"/>
        </w:rPr>
      </w:pPr>
      <w:r>
        <w:rPr>
          <w:rFonts w:ascii="Times New Roman" w:hAnsi="Times New Roman" w:cs="Times New Roman"/>
          <w:iCs/>
          <w:sz w:val="24"/>
          <w:szCs w:val="24"/>
        </w:rPr>
        <w:t>Some researchers carried out a study to investigate the correlation between financial development and healthcare expenditure in a sample of 46 countries in Sub Saharan Africa (SSA). Their study posits that healthcare expenditure serves as a crucial transmission mechanism via which financial development impacts improved health outcomes. The study employed random and fixed effects models, as well as instrumental variable estimate techniques, utilizing data spanning from 1995 to 2014. The findings indicated that there is a positive correlation between financial development and healthcare expenditure. The results of this study highlighted the need of promoting financial development in economies within Sub-Saharan Africa (SSA) as a means of facilitating the mobilization of domestic resources for financing healthcare expenditures</w:t>
      </w:r>
      <w:r>
        <w:rPr>
          <w:rFonts w:ascii="Times New Roman" w:hAnsi="Times New Roman" w:cs="Times New Roman"/>
          <w:iCs/>
          <w:sz w:val="24"/>
          <w:szCs w:val="24"/>
          <w:vertAlign w:val="superscript"/>
        </w:rPr>
        <w:t>42</w:t>
      </w:r>
      <w:r>
        <w:rPr>
          <w:rFonts w:ascii="Times New Roman" w:hAnsi="Times New Roman" w:cs="Times New Roman"/>
          <w:iCs/>
          <w:sz w:val="24"/>
          <w:szCs w:val="24"/>
        </w:rPr>
        <w:t>.</w:t>
      </w:r>
    </w:p>
    <w:p>
      <w:pPr>
        <w:autoSpaceDE w:val="0"/>
        <w:autoSpaceDN w:val="0"/>
        <w:adjustRightInd w:val="0"/>
        <w:spacing w:after="120" w:line="480" w:lineRule="auto"/>
        <w:jc w:val="both"/>
        <w:rPr>
          <w:rFonts w:ascii="Times New Roman" w:hAnsi="Times New Roman" w:cs="Times New Roman"/>
          <w:iCs/>
          <w:sz w:val="24"/>
          <w:szCs w:val="24"/>
        </w:rPr>
      </w:pPr>
      <w:r>
        <w:rPr>
          <w:rFonts w:ascii="Times New Roman" w:hAnsi="Times New Roman" w:cs="Times New Roman"/>
          <w:iCs/>
          <w:sz w:val="24"/>
          <w:szCs w:val="24"/>
        </w:rPr>
        <w:t>To investigate the potential moderating role of financial development in mitigating the impact of growth volatility on the Malaysian economy. Some researchers observed a robust correlation between long-term growth volatility and financial development based on annual data spanning from 1972 to 2018. Additionally, the results suggest that the presence of financial development mitigates the occurrence of fluctuations in economic growth over an extended period. The empirical model demonstrated that trade openness has a statistically significant positive effect on growth volatility in Malaysia. Conversely, inflation volatility, inward foreign direct investment (FDI), and financial development exhibited statistically significant negative effects on growth volatility in the country</w:t>
      </w:r>
      <w:r>
        <w:rPr>
          <w:rFonts w:ascii="Times New Roman" w:hAnsi="Times New Roman" w:cs="Times New Roman"/>
          <w:iCs/>
          <w:sz w:val="24"/>
          <w:szCs w:val="24"/>
          <w:vertAlign w:val="superscript"/>
        </w:rPr>
        <w:t>43</w:t>
      </w:r>
      <w:r>
        <w:rPr>
          <w:rFonts w:ascii="Times New Roman" w:hAnsi="Times New Roman" w:cs="Times New Roman"/>
          <w:iCs/>
          <w:sz w:val="24"/>
          <w:szCs w:val="24"/>
        </w:rPr>
        <w:t>.</w:t>
      </w:r>
    </w:p>
    <w:p>
      <w:pPr>
        <w:pStyle w:val="28"/>
        <w:spacing w:after="120" w:line="480" w:lineRule="auto"/>
        <w:jc w:val="both"/>
        <w:rPr>
          <w:b/>
          <w:color w:val="auto"/>
        </w:rPr>
      </w:pPr>
      <w:r>
        <w:rPr>
          <w:b/>
          <w:color w:val="auto"/>
        </w:rPr>
        <w:t>2.3.3</w:t>
      </w:r>
      <w:r>
        <w:rPr>
          <w:b/>
          <w:color w:val="auto"/>
        </w:rPr>
        <w:tab/>
      </w:r>
      <w:r>
        <w:rPr>
          <w:b/>
          <w:color w:val="auto"/>
        </w:rPr>
        <w:t>Evidence from Nigeria</w:t>
      </w:r>
    </w:p>
    <w:p>
      <w:pPr>
        <w:pStyle w:val="28"/>
        <w:spacing w:after="120" w:line="480" w:lineRule="auto"/>
        <w:jc w:val="both"/>
        <w:rPr>
          <w:color w:val="auto"/>
        </w:rPr>
      </w:pPr>
      <w:r>
        <w:rPr>
          <w:color w:val="auto"/>
        </w:rPr>
        <w:t>Some researchers investigated the relationship between financial development, public health expenditure, and health outcomes in Nigeria from 1981 to 2020. The study utilized annual time series data obtained from the Central Bank of Nigeria (CBN) statistical bulletin and the World Development Index (WDI). The data was subjected to analysis using the Autoregressive Distributed Lag Model (ARDL) with Bounds Testing. Their findings indicate that in the near term, an increase in government spending on healthcare has a negative impact on health outcomes, namely life expectancy. However, in the long term, this increased investment is associated with improvements in life expectancy. Additionally, the findings indicated that the impact of financial development on health outcomes is contingent upon the specific financial development indicator utilized, whereas inflation has a negative and statistically significant effect on health outcomes in Nigeria. The study suggested that the Nigerian government should allocate more funds to the health sector and ensure the stability of the financial sector. These measures are deemed necessary to effectively enhance the desired level of health outcomes in Nigeria</w:t>
      </w:r>
      <w:r>
        <w:rPr>
          <w:color w:val="auto"/>
          <w:vertAlign w:val="superscript"/>
        </w:rPr>
        <w:t>44</w:t>
      </w:r>
      <w:r>
        <w:rPr>
          <w:color w:val="auto"/>
        </w:rPr>
        <w:t>.</w:t>
      </w:r>
    </w:p>
    <w:p>
      <w:pPr>
        <w:autoSpaceDE w:val="0"/>
        <w:autoSpaceDN w:val="0"/>
        <w:adjustRightInd w:val="0"/>
        <w:spacing w:after="120"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Some researchers empirically examined the relationship between public health expenditure and infant mortality rate in Nigeria from 1991 to 2018, utilizing time series data. The study employed the Fully Modified Ordinary Least Square (FMOLS) analytical approach to investigate the associations. Several robustness assessments were conducted to ascertain the dependability of the findings for policymakers. The results of the study indicated that the variables included had a favorable effect on INFM. It is thus suggested that additional efforts should be made to disseminate public awareness regarding the significance of administering DPT immunization to infants. Furthermore, it is imperative to enhance the education of nursing mothers regarding the importance of providing adequate care for their children, particularly during the early stages of development. This entails avoiding the delegation of parental responsibilities solely to nursery</w:t>
      </w:r>
      <w:r>
        <w:rPr>
          <w:rFonts w:ascii="Times New Roman" w:hAnsi="Times New Roman" w:cs="Times New Roman"/>
          <w:sz w:val="24"/>
          <w:szCs w:val="24"/>
          <w:shd w:val="clear" w:color="auto" w:fill="FFFFFF"/>
          <w:vertAlign w:val="superscript"/>
        </w:rPr>
        <w:t>45</w:t>
      </w:r>
      <w:r>
        <w:rPr>
          <w:rFonts w:ascii="Times New Roman" w:hAnsi="Times New Roman" w:cs="Times New Roman"/>
          <w:sz w:val="24"/>
          <w:szCs w:val="24"/>
          <w:shd w:val="clear" w:color="auto" w:fill="FFFFFF"/>
        </w:rPr>
        <w:t xml:space="preserve">. </w:t>
      </w:r>
    </w:p>
    <w:p>
      <w:pPr>
        <w:autoSpaceDE w:val="0"/>
        <w:autoSpaceDN w:val="0"/>
        <w:adjustRightInd w:val="0"/>
        <w:spacing w:after="120"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Similarly, some scholars investigated the relationship among health expenditure, child mortality, and economic growth in Nigeria by analyzing time series data from the years 1980 to 2020. The data was analyzed using the Ordinary Least Square (OLS) approach. The empirical findings indicated that there is a lack of substantial correlation between government health expenditure and under-five child mortality. The study also revealed that government capital expenditure had a statistically negligible and negative effect on under-five death rates. Conversely, government recurrent expenditure had a statistically significant and negative effect on under-five mortality rates. The influence of gross fixed capital creation on under-five child mortality was shown to be both positive and statistically significant. The study also revealed that child mortality, government capital spending, and domestic investment exhibited a positive and statistically significant influence on economic growth. Conversely, inflation was found to have a negative and statistically significant effect on economic growth. It was recommended that there be an augmentation in the annual financial allocation towards the health sector. However, the crucial factor for achieving positive results does not solely rely on a mere increase in budget allocation. Instead, it hinges on the implementation of an effective public finance system that can expand and potentially connect specific expenditure and revenue choices, while also ensuring the appropriate utilization of allocated funds in a transparent manner</w:t>
      </w:r>
      <w:r>
        <w:rPr>
          <w:rFonts w:ascii="Times New Roman" w:hAnsi="Times New Roman" w:cs="Times New Roman"/>
          <w:sz w:val="24"/>
          <w:szCs w:val="24"/>
          <w:shd w:val="clear" w:color="auto" w:fill="FFFFFF"/>
          <w:vertAlign w:val="superscript"/>
        </w:rPr>
        <w:t>46</w:t>
      </w:r>
      <w:r>
        <w:rPr>
          <w:rFonts w:ascii="Times New Roman" w:hAnsi="Times New Roman" w:cs="Times New Roman"/>
          <w:sz w:val="24"/>
          <w:szCs w:val="24"/>
          <w:shd w:val="clear" w:color="auto" w:fill="FFFFFF"/>
        </w:rPr>
        <w:t>.</w:t>
      </w:r>
    </w:p>
    <w:p>
      <w:pPr>
        <w:autoSpaceDE w:val="0"/>
        <w:autoSpaceDN w:val="0"/>
        <w:adjustRightInd w:val="0"/>
        <w:spacing w:after="120"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To examine the impact of government health expenditure on under-five death rates in Nigeria. Some scholars used autoregressive distribution lag technique to investigate the long-term impact of public health expenditure on under-five mortality in Nigeria. The data utilized in the study were obtained from the World Development Indicators, covering the time frame from 1985 to 2017. The study's findings indicate that public health expenditure has a statistically significant positive correlation with under-five mortality. The findings of the study suggest that a one-unit increase in public health expenditure is associated with a corresponding rise of 1.56 units in the under-five death rate. However, within the Nigerian context, this phenomenon can be more comprehensively elucidated through the absence of effective coordination of health funding and various other aspects, including maternal education. Consequently, the study recommended that the establishment of effective coordination mechanisms between health and funding entities is imperative to ensure the appropriate utilization of given resources within the health sector</w:t>
      </w:r>
      <w:r>
        <w:rPr>
          <w:rFonts w:ascii="Times New Roman" w:hAnsi="Times New Roman" w:cs="Times New Roman"/>
          <w:sz w:val="24"/>
          <w:szCs w:val="24"/>
          <w:shd w:val="clear" w:color="auto" w:fill="FFFFFF"/>
          <w:vertAlign w:val="superscript"/>
        </w:rPr>
        <w:t>47</w:t>
      </w:r>
      <w:r>
        <w:rPr>
          <w:rFonts w:ascii="Times New Roman" w:hAnsi="Times New Roman" w:cs="Times New Roman"/>
          <w:sz w:val="24"/>
          <w:szCs w:val="24"/>
          <w:shd w:val="clear" w:color="auto" w:fill="FFFFFF"/>
        </w:rPr>
        <w:t>.</w:t>
      </w:r>
    </w:p>
    <w:p>
      <w:pPr>
        <w:shd w:val="clear" w:color="auto" w:fill="FFFFFF"/>
        <w:spacing w:after="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In a similar vein, some scholars examined the impact of health shocks on the poverty rate in Nigeria from 1981 to 2017. The research employed the Vector Error Correction Model (VECM) to examine the relationship between Out of Pocket (OOP) expenditure on health and the death rate, and its impact on the poverty level in Nigeria. The findings of the study indicate that an increase in OOP spending on health and the death rate is associated with a considerable exacerbation of the poverty level in Nigeria. Similarly, an examination was conducted to assess the co integration relationship between healthcare expenditure and economic growth in Nigeria from 1981 to 2010.  They utilized a multivariate co integration model to determine the presence of a long-term association between healthcare expenditure and economic growth within the specified study period</w:t>
      </w:r>
      <w:r>
        <w:rPr>
          <w:rFonts w:ascii="Times New Roman" w:hAnsi="Times New Roman" w:eastAsia="Times New Roman" w:cs="Times New Roman"/>
          <w:sz w:val="24"/>
          <w:szCs w:val="24"/>
          <w:vertAlign w:val="superscript"/>
        </w:rPr>
        <w:t>48</w:t>
      </w:r>
      <w:r>
        <w:rPr>
          <w:rFonts w:ascii="Times New Roman" w:hAnsi="Times New Roman" w:eastAsia="Times New Roman" w:cs="Times New Roman"/>
          <w:sz w:val="24"/>
          <w:szCs w:val="24"/>
        </w:rPr>
        <w:t>.</w:t>
      </w:r>
    </w:p>
    <w:p>
      <w:pPr>
        <w:shd w:val="clear" w:color="auto" w:fill="FFFFFF"/>
        <w:spacing w:after="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 study was conducted to examine the relationship between the development of the financial sector and economic growth in Nigeria. The investigation utilized a vector autoregressive model. The aim of their study was to verify the premise that the expansion observed in the money and capital markets has not resulted in sustained economic growth. The findings indicate, among other things, that there is no evidence of a long-term causal relationship between indices of financial system development and economic growth. This suggests that the development of the financial system does not appear to have a substantial impact on the trends of economic growth in Nigeria. Nevertheless, it is worth noting that the impact of financial system development on economic growth has demonstrated a statistically significant positive correlation solely in the short-term context. The findings indicate that to effectively facilitate both short-term and long-term economic growth in Nigeria, it is imperative to enhance the depth of the financial system. This can be achieved through the introduction and provision of innovative financial products and services by market operators, as well as the establishment and enforcement of robust monetary policies and regulations</w:t>
      </w:r>
      <w:r>
        <w:rPr>
          <w:rFonts w:ascii="Times New Roman" w:hAnsi="Times New Roman" w:eastAsia="Times New Roman" w:cs="Times New Roman"/>
          <w:sz w:val="24"/>
          <w:szCs w:val="24"/>
          <w:vertAlign w:val="superscript"/>
        </w:rPr>
        <w:t>49</w:t>
      </w:r>
      <w:r>
        <w:rPr>
          <w:rFonts w:ascii="Times New Roman" w:hAnsi="Times New Roman" w:eastAsia="Times New Roman" w:cs="Times New Roman"/>
          <w:sz w:val="24"/>
          <w:szCs w:val="24"/>
        </w:rPr>
        <w:t>.</w:t>
      </w:r>
    </w:p>
    <w:p>
      <w:pPr>
        <w:autoSpaceDE w:val="0"/>
        <w:autoSpaceDN w:val="0"/>
        <w:adjustRightInd w:val="0"/>
        <w:spacing w:after="120" w:line="480" w:lineRule="auto"/>
        <w:jc w:val="both"/>
        <w:rPr>
          <w:rFonts w:ascii="Times New Roman" w:hAnsi="Times New Roman" w:cs="Times New Roman"/>
          <w:b/>
          <w:sz w:val="24"/>
          <w:szCs w:val="24"/>
        </w:rPr>
      </w:pPr>
      <w:r>
        <w:rPr>
          <w:rFonts w:ascii="Times New Roman" w:hAnsi="Times New Roman" w:cs="Times New Roman"/>
          <w:b/>
          <w:sz w:val="24"/>
          <w:szCs w:val="24"/>
        </w:rPr>
        <w:t>2.4</w:t>
      </w:r>
      <w:r>
        <w:rPr>
          <w:rFonts w:ascii="Times New Roman" w:hAnsi="Times New Roman" w:cs="Times New Roman"/>
          <w:b/>
          <w:sz w:val="24"/>
          <w:szCs w:val="24"/>
        </w:rPr>
        <w:tab/>
      </w:r>
      <w:r>
        <w:rPr>
          <w:rFonts w:ascii="Times New Roman" w:hAnsi="Times New Roman" w:cs="Times New Roman"/>
          <w:b/>
          <w:sz w:val="24"/>
          <w:szCs w:val="24"/>
        </w:rPr>
        <w:t>Summary of the Gaps in Literature</w:t>
      </w:r>
    </w:p>
    <w:p>
      <w:pPr>
        <w:spacing w:after="120" w:line="480" w:lineRule="auto"/>
        <w:jc w:val="both"/>
        <w:rPr>
          <w:rFonts w:ascii="Times New Roman" w:hAnsi="Times New Roman"/>
          <w:sz w:val="24"/>
          <w:szCs w:val="24"/>
        </w:rPr>
      </w:pPr>
      <w:r>
        <w:rPr>
          <w:rFonts w:ascii="Times New Roman" w:hAnsi="Times New Roman"/>
          <w:sz w:val="24"/>
          <w:szCs w:val="24"/>
        </w:rPr>
        <w:t>In the field of research that explores the relationship between financial sector development and health outcomes, several noteworthy gaps persist in the current body of knowledge. The presence of these gaps highlights the importance of the proposed study and demonstrates the unique contributions it aims to provide.</w:t>
      </w:r>
    </w:p>
    <w:p>
      <w:pPr>
        <w:spacing w:after="120" w:line="480" w:lineRule="auto"/>
        <w:jc w:val="both"/>
        <w:rPr>
          <w:rFonts w:ascii="Times New Roman" w:hAnsi="Times New Roman"/>
          <w:sz w:val="24"/>
          <w:szCs w:val="24"/>
        </w:rPr>
      </w:pPr>
      <w:r>
        <w:rPr>
          <w:rFonts w:ascii="Times New Roman" w:hAnsi="Times New Roman"/>
          <w:sz w:val="24"/>
          <w:szCs w:val="24"/>
        </w:rPr>
        <w:t>One notable deficiency in the existing body of literature is the lack of a comprehensive health outcome indicator that encompasses several dimensions of a country's health status. While previous research frequently examines individual health indicators separately, the current study aims to address this limitation by developing a comprehensive health outcome score that incorporates many variables. This index aims to integrate key health indicators, namely life expectancy and child survival rate. This comprehensive metric will provide a more intricate and comprehensive viewpoint on the overall health condition of Nigeria, illuminating the varied aspects of health outcomes.</w:t>
      </w:r>
    </w:p>
    <w:p>
      <w:pPr>
        <w:spacing w:after="120" w:line="480" w:lineRule="auto"/>
        <w:jc w:val="both"/>
        <w:rPr>
          <w:rFonts w:ascii="Times New Roman" w:hAnsi="Times New Roman"/>
          <w:sz w:val="24"/>
          <w:szCs w:val="24"/>
        </w:rPr>
      </w:pPr>
      <w:r>
        <w:rPr>
          <w:rFonts w:ascii="Times New Roman" w:hAnsi="Times New Roman"/>
          <w:sz w:val="24"/>
          <w:szCs w:val="24"/>
        </w:rPr>
        <w:t>Furthermore, it is worth noting that although there exist a considerable amount of scholarly literature investigating the overarching connection between economic development and health outcomes, there is a dearth of research that delves into the specific impact of the financial sector on influencing health outcomes, particularly in emerging nations such as Nigeria. This study aims to fill a notable research vacuum by examining the financial sector, use the bank sector, money market, and stock market as indicators of financial sector development. The objective of this study is to offer a comprehensive understanding of the influence of the financial sector, which serves as a vital driver of economic development, on health outcomes in Nigeria.</w:t>
      </w:r>
    </w:p>
    <w:p>
      <w:pPr>
        <w:spacing w:after="120" w:line="480" w:lineRule="auto"/>
        <w:jc w:val="both"/>
        <w:rPr>
          <w:rFonts w:ascii="Times New Roman" w:hAnsi="Times New Roman"/>
          <w:sz w:val="24"/>
          <w:szCs w:val="24"/>
        </w:rPr>
      </w:pPr>
      <w:r>
        <w:rPr>
          <w:rFonts w:ascii="Times New Roman" w:hAnsi="Times New Roman"/>
          <w:sz w:val="24"/>
          <w:szCs w:val="24"/>
        </w:rPr>
        <w:t>Moreover, prior scholarly investigations have frequently demonstrated correlations between economic development and health outcomes. However, these studies have not extensively explored the underlying mechanisms and routes by which the expansion of the financial sector affects health. The objective of this study is to investigate the complex connections between financial sector development and health, specifically focusing on the precise causal interconnections and mechanisms that influence the impact. Gaining a more profound comprehension will facilitate the development of a comprehensive viewpoint about the interplay between these two areas.</w:t>
      </w:r>
    </w:p>
    <w:p>
      <w:pPr>
        <w:spacing w:after="120" w:line="480" w:lineRule="auto"/>
        <w:jc w:val="both"/>
        <w:rPr>
          <w:rFonts w:ascii="Times New Roman" w:hAnsi="Times New Roman"/>
          <w:sz w:val="24"/>
          <w:szCs w:val="24"/>
        </w:rPr>
      </w:pPr>
      <w:r>
        <w:rPr>
          <w:rFonts w:ascii="Times New Roman" w:hAnsi="Times New Roman"/>
          <w:sz w:val="24"/>
          <w:szCs w:val="24"/>
        </w:rPr>
        <w:t>The literature lacks sufficient analysis of policy alignment and cooperation between the financial and healthcare sectors. The present study aims to fill this research vacuum by evaluating the degree of synergy, or the absence thereof, in current policies. The objective of this study is to comprehend the influence of these policies on the relationship between economic growth and health outcomes, thereby enhancing our comprehension of the policy environment in Nigeria.</w:t>
      </w:r>
    </w:p>
    <w:p>
      <w:pPr>
        <w:spacing w:after="120" w:line="480" w:lineRule="auto"/>
        <w:jc w:val="both"/>
        <w:rPr>
          <w:rFonts w:ascii="Times New Roman" w:hAnsi="Times New Roman"/>
          <w:sz w:val="24"/>
          <w:szCs w:val="24"/>
        </w:rPr>
      </w:pPr>
      <w:r>
        <w:rPr>
          <w:rFonts w:ascii="Times New Roman" w:hAnsi="Times New Roman"/>
          <w:sz w:val="24"/>
          <w:szCs w:val="24"/>
        </w:rPr>
        <w:t>The available literature has not thoroughly examined the unequal effects of financial sector development on different socio-economic groups and its role in contributing to health disparities. The study will investigate the degree to which economic growth contributes to equitable distribution of benefits across various population segments or exacerbates pre-existing health disparities, thereby providing insights into the socio-economic aspects of the matter.</w:t>
      </w:r>
    </w:p>
    <w:p>
      <w:pPr>
        <w:spacing w:after="120" w:line="480" w:lineRule="auto"/>
        <w:jc w:val="both"/>
        <w:rPr>
          <w:rFonts w:ascii="Times New Roman" w:hAnsi="Times New Roman"/>
          <w:sz w:val="24"/>
          <w:szCs w:val="24"/>
        </w:rPr>
      </w:pPr>
      <w:r>
        <w:rPr>
          <w:rFonts w:ascii="Times New Roman" w:hAnsi="Times New Roman"/>
          <w:sz w:val="24"/>
          <w:szCs w:val="24"/>
        </w:rPr>
        <w:t>Finally, it is worth noting that there is a lack of comprehensive research that thoroughly investigates the resilience and vulnerabilities of the financial and healthcare sectors, especially within a global framework. The examination of the responses of these sectors to economic and health shocks, as well as their interplay during periods of crises, represents a significant knowledge need. This study aims to offer useful insights into the resilience and vulnerabilities of the aforementioned sectors. The findings will provide significant information for policymakers and stakeholders in both sectors, thereby contributing to global conversations on economic and health preparation.</w:t>
      </w:r>
    </w:p>
    <w:p>
      <w:pPr>
        <w:spacing w:after="120" w:line="480" w:lineRule="auto"/>
        <w:jc w:val="both"/>
        <w:rPr>
          <w:rFonts w:ascii="Times New Roman" w:hAnsi="Times New Roman"/>
          <w:sz w:val="24"/>
          <w:szCs w:val="24"/>
        </w:rPr>
      </w:pPr>
      <w:r>
        <w:rPr>
          <w:rFonts w:ascii="Times New Roman" w:hAnsi="Times New Roman"/>
          <w:sz w:val="24"/>
          <w:szCs w:val="24"/>
        </w:rPr>
        <w:t>Through an examination of the various gaps in existing literature, the proposed research aims to provide a significant addition to the comprehension of the complex correlation between the development of the financial sector and health outcomes. These insights are anticipated to provide valuable information for evidence-based policy-making, contribute to the promotion of health equity, and increase the overall quality of life for the Nigerian people. Furthermore, these findings are pertinent to other developing nations that encounter similar obstacles at the convergence of economic development and public health.</w:t>
      </w:r>
    </w:p>
    <w:p>
      <w:pPr>
        <w:spacing w:after="120" w:line="480" w:lineRule="auto"/>
        <w:jc w:val="both"/>
        <w:rPr>
          <w:rFonts w:ascii="Times New Roman" w:hAnsi="Times New Roman" w:cs="Times New Roman"/>
          <w:b/>
          <w:sz w:val="24"/>
          <w:szCs w:val="24"/>
        </w:rPr>
      </w:pPr>
      <w:r>
        <w:rPr>
          <w:rFonts w:ascii="Times New Roman" w:hAnsi="Times New Roman" w:cs="Times New Roman"/>
          <w:b/>
          <w:sz w:val="24"/>
          <w:szCs w:val="24"/>
        </w:rPr>
        <w:t>2.5</w:t>
      </w:r>
      <w:r>
        <w:rPr>
          <w:rFonts w:ascii="Times New Roman" w:hAnsi="Times New Roman" w:cs="Times New Roman"/>
          <w:b/>
          <w:sz w:val="24"/>
          <w:szCs w:val="24"/>
        </w:rPr>
        <w:tab/>
      </w:r>
      <w:r>
        <w:rPr>
          <w:rFonts w:ascii="Times New Roman" w:hAnsi="Times New Roman" w:cs="Times New Roman"/>
          <w:b/>
          <w:sz w:val="24"/>
          <w:szCs w:val="24"/>
        </w:rPr>
        <w:t>Theoretical Framework</w:t>
      </w:r>
    </w:p>
    <w:p>
      <w:pPr>
        <w:spacing w:after="120" w:line="480" w:lineRule="auto"/>
        <w:jc w:val="both"/>
        <w:rPr>
          <w:rFonts w:ascii="Times New Roman" w:hAnsi="Times New Roman" w:cs="Times New Roman"/>
          <w:bCs/>
          <w:sz w:val="24"/>
          <w:szCs w:val="24"/>
        </w:rPr>
      </w:pPr>
      <w:r>
        <w:rPr>
          <w:rFonts w:ascii="Times New Roman" w:hAnsi="Times New Roman" w:cs="Times New Roman"/>
          <w:bCs/>
          <w:sz w:val="24"/>
          <w:szCs w:val="24"/>
        </w:rPr>
        <w:t>Thisstudy’s theoretical framework is based on Grossman’s theory of health investment and outcomes. The hypothesis emphasizes health as a fundamental commodity, implying that healthcare demand is derived. In the theoretical model, individuals are both consumers and producers of health. The model predicts that an individual will invest in health until the marginal benefit of health equals the marginal cost of health; this equilibrium demand for health implies that an individual’s life span will be determined endogenously. Following the theoretical work of Grossman developed by Rajkumar and Swaroop who modelled outcome of a financial sector development programme as:</w:t>
      </w:r>
    </w:p>
    <w:p>
      <w:pPr>
        <w:spacing w:after="120" w:line="480" w:lineRule="auto"/>
        <w:jc w:val="both"/>
        <w:rPr>
          <w:rFonts w:ascii="Times New Roman" w:hAnsi="Times New Roman" w:cs="Times New Roman"/>
          <w:sz w:val="24"/>
          <w:szCs w:val="24"/>
        </w:rPr>
      </w:pPr>
      <w:r>
        <w:rPr>
          <w:rFonts w:ascii="Times New Roman" w:hAnsi="Times New Roman" w:cs="Times New Roman"/>
          <w:position w:val="-10"/>
          <w:sz w:val="24"/>
          <w:szCs w:val="24"/>
        </w:rPr>
        <w:object>
          <v:shape id="_x0000_i1025" o:spt="75" type="#_x0000_t75" style="height:18.75pt;width:93pt;" o:ole="t" filled="f" o:preferrelative="t" stroked="f" coordsize="21600,21600">
            <v:path/>
            <v:fill on="f" focussize="0,0"/>
            <v:stroke on="f" joinstyle="miter"/>
            <v:imagedata r:id="rId11" o:title=""/>
            <o:lock v:ext="edit" aspectratio="t"/>
            <w10:wrap type="none"/>
            <w10:anchorlock/>
          </v:shape>
          <o:OLEObject Type="Embed" ProgID="Equation.3" ShapeID="_x0000_i1025" DrawAspect="Content" ObjectID="_1468075725" r:id="rId10">
            <o:LockedField>false</o:LockedField>
          </o:OLEObject>
        </w:object>
      </w:r>
      <w:r>
        <w:rPr>
          <w:rFonts w:ascii="Times New Roman" w:hAnsi="Times New Roman" w:cs="Times New Roman"/>
          <w:sz w:val="24"/>
          <w:szCs w:val="24"/>
        </w:rPr>
        <w:t xml:space="preserve"> where α &gt; 0, and β ≥ 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(2.1)</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Per capita income is denoted by </w:t>
      </w:r>
      <w:r>
        <w:rPr>
          <w:rFonts w:ascii="Times New Roman" w:hAnsi="Times New Roman" w:cs="Times New Roman"/>
          <w:i/>
          <w:sz w:val="24"/>
          <w:szCs w:val="24"/>
        </w:rPr>
        <w:t>incp</w:t>
      </w:r>
      <w:r>
        <w:rPr>
          <w:rFonts w:ascii="Times New Roman" w:hAnsi="Times New Roman" w:cs="Times New Roman"/>
          <w:sz w:val="24"/>
          <w:szCs w:val="24"/>
        </w:rPr>
        <w:t>, financial sector development measured by money market, band market and stock market development, and outcome could for example, be indicators of health status such as life expectancy, child survival rates. Equation (2.1) implies that health outcome (for example life expectancy and child survival rates) does the followings: (a) improves with an increase in per capita income; (b) improves (or does not worsen) if an increased proportion of the country’s resources are spent on health care.</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Taking the logs of equation (2.1), we have the linear form of (2.1) as equation (2.2) as:</w:t>
      </w:r>
    </w:p>
    <w:p>
      <w:pPr>
        <w:spacing w:after="120" w:line="480" w:lineRule="auto"/>
        <w:jc w:val="both"/>
        <w:rPr>
          <w:rFonts w:ascii="Times New Roman" w:hAnsi="Times New Roman" w:cs="Times New Roman"/>
          <w:sz w:val="24"/>
          <w:szCs w:val="24"/>
        </w:rPr>
      </w:pPr>
      <w:r>
        <w:rPr>
          <w:rFonts w:ascii="Times New Roman" w:hAnsi="Times New Roman" w:cs="Times New Roman"/>
          <w:position w:val="-10"/>
          <w:sz w:val="24"/>
          <w:szCs w:val="24"/>
        </w:rPr>
        <w:object>
          <v:shape id="_x0000_i1026" o:spt="75" type="#_x0000_t75" style="height:15.75pt;width:138.75pt;" o:ole="t" filled="f" o:preferrelative="t" stroked="f" coordsize="21600,21600">
            <v:path/>
            <v:fill on="f" focussize="0,0"/>
            <v:stroke on="f" joinstyle="miter"/>
            <v:imagedata r:id="rId13" o:title=""/>
            <o:lock v:ext="edit" aspectratio="t"/>
            <w10:wrap type="none"/>
            <w10:anchorlock/>
          </v:shape>
          <o:OLEObject Type="Embed" ProgID="Equation.3" ShapeID="_x0000_i1026" DrawAspect="Content" ObjectID="_1468075726" r:id="rId12">
            <o:LockedField>false</o:LockedField>
          </o:OLEObject>
        </w:objec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(2.2)</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In modeling the relationship between public spending and outcome as specified in equation (2.2), a researcher would usually take the information on money, bank and stock market development information.</w:t>
      </w:r>
    </w:p>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br w:type="page"/>
      </w:r>
      <w:bookmarkStart w:id="1" w:name="_Hlk151167055"/>
      <w:r>
        <w:rPr>
          <w:rFonts w:ascii="Times New Roman" w:hAnsi="Times New Roman" w:cs="Times New Roman"/>
          <w:b/>
          <w:sz w:val="24"/>
          <w:szCs w:val="24"/>
          <w:shd w:val="clear" w:color="auto" w:fill="FFFFFF"/>
        </w:rPr>
        <w:t>Endnotes</w:t>
      </w:r>
    </w:p>
    <w:p>
      <w:pPr>
        <w:pStyle w:val="14"/>
        <w:spacing w:before="100" w:beforeAutospacing="1"/>
        <w:ind w:left="360"/>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vertAlign w:val="superscript"/>
        </w:rPr>
        <w:t>1</w:t>
      </w:r>
      <w:r>
        <w:rPr>
          <w:rFonts w:ascii="Times New Roman" w:hAnsi="Times New Roman" w:eastAsia="Calibri"/>
          <w:sz w:val="24"/>
          <w:szCs w:val="24"/>
          <w:shd w:val="clear" w:color="auto" w:fill="FFFFFF"/>
        </w:rPr>
        <w:t xml:space="preserve">M. B. Shrestha, &amp; K. Chowdhury. </w:t>
      </w:r>
      <w:r>
        <w:rPr>
          <w:rFonts w:ascii="Times New Roman" w:hAnsi="Times New Roman" w:eastAsia="Calibri"/>
          <w:i/>
          <w:iCs/>
          <w:sz w:val="24"/>
          <w:szCs w:val="24"/>
          <w:shd w:val="clear" w:color="auto" w:fill="FFFFFF"/>
        </w:rPr>
        <w:t>"ARDL modelling approach to testing the financial liberalisation hypothesis."</w:t>
      </w:r>
      <w:r>
        <w:rPr>
          <w:rFonts w:ascii="Times New Roman" w:hAnsi="Times New Roman" w:eastAsia="Calibri"/>
          <w:sz w:val="24"/>
          <w:szCs w:val="24"/>
          <w:shd w:val="clear" w:color="auto" w:fill="FFFFFF"/>
        </w:rPr>
        <w:t>2005.</w:t>
      </w:r>
    </w:p>
    <w:p>
      <w:pPr>
        <w:pStyle w:val="14"/>
        <w:spacing w:before="100" w:beforeAutospacing="1"/>
        <w:ind w:left="360"/>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vertAlign w:val="superscript"/>
        </w:rPr>
        <w:t>2</w:t>
      </w:r>
      <w:r>
        <w:rPr>
          <w:rFonts w:ascii="Times New Roman" w:hAnsi="Times New Roman" w:eastAsia="Calibri"/>
          <w:sz w:val="24"/>
          <w:szCs w:val="24"/>
          <w:shd w:val="clear" w:color="auto" w:fill="FFFFFF"/>
        </w:rPr>
        <w:t xml:space="preserve">B. Thorsten, &amp; R. Levine. </w:t>
      </w:r>
      <w:r>
        <w:rPr>
          <w:rFonts w:ascii="Times New Roman" w:hAnsi="Times New Roman" w:eastAsia="Calibri"/>
          <w:i/>
          <w:iCs/>
          <w:sz w:val="24"/>
          <w:szCs w:val="24"/>
          <w:shd w:val="clear" w:color="auto" w:fill="FFFFFF"/>
        </w:rPr>
        <w:t>Legal institutions and financial development</w:t>
      </w:r>
      <w:r>
        <w:rPr>
          <w:rFonts w:ascii="Times New Roman" w:hAnsi="Times New Roman" w:eastAsia="Calibri"/>
          <w:sz w:val="24"/>
          <w:szCs w:val="24"/>
          <w:shd w:val="clear" w:color="auto" w:fill="FFFFFF"/>
        </w:rPr>
        <w:t xml:space="preserve">. </w:t>
      </w:r>
      <w:r>
        <w:rPr>
          <w:rFonts w:ascii="Times New Roman" w:hAnsi="Times New Roman" w:eastAsia="Calibri"/>
          <w:b/>
          <w:bCs/>
          <w:sz w:val="24"/>
          <w:szCs w:val="24"/>
          <w:shd w:val="clear" w:color="auto" w:fill="FFFFFF"/>
        </w:rPr>
        <w:t>Springer US,</w:t>
      </w:r>
      <w:r>
        <w:rPr>
          <w:rFonts w:ascii="Times New Roman" w:hAnsi="Times New Roman" w:eastAsia="Calibri"/>
          <w:sz w:val="24"/>
          <w:szCs w:val="24"/>
          <w:shd w:val="clear" w:color="auto" w:fill="FFFFFF"/>
        </w:rPr>
        <w:t xml:space="preserve"> 2005.</w:t>
      </w:r>
    </w:p>
    <w:p>
      <w:pPr>
        <w:pStyle w:val="14"/>
        <w:spacing w:before="100" w:beforeAutospacing="1"/>
        <w:ind w:left="360"/>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vertAlign w:val="superscript"/>
        </w:rPr>
        <w:t>3</w:t>
      </w:r>
      <w:r>
        <w:rPr>
          <w:rFonts w:ascii="Times New Roman" w:hAnsi="Times New Roman" w:eastAsia="Calibri"/>
          <w:sz w:val="24"/>
          <w:szCs w:val="24"/>
          <w:shd w:val="clear" w:color="auto" w:fill="FFFFFF"/>
        </w:rPr>
        <w:t xml:space="preserve">A. Levine, P. Howitt, &amp; R. Levine. </w:t>
      </w:r>
      <w:r>
        <w:rPr>
          <w:rFonts w:ascii="Times New Roman" w:hAnsi="Times New Roman" w:eastAsia="Calibri"/>
          <w:i/>
          <w:iCs/>
          <w:sz w:val="24"/>
          <w:szCs w:val="24"/>
          <w:shd w:val="clear" w:color="auto" w:fill="FFFFFF"/>
        </w:rPr>
        <w:t xml:space="preserve">"Financial development and innovation-led growth." </w:t>
      </w:r>
      <w:r>
        <w:rPr>
          <w:rFonts w:ascii="Times New Roman" w:hAnsi="Times New Roman" w:eastAsia="Calibri"/>
          <w:b/>
          <w:bCs/>
          <w:sz w:val="24"/>
          <w:szCs w:val="24"/>
          <w:shd w:val="clear" w:color="auto" w:fill="FFFFFF"/>
        </w:rPr>
        <w:t>Handbook of finance and development.</w:t>
      </w:r>
      <w:r>
        <w:rPr>
          <w:rFonts w:ascii="Times New Roman" w:hAnsi="Times New Roman" w:eastAsia="Calibri"/>
          <w:sz w:val="24"/>
          <w:szCs w:val="24"/>
          <w:shd w:val="clear" w:color="auto" w:fill="FFFFFF"/>
        </w:rPr>
        <w:t xml:space="preserve"> Edward Elgar Publishing, 2018, 3-30.</w:t>
      </w:r>
    </w:p>
    <w:p>
      <w:pPr>
        <w:pStyle w:val="14"/>
        <w:spacing w:before="100" w:beforeAutospacing="1"/>
        <w:ind w:left="360"/>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vertAlign w:val="superscript"/>
        </w:rPr>
        <w:t>4</w:t>
      </w:r>
      <w:r>
        <w:rPr>
          <w:rFonts w:ascii="Times New Roman" w:hAnsi="Times New Roman" w:eastAsia="Calibri"/>
          <w:sz w:val="24"/>
          <w:szCs w:val="24"/>
          <w:shd w:val="clear" w:color="auto" w:fill="FFFFFF"/>
        </w:rPr>
        <w:t xml:space="preserve">S. Owusu-Agyei, et al. </w:t>
      </w:r>
      <w:r>
        <w:rPr>
          <w:rFonts w:ascii="Times New Roman" w:hAnsi="Times New Roman" w:eastAsia="Calibri"/>
          <w:i/>
          <w:iCs/>
          <w:sz w:val="24"/>
          <w:szCs w:val="24"/>
          <w:shd w:val="clear" w:color="auto" w:fill="FFFFFF"/>
        </w:rPr>
        <w:t xml:space="preserve">"Internet adoption and financial development in sub-Saharan Africa." </w:t>
      </w:r>
      <w:r>
        <w:rPr>
          <w:rFonts w:ascii="Times New Roman" w:hAnsi="Times New Roman" w:eastAsia="Calibri"/>
          <w:b/>
          <w:bCs/>
          <w:sz w:val="24"/>
          <w:szCs w:val="24"/>
          <w:shd w:val="clear" w:color="auto" w:fill="FFFFFF"/>
        </w:rPr>
        <w:t>Technological Forecasting and Social Change,</w:t>
      </w:r>
      <w:r>
        <w:rPr>
          <w:rFonts w:ascii="Times New Roman" w:hAnsi="Times New Roman" w:eastAsia="Calibri"/>
          <w:sz w:val="24"/>
          <w:szCs w:val="24"/>
          <w:shd w:val="clear" w:color="auto" w:fill="FFFFFF"/>
        </w:rPr>
        <w:t xml:space="preserve"> 161, 2020, 120293.</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5</w:t>
      </w:r>
      <w:r>
        <w:rPr>
          <w:rFonts w:ascii="Times New Roman" w:hAnsi="Times New Roman" w:eastAsia="Calibri"/>
          <w:sz w:val="24"/>
          <w:szCs w:val="24"/>
          <w:shd w:val="clear" w:color="auto" w:fill="FFFFFF"/>
        </w:rPr>
        <w:t xml:space="preserve">J. Waithaka, et al. </w:t>
      </w:r>
      <w:r>
        <w:rPr>
          <w:rFonts w:ascii="Times New Roman" w:hAnsi="Times New Roman" w:eastAsia="Calibri"/>
          <w:i/>
          <w:iCs/>
          <w:sz w:val="24"/>
          <w:szCs w:val="24"/>
          <w:shd w:val="clear" w:color="auto" w:fill="FFFFFF"/>
        </w:rPr>
        <w:t>"Impacts of COVID-19 on protected and conserved areas: A global overview and regional perspectives."</w:t>
      </w:r>
      <w:r>
        <w:rPr>
          <w:rFonts w:ascii="Times New Roman" w:hAnsi="Times New Roman" w:eastAsia="Calibri"/>
          <w:sz w:val="24"/>
          <w:szCs w:val="24"/>
          <w:shd w:val="clear" w:color="auto" w:fill="FFFFFF"/>
        </w:rPr>
        <w:t>2021.</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6</w:t>
      </w:r>
      <w:r>
        <w:rPr>
          <w:rFonts w:ascii="Times New Roman" w:hAnsi="Times New Roman" w:eastAsia="Calibri"/>
          <w:sz w:val="24"/>
          <w:szCs w:val="24"/>
          <w:shd w:val="clear" w:color="auto" w:fill="FFFFFF"/>
        </w:rPr>
        <w:t xml:space="preserve">H. Ralph George, &amp; E. C. Prescott. </w:t>
      </w:r>
      <w:r>
        <w:rPr>
          <w:rFonts w:ascii="Times New Roman" w:hAnsi="Times New Roman" w:eastAsia="Calibri"/>
          <w:i/>
          <w:iCs/>
          <w:sz w:val="24"/>
          <w:szCs w:val="24"/>
          <w:shd w:val="clear" w:color="auto" w:fill="FFFFFF"/>
        </w:rPr>
        <w:t xml:space="preserve">"Chapter FOUR The Literature on Business Cycle Theories: Monetary and Technology Shocks: Yin and Yang of Economic Fluctuations." </w:t>
      </w:r>
      <w:r>
        <w:rPr>
          <w:rFonts w:ascii="Times New Roman" w:hAnsi="Times New Roman" w:eastAsia="Calibri"/>
          <w:b/>
          <w:bCs/>
          <w:sz w:val="24"/>
          <w:szCs w:val="24"/>
          <w:shd w:val="clear" w:color="auto" w:fill="FFFFFF"/>
        </w:rPr>
        <w:t xml:space="preserve">Technology in the Asian Miracle and Debacle Debates, </w:t>
      </w:r>
      <w:r>
        <w:rPr>
          <w:rFonts w:ascii="Times New Roman" w:hAnsi="Times New Roman" w:eastAsia="Calibri"/>
          <w:sz w:val="24"/>
          <w:szCs w:val="24"/>
          <w:shd w:val="clear" w:color="auto" w:fill="FFFFFF"/>
        </w:rPr>
        <w:t>2019, 103.</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7</w:t>
      </w:r>
      <w:r>
        <w:rPr>
          <w:rFonts w:ascii="Times New Roman" w:hAnsi="Times New Roman" w:eastAsia="Calibri"/>
          <w:sz w:val="24"/>
          <w:szCs w:val="24"/>
          <w:shd w:val="clear" w:color="auto" w:fill="FFFFFF"/>
        </w:rPr>
        <w:t xml:space="preserve">Didier, Tatiana, et al. </w:t>
      </w:r>
      <w:r>
        <w:rPr>
          <w:rFonts w:ascii="Times New Roman" w:hAnsi="Times New Roman" w:eastAsia="Calibri"/>
          <w:i/>
          <w:iCs/>
          <w:sz w:val="24"/>
          <w:szCs w:val="24"/>
          <w:shd w:val="clear" w:color="auto" w:fill="FFFFFF"/>
        </w:rPr>
        <w:t xml:space="preserve">"Financing firms in hibernation during the COVID-19 pandemic." </w:t>
      </w:r>
      <w:r>
        <w:rPr>
          <w:rFonts w:ascii="Times New Roman" w:hAnsi="Times New Roman" w:eastAsia="Calibri"/>
          <w:b/>
          <w:bCs/>
          <w:sz w:val="24"/>
          <w:szCs w:val="24"/>
          <w:shd w:val="clear" w:color="auto" w:fill="FFFFFF"/>
        </w:rPr>
        <w:t>Journal of Financial Stability,</w:t>
      </w:r>
      <w:r>
        <w:rPr>
          <w:rFonts w:ascii="Times New Roman" w:hAnsi="Times New Roman" w:eastAsia="Calibri"/>
          <w:sz w:val="24"/>
          <w:szCs w:val="24"/>
          <w:shd w:val="clear" w:color="auto" w:fill="FFFFFF"/>
        </w:rPr>
        <w:t xml:space="preserve"> 53 2021, 100837.</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8</w:t>
      </w:r>
      <w:r>
        <w:rPr>
          <w:rFonts w:ascii="Times New Roman" w:hAnsi="Times New Roman" w:eastAsia="Calibri"/>
          <w:sz w:val="24"/>
          <w:szCs w:val="24"/>
          <w:shd w:val="clear" w:color="auto" w:fill="FFFFFF"/>
        </w:rPr>
        <w:t xml:space="preserve">B. Thorsten, A. Demirgüç-Kunt, &amp; R. Levine. </w:t>
      </w:r>
      <w:r>
        <w:rPr>
          <w:rFonts w:ascii="Times New Roman" w:hAnsi="Times New Roman" w:eastAsia="Calibri"/>
          <w:i/>
          <w:iCs/>
          <w:sz w:val="24"/>
          <w:szCs w:val="24"/>
          <w:shd w:val="clear" w:color="auto" w:fill="FFFFFF"/>
        </w:rPr>
        <w:t xml:space="preserve">"Finance, inequality and the poor." </w:t>
      </w:r>
      <w:r>
        <w:rPr>
          <w:rFonts w:ascii="Times New Roman" w:hAnsi="Times New Roman" w:eastAsia="Calibri"/>
          <w:b/>
          <w:bCs/>
          <w:i/>
          <w:iCs/>
          <w:sz w:val="24"/>
          <w:szCs w:val="24"/>
          <w:shd w:val="clear" w:color="auto" w:fill="FFFFFF"/>
        </w:rPr>
        <w:t>Journal of economic growth</w:t>
      </w:r>
      <w:r>
        <w:rPr>
          <w:rFonts w:ascii="Times New Roman" w:hAnsi="Times New Roman" w:eastAsia="Calibri"/>
          <w:sz w:val="24"/>
          <w:szCs w:val="24"/>
          <w:shd w:val="clear" w:color="auto" w:fill="FFFFFF"/>
        </w:rPr>
        <w:t>,12, 2007, 27-49.</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9</w:t>
      </w:r>
      <w:r>
        <w:rPr>
          <w:rFonts w:ascii="Times New Roman" w:hAnsi="Times New Roman" w:eastAsia="Calibri"/>
          <w:sz w:val="24"/>
          <w:szCs w:val="24"/>
          <w:shd w:val="clear" w:color="auto" w:fill="FFFFFF"/>
        </w:rPr>
        <w:t xml:space="preserve">C. Stijn, &amp; L. Laeven. </w:t>
      </w:r>
      <w:r>
        <w:rPr>
          <w:rFonts w:ascii="Times New Roman" w:hAnsi="Times New Roman" w:eastAsia="Calibri"/>
          <w:i/>
          <w:iCs/>
          <w:sz w:val="24"/>
          <w:szCs w:val="24"/>
          <w:shd w:val="clear" w:color="auto" w:fill="FFFFFF"/>
        </w:rPr>
        <w:t xml:space="preserve">"Financial development, property rights, and growth." </w:t>
      </w:r>
      <w:r>
        <w:rPr>
          <w:rFonts w:ascii="Times New Roman" w:hAnsi="Times New Roman" w:eastAsia="Calibri"/>
          <w:b/>
          <w:bCs/>
          <w:sz w:val="24"/>
          <w:szCs w:val="24"/>
          <w:shd w:val="clear" w:color="auto" w:fill="FFFFFF"/>
        </w:rPr>
        <w:t>T</w:t>
      </w:r>
      <w:r>
        <w:rPr>
          <w:rFonts w:ascii="Times New Roman" w:hAnsi="Times New Roman" w:eastAsia="Calibri"/>
          <w:b/>
          <w:bCs/>
          <w:i/>
          <w:iCs/>
          <w:sz w:val="24"/>
          <w:szCs w:val="24"/>
          <w:shd w:val="clear" w:color="auto" w:fill="FFFFFF"/>
        </w:rPr>
        <w:t>he Journal of Finance.</w:t>
      </w:r>
      <w:r>
        <w:rPr>
          <w:rFonts w:ascii="Times New Roman" w:hAnsi="Times New Roman" w:eastAsia="Calibri"/>
          <w:sz w:val="24"/>
          <w:szCs w:val="24"/>
          <w:shd w:val="clear" w:color="auto" w:fill="FFFFFF"/>
        </w:rPr>
        <w:t xml:space="preserve"> 58(6), 2003, 2401-2436.</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10</w:t>
      </w:r>
      <w:r>
        <w:rPr>
          <w:rFonts w:ascii="Times New Roman" w:hAnsi="Times New Roman" w:eastAsia="Calibri"/>
          <w:sz w:val="24"/>
          <w:szCs w:val="24"/>
          <w:shd w:val="clear" w:color="auto" w:fill="FFFFFF"/>
        </w:rPr>
        <w:t xml:space="preserve">A. Demirgüç-Kunt,&amp; H. Huizinga. </w:t>
      </w:r>
      <w:r>
        <w:rPr>
          <w:rFonts w:ascii="Times New Roman" w:hAnsi="Times New Roman" w:eastAsia="Calibri"/>
          <w:i/>
          <w:iCs/>
          <w:sz w:val="24"/>
          <w:szCs w:val="24"/>
          <w:shd w:val="clear" w:color="auto" w:fill="FFFFFF"/>
        </w:rPr>
        <w:t>"Bank activity and funding strategies: The impact on risk and returns." J</w:t>
      </w:r>
      <w:r>
        <w:rPr>
          <w:rFonts w:ascii="Times New Roman" w:hAnsi="Times New Roman" w:eastAsia="Calibri"/>
          <w:b/>
          <w:bCs/>
          <w:sz w:val="24"/>
          <w:szCs w:val="24"/>
          <w:shd w:val="clear" w:color="auto" w:fill="FFFFFF"/>
        </w:rPr>
        <w:t>ournal of Financial economics,</w:t>
      </w:r>
      <w:r>
        <w:rPr>
          <w:rFonts w:ascii="Times New Roman" w:hAnsi="Times New Roman" w:eastAsia="Calibri"/>
          <w:sz w:val="24"/>
          <w:szCs w:val="24"/>
          <w:shd w:val="clear" w:color="auto" w:fill="FFFFFF"/>
        </w:rPr>
        <w:t xml:space="preserve"> 98(3), 2010, 626-650.</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11</w:t>
      </w:r>
      <w:r>
        <w:rPr>
          <w:rFonts w:ascii="Times New Roman" w:hAnsi="Times New Roman" w:eastAsia="Calibri"/>
          <w:sz w:val="24"/>
          <w:szCs w:val="24"/>
          <w:shd w:val="clear" w:color="auto" w:fill="FFFFFF"/>
        </w:rPr>
        <w:t xml:space="preserve">S. H. Tran, &amp; L. T. Nguyen. </w:t>
      </w:r>
      <w:r>
        <w:rPr>
          <w:rFonts w:ascii="Times New Roman" w:hAnsi="Times New Roman" w:eastAsia="Calibri"/>
          <w:i/>
          <w:iCs/>
          <w:sz w:val="24"/>
          <w:szCs w:val="24"/>
          <w:shd w:val="clear" w:color="auto" w:fill="FFFFFF"/>
        </w:rPr>
        <w:t xml:space="preserve">"Financial development, business cycle and bank risk in Southeast Asian countries." </w:t>
      </w:r>
      <w:r>
        <w:rPr>
          <w:rFonts w:ascii="Times New Roman" w:hAnsi="Times New Roman" w:eastAsia="Calibri"/>
          <w:b/>
          <w:bCs/>
          <w:sz w:val="24"/>
          <w:szCs w:val="24"/>
          <w:shd w:val="clear" w:color="auto" w:fill="FFFFFF"/>
        </w:rPr>
        <w:t>The Journal of Asian Finance, Economics and Business,</w:t>
      </w:r>
      <w:r>
        <w:rPr>
          <w:rFonts w:ascii="Times New Roman" w:hAnsi="Times New Roman" w:eastAsia="Calibri"/>
          <w:sz w:val="24"/>
          <w:szCs w:val="24"/>
          <w:shd w:val="clear" w:color="auto" w:fill="FFFFFF"/>
        </w:rPr>
        <w:t xml:space="preserve"> 7(3), 2020, 127-135.</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12</w:t>
      </w:r>
      <w:r>
        <w:rPr>
          <w:rFonts w:ascii="Times New Roman" w:hAnsi="Times New Roman" w:eastAsia="Calibri"/>
          <w:sz w:val="24"/>
          <w:szCs w:val="24"/>
          <w:shd w:val="clear" w:color="auto" w:fill="FFFFFF"/>
        </w:rPr>
        <w:t xml:space="preserve">A. Demirgüç-Kunt, &amp;F. K. Leora. </w:t>
      </w:r>
      <w:r>
        <w:rPr>
          <w:rFonts w:ascii="Times New Roman" w:hAnsi="Times New Roman" w:eastAsia="Calibri"/>
          <w:i/>
          <w:iCs/>
          <w:sz w:val="24"/>
          <w:szCs w:val="24"/>
          <w:shd w:val="clear" w:color="auto" w:fill="FFFFFF"/>
        </w:rPr>
        <w:t xml:space="preserve">"Measuring financial inclusion: The global findex database." </w:t>
      </w:r>
      <w:r>
        <w:rPr>
          <w:rFonts w:ascii="Times New Roman" w:hAnsi="Times New Roman" w:eastAsia="Calibri"/>
          <w:b/>
          <w:bCs/>
          <w:i/>
          <w:iCs/>
          <w:sz w:val="24"/>
          <w:szCs w:val="24"/>
          <w:shd w:val="clear" w:color="auto" w:fill="FFFFFF"/>
        </w:rPr>
        <w:t>World bank policy research working paper,</w:t>
      </w:r>
      <w:r>
        <w:rPr>
          <w:rFonts w:ascii="Times New Roman" w:hAnsi="Times New Roman" w:eastAsia="Calibri"/>
          <w:sz w:val="24"/>
          <w:szCs w:val="24"/>
          <w:shd w:val="clear" w:color="auto" w:fill="FFFFFF"/>
        </w:rPr>
        <w:t xml:space="preserve"> 6025, 2012.</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vertAlign w:val="superscript"/>
        </w:rPr>
        <w:t>13</w:t>
      </w:r>
      <w:r>
        <w:rPr>
          <w:rFonts w:ascii="Times New Roman" w:hAnsi="Times New Roman" w:eastAsia="Calibri"/>
          <w:sz w:val="24"/>
          <w:szCs w:val="24"/>
        </w:rPr>
        <w:t xml:space="preserve">A. O. Acheampong. </w:t>
      </w:r>
      <w:r>
        <w:rPr>
          <w:rFonts w:ascii="Times New Roman" w:hAnsi="Times New Roman" w:eastAsia="Calibri"/>
          <w:i/>
          <w:iCs/>
          <w:sz w:val="24"/>
          <w:szCs w:val="24"/>
        </w:rPr>
        <w:t>"Modelling for insight: does financial development improve environmental quality?."</w:t>
      </w:r>
      <w:r>
        <w:rPr>
          <w:rFonts w:ascii="Times New Roman" w:hAnsi="Times New Roman" w:eastAsia="Calibri"/>
          <w:sz w:val="24"/>
          <w:szCs w:val="24"/>
        </w:rPr>
        <w:t> </w:t>
      </w:r>
      <w:r>
        <w:rPr>
          <w:rFonts w:ascii="Times New Roman" w:hAnsi="Times New Roman" w:eastAsia="Calibri"/>
          <w:b/>
          <w:bCs/>
          <w:sz w:val="24"/>
          <w:szCs w:val="24"/>
        </w:rPr>
        <w:t>Energy Economics,</w:t>
      </w:r>
      <w:r>
        <w:rPr>
          <w:rFonts w:ascii="Times New Roman" w:hAnsi="Times New Roman" w:eastAsia="Calibri"/>
          <w:sz w:val="24"/>
          <w:szCs w:val="24"/>
        </w:rPr>
        <w:t> 83, 2019, 156-179.</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vertAlign w:val="superscript"/>
        </w:rPr>
        <w:t>14</w:t>
      </w:r>
      <w:r>
        <w:rPr>
          <w:rFonts w:ascii="Times New Roman" w:hAnsi="Times New Roman" w:eastAsia="Calibri"/>
          <w:sz w:val="24"/>
          <w:szCs w:val="24"/>
        </w:rPr>
        <w:t xml:space="preserve">M. Shahbaz, et al. </w:t>
      </w:r>
      <w:r>
        <w:rPr>
          <w:rFonts w:ascii="Times New Roman" w:hAnsi="Times New Roman" w:eastAsia="Calibri"/>
          <w:i/>
          <w:iCs/>
          <w:sz w:val="24"/>
          <w:szCs w:val="24"/>
        </w:rPr>
        <w:t>"The effect of financial development on renewable energy demand: The case of developing countries." </w:t>
      </w:r>
      <w:r>
        <w:rPr>
          <w:rFonts w:ascii="Times New Roman" w:hAnsi="Times New Roman" w:eastAsia="Calibri"/>
          <w:b/>
          <w:bCs/>
          <w:sz w:val="24"/>
          <w:szCs w:val="24"/>
        </w:rPr>
        <w:t>Renewable Energy,</w:t>
      </w:r>
      <w:r>
        <w:rPr>
          <w:rFonts w:ascii="Times New Roman" w:hAnsi="Times New Roman" w:eastAsia="Calibri"/>
          <w:sz w:val="24"/>
          <w:szCs w:val="24"/>
        </w:rPr>
        <w:t> 178, 2021, 1370-1380.</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15</w:t>
      </w:r>
      <w:r>
        <w:rPr>
          <w:rFonts w:ascii="Times New Roman" w:hAnsi="Times New Roman" w:eastAsia="Calibri"/>
          <w:sz w:val="24"/>
          <w:szCs w:val="24"/>
          <w:shd w:val="clear" w:color="auto" w:fill="FFFFFF"/>
        </w:rPr>
        <w:t xml:space="preserve">V. S. Tchamyou, &amp; S. A. Asongu. </w:t>
      </w:r>
      <w:r>
        <w:rPr>
          <w:rFonts w:ascii="Times New Roman" w:hAnsi="Times New Roman" w:eastAsia="Calibri"/>
          <w:i/>
          <w:iCs/>
          <w:sz w:val="24"/>
          <w:szCs w:val="24"/>
          <w:shd w:val="clear" w:color="auto" w:fill="FFFFFF"/>
        </w:rPr>
        <w:t>"Information sharing and financial sector development in Africa." J</w:t>
      </w:r>
      <w:r>
        <w:rPr>
          <w:rFonts w:ascii="Times New Roman" w:hAnsi="Times New Roman" w:eastAsia="Calibri"/>
          <w:b/>
          <w:bCs/>
          <w:sz w:val="24"/>
          <w:szCs w:val="24"/>
          <w:shd w:val="clear" w:color="auto" w:fill="FFFFFF"/>
        </w:rPr>
        <w:t>ournal of African Business,</w:t>
      </w:r>
      <w:r>
        <w:rPr>
          <w:rFonts w:ascii="Times New Roman" w:hAnsi="Times New Roman" w:eastAsia="Calibri"/>
          <w:sz w:val="24"/>
          <w:szCs w:val="24"/>
          <w:shd w:val="clear" w:color="auto" w:fill="FFFFFF"/>
        </w:rPr>
        <w:t xml:space="preserve"> 18(1), 2017, 24-49.</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16</w:t>
      </w:r>
      <w:r>
        <w:rPr>
          <w:rFonts w:ascii="Times New Roman" w:hAnsi="Times New Roman" w:eastAsia="Calibri"/>
          <w:sz w:val="24"/>
          <w:szCs w:val="24"/>
          <w:shd w:val="clear" w:color="auto" w:fill="FFFFFF"/>
        </w:rPr>
        <w:t xml:space="preserve">O. A. Aluko, &amp; M. A. Ajayi. </w:t>
      </w:r>
      <w:r>
        <w:rPr>
          <w:rFonts w:ascii="Times New Roman" w:hAnsi="Times New Roman" w:eastAsia="Calibri"/>
          <w:i/>
          <w:iCs/>
          <w:sz w:val="24"/>
          <w:szCs w:val="24"/>
          <w:shd w:val="clear" w:color="auto" w:fill="FFFFFF"/>
        </w:rPr>
        <w:t xml:space="preserve">"Determinants of banking sector development: Evidence from Sub-Saharan African countries." </w:t>
      </w:r>
      <w:r>
        <w:rPr>
          <w:rFonts w:ascii="Times New Roman" w:hAnsi="Times New Roman" w:eastAsia="Calibri"/>
          <w:b/>
          <w:bCs/>
          <w:sz w:val="24"/>
          <w:szCs w:val="24"/>
          <w:shd w:val="clear" w:color="auto" w:fill="FFFFFF"/>
        </w:rPr>
        <w:t>Borsa Istanbul Review,</w:t>
      </w:r>
      <w:r>
        <w:rPr>
          <w:rFonts w:ascii="Times New Roman" w:hAnsi="Times New Roman" w:eastAsia="Calibri"/>
          <w:sz w:val="24"/>
          <w:szCs w:val="24"/>
          <w:shd w:val="clear" w:color="auto" w:fill="FFFFFF"/>
        </w:rPr>
        <w:t xml:space="preserve"> 18(2), 2018, 122-139.</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17</w:t>
      </w:r>
      <w:r>
        <w:rPr>
          <w:rFonts w:ascii="Times New Roman" w:hAnsi="Times New Roman" w:eastAsia="Calibri"/>
          <w:sz w:val="24"/>
          <w:szCs w:val="24"/>
          <w:shd w:val="clear" w:color="auto" w:fill="FFFFFF"/>
        </w:rPr>
        <w:t xml:space="preserve">H. Björn, &amp; A. J. Menkveld. </w:t>
      </w:r>
      <w:r>
        <w:rPr>
          <w:rFonts w:ascii="Times New Roman" w:hAnsi="Times New Roman" w:eastAsia="Calibri"/>
          <w:i/>
          <w:iCs/>
          <w:sz w:val="24"/>
          <w:szCs w:val="24"/>
          <w:shd w:val="clear" w:color="auto" w:fill="FFFFFF"/>
        </w:rPr>
        <w:t xml:space="preserve">"Information revelation in decentralized markets." </w:t>
      </w:r>
      <w:r>
        <w:rPr>
          <w:rFonts w:ascii="Times New Roman" w:hAnsi="Times New Roman" w:eastAsia="Calibri"/>
          <w:b/>
          <w:bCs/>
          <w:sz w:val="24"/>
          <w:szCs w:val="24"/>
          <w:shd w:val="clear" w:color="auto" w:fill="FFFFFF"/>
        </w:rPr>
        <w:t>The Journal of Finance,</w:t>
      </w:r>
      <w:r>
        <w:rPr>
          <w:rFonts w:ascii="Times New Roman" w:hAnsi="Times New Roman" w:eastAsia="Calibri"/>
          <w:sz w:val="24"/>
          <w:szCs w:val="24"/>
          <w:shd w:val="clear" w:color="auto" w:fill="FFFFFF"/>
        </w:rPr>
        <w:t xml:space="preserve"> 74(6), 2019, 2751-2787.</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18</w:t>
      </w:r>
      <w:r>
        <w:rPr>
          <w:rFonts w:ascii="Times New Roman" w:hAnsi="Times New Roman" w:eastAsia="Calibri"/>
          <w:sz w:val="24"/>
          <w:szCs w:val="24"/>
          <w:shd w:val="clear" w:color="auto" w:fill="FFFFFF"/>
        </w:rPr>
        <w:t xml:space="preserve">L. Nicholas, et al. </w:t>
      </w:r>
      <w:r>
        <w:rPr>
          <w:rFonts w:ascii="Times New Roman" w:hAnsi="Times New Roman" w:eastAsia="Calibri"/>
          <w:i/>
          <w:iCs/>
          <w:sz w:val="24"/>
          <w:szCs w:val="24"/>
          <w:shd w:val="clear" w:color="auto" w:fill="FFFFFF"/>
        </w:rPr>
        <w:t xml:space="preserve">"An overview of systematic reviews on the public health consequences of social isolation and loneliness." </w:t>
      </w:r>
      <w:r>
        <w:rPr>
          <w:rFonts w:ascii="Times New Roman" w:hAnsi="Times New Roman" w:eastAsia="Calibri"/>
          <w:b/>
          <w:bCs/>
          <w:sz w:val="24"/>
          <w:szCs w:val="24"/>
          <w:shd w:val="clear" w:color="auto" w:fill="FFFFFF"/>
        </w:rPr>
        <w:t>Public health,</w:t>
      </w:r>
      <w:r>
        <w:rPr>
          <w:rFonts w:ascii="Times New Roman" w:hAnsi="Times New Roman" w:eastAsia="Calibri"/>
          <w:sz w:val="24"/>
          <w:szCs w:val="24"/>
          <w:shd w:val="clear" w:color="auto" w:fill="FFFFFF"/>
        </w:rPr>
        <w:t xml:space="preserve"> 152, 2017, 157-171.</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19</w:t>
      </w:r>
      <w:r>
        <w:rPr>
          <w:rFonts w:ascii="Times New Roman" w:hAnsi="Times New Roman" w:eastAsia="Calibri"/>
          <w:sz w:val="24"/>
          <w:szCs w:val="24"/>
          <w:shd w:val="clear" w:color="auto" w:fill="FFFFFF"/>
        </w:rPr>
        <w:t>D. Nutbeam, B McGill, &amp; P. Premkumar.</w:t>
      </w:r>
      <w:r>
        <w:rPr>
          <w:rFonts w:ascii="Times New Roman" w:hAnsi="Times New Roman" w:eastAsia="Calibri"/>
          <w:i/>
          <w:iCs/>
          <w:sz w:val="24"/>
          <w:szCs w:val="24"/>
          <w:shd w:val="clear" w:color="auto" w:fill="FFFFFF"/>
        </w:rPr>
        <w:t>" Improving health literacy in community populations: a review of progress." </w:t>
      </w:r>
      <w:r>
        <w:rPr>
          <w:rFonts w:ascii="Times New Roman" w:hAnsi="Times New Roman" w:eastAsia="Calibri"/>
          <w:b/>
          <w:bCs/>
          <w:sz w:val="24"/>
          <w:szCs w:val="24"/>
          <w:shd w:val="clear" w:color="auto" w:fill="FFFFFF"/>
        </w:rPr>
        <w:t>Health promotion international,</w:t>
      </w:r>
      <w:r>
        <w:rPr>
          <w:rFonts w:ascii="Times New Roman" w:hAnsi="Times New Roman" w:eastAsia="Calibri"/>
          <w:sz w:val="24"/>
          <w:szCs w:val="24"/>
          <w:shd w:val="clear" w:color="auto" w:fill="FFFFFF"/>
        </w:rPr>
        <w:t> 33(5), 2018, 901-911.</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20</w:t>
      </w:r>
      <w:r>
        <w:rPr>
          <w:rFonts w:ascii="Times New Roman" w:hAnsi="Times New Roman" w:eastAsia="Calibri"/>
          <w:sz w:val="24"/>
          <w:szCs w:val="24"/>
          <w:shd w:val="clear" w:color="auto" w:fill="FFFFFF"/>
        </w:rPr>
        <w:t xml:space="preserve">M. Michou, D. B. Panagiotakos, &amp; V. Costarelli. </w:t>
      </w:r>
      <w:r>
        <w:rPr>
          <w:rFonts w:ascii="Times New Roman" w:hAnsi="Times New Roman" w:eastAsia="Calibri"/>
          <w:i/>
          <w:iCs/>
          <w:sz w:val="24"/>
          <w:szCs w:val="24"/>
          <w:shd w:val="clear" w:color="auto" w:fill="FFFFFF"/>
        </w:rPr>
        <w:t>"Low health literacy and excess body weight: A systematic review." </w:t>
      </w:r>
      <w:r>
        <w:rPr>
          <w:rFonts w:ascii="Times New Roman" w:hAnsi="Times New Roman" w:eastAsia="Calibri"/>
          <w:b/>
          <w:bCs/>
          <w:sz w:val="24"/>
          <w:szCs w:val="24"/>
          <w:shd w:val="clear" w:color="auto" w:fill="FFFFFF"/>
        </w:rPr>
        <w:t>Central European journal of public health,</w:t>
      </w:r>
      <w:r>
        <w:rPr>
          <w:rFonts w:ascii="Times New Roman" w:hAnsi="Times New Roman" w:eastAsia="Calibri"/>
          <w:sz w:val="24"/>
          <w:szCs w:val="24"/>
          <w:shd w:val="clear" w:color="auto" w:fill="FFFFFF"/>
        </w:rPr>
        <w:t> 26(3), 2018, 234-241</w:t>
      </w:r>
      <w:r>
        <w:rPr>
          <w:rFonts w:ascii="Times New Roman" w:hAnsi="Times New Roman" w:eastAsia="Calibri"/>
          <w:sz w:val="24"/>
          <w:szCs w:val="24"/>
          <w:shd w:val="clear" w:color="auto" w:fill="FFFFFF"/>
          <w:vertAlign w:val="superscript"/>
        </w:rPr>
        <w:t>.</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vertAlign w:val="superscript"/>
        </w:rPr>
        <w:t>21</w:t>
      </w:r>
      <w:r>
        <w:rPr>
          <w:rFonts w:ascii="Times New Roman" w:hAnsi="Times New Roman" w:eastAsia="Calibri"/>
          <w:sz w:val="24"/>
          <w:szCs w:val="24"/>
        </w:rPr>
        <w:t xml:space="preserve">C. M. Gitobu, P. B. Gichangi, W. O. Mwanda. </w:t>
      </w:r>
      <w:r>
        <w:rPr>
          <w:rFonts w:ascii="Times New Roman" w:hAnsi="Times New Roman" w:eastAsia="Calibri"/>
          <w:i/>
          <w:iCs/>
          <w:sz w:val="24"/>
          <w:szCs w:val="24"/>
        </w:rPr>
        <w:t xml:space="preserve">“Satisfaction with delivery services offered under the free maternal healthcare policy in Kenyan public health facilities.” </w:t>
      </w:r>
      <w:r>
        <w:rPr>
          <w:rFonts w:ascii="Times New Roman" w:hAnsi="Times New Roman" w:eastAsia="Calibri"/>
          <w:b/>
          <w:bCs/>
          <w:sz w:val="24"/>
          <w:szCs w:val="24"/>
        </w:rPr>
        <w:t xml:space="preserve">Journal of environmental and public health, </w:t>
      </w:r>
      <w:r>
        <w:rPr>
          <w:rFonts w:ascii="Times New Roman" w:hAnsi="Times New Roman" w:eastAsia="Calibri"/>
          <w:sz w:val="24"/>
          <w:szCs w:val="24"/>
        </w:rPr>
        <w:t>2018.</w:t>
      </w:r>
    </w:p>
    <w:p>
      <w:pPr>
        <w:pStyle w:val="14"/>
        <w:spacing w:before="100" w:beforeAutospacing="1"/>
        <w:ind w:left="438" w:leftChars="199"/>
        <w:jc w:val="both"/>
        <w:rPr>
          <w:rFonts w:ascii="Times New Roman" w:hAnsi="Times New Roman" w:eastAsia="Calibri"/>
          <w:sz w:val="24"/>
          <w:szCs w:val="24"/>
        </w:rPr>
      </w:pPr>
      <w:r>
        <w:rPr>
          <w:rFonts w:ascii="Times New Roman" w:hAnsi="Times New Roman" w:eastAsia="Calibri"/>
          <w:sz w:val="24"/>
          <w:szCs w:val="24"/>
          <w:vertAlign w:val="superscript"/>
        </w:rPr>
        <w:t>22</w:t>
      </w:r>
      <w:r>
        <w:rPr>
          <w:rFonts w:ascii="Times New Roman" w:hAnsi="Times New Roman" w:eastAsia="Calibri"/>
          <w:sz w:val="24"/>
          <w:szCs w:val="24"/>
        </w:rPr>
        <w:t>Kabia,et al.</w:t>
      </w:r>
      <w:r>
        <w:rPr>
          <w:rFonts w:ascii="Times New Roman" w:hAnsi="Times New Roman" w:eastAsia="Calibri"/>
          <w:i/>
          <w:iCs/>
          <w:sz w:val="24"/>
          <w:szCs w:val="24"/>
        </w:rPr>
        <w:t>“We are called the et cetera”: experiences of the poor with health financing reforms that target them in Kenya."</w:t>
      </w:r>
      <w:r>
        <w:rPr>
          <w:rFonts w:ascii="Times New Roman" w:hAnsi="Times New Roman" w:eastAsia="Calibri"/>
          <w:sz w:val="24"/>
          <w:szCs w:val="24"/>
        </w:rPr>
        <w:t> </w:t>
      </w:r>
      <w:r>
        <w:rPr>
          <w:rFonts w:ascii="Times New Roman" w:hAnsi="Times New Roman" w:eastAsia="Calibri"/>
          <w:b/>
          <w:bCs/>
          <w:sz w:val="24"/>
          <w:szCs w:val="24"/>
        </w:rPr>
        <w:t>International journal for equity in health,</w:t>
      </w:r>
      <w:r>
        <w:rPr>
          <w:rFonts w:ascii="Times New Roman" w:hAnsi="Times New Roman" w:eastAsia="Calibri"/>
          <w:sz w:val="24"/>
          <w:szCs w:val="24"/>
        </w:rPr>
        <w:t> 18, 2019, 1-14.</w:t>
      </w:r>
    </w:p>
    <w:p>
      <w:pPr>
        <w:pStyle w:val="14"/>
        <w:spacing w:before="100" w:beforeAutospacing="1"/>
        <w:ind w:left="438" w:leftChars="199"/>
        <w:jc w:val="both"/>
        <w:rPr>
          <w:rFonts w:ascii="Times New Roman" w:hAnsi="Times New Roman" w:eastAsia="Calibri"/>
          <w:sz w:val="24"/>
          <w:szCs w:val="24"/>
        </w:rPr>
      </w:pPr>
      <w:r>
        <w:rPr>
          <w:rFonts w:ascii="Times New Roman" w:hAnsi="Times New Roman" w:eastAsia="Calibri"/>
          <w:sz w:val="24"/>
          <w:szCs w:val="24"/>
          <w:vertAlign w:val="superscript"/>
        </w:rPr>
        <w:t>23</w:t>
      </w:r>
      <w:r>
        <w:rPr>
          <w:rFonts w:ascii="Times New Roman" w:hAnsi="Times New Roman" w:eastAsia="Calibri"/>
          <w:sz w:val="24"/>
          <w:szCs w:val="24"/>
          <w:shd w:val="clear" w:color="auto" w:fill="FFFFFF"/>
        </w:rPr>
        <w:t xml:space="preserve">F. A. Pokuaa, R. Yates, &amp; R. Thompson. </w:t>
      </w:r>
      <w:r>
        <w:rPr>
          <w:rFonts w:ascii="Times New Roman" w:hAnsi="Times New Roman" w:eastAsia="Calibri"/>
          <w:i/>
          <w:iCs/>
          <w:sz w:val="24"/>
          <w:szCs w:val="24"/>
          <w:shd w:val="clear" w:color="auto" w:fill="FFFFFF"/>
        </w:rPr>
        <w:t xml:space="preserve">"Social health insurance schemes in Africa leave out the poor." </w:t>
      </w:r>
      <w:r>
        <w:rPr>
          <w:rFonts w:ascii="Times New Roman" w:hAnsi="Times New Roman" w:eastAsia="Calibri"/>
          <w:b/>
          <w:bCs/>
          <w:sz w:val="24"/>
          <w:szCs w:val="24"/>
          <w:shd w:val="clear" w:color="auto" w:fill="FFFFFF"/>
        </w:rPr>
        <w:t>International Health,</w:t>
      </w:r>
      <w:r>
        <w:rPr>
          <w:rFonts w:ascii="Times New Roman" w:hAnsi="Times New Roman" w:eastAsia="Calibri"/>
          <w:sz w:val="24"/>
          <w:szCs w:val="24"/>
          <w:shd w:val="clear" w:color="auto" w:fill="FFFFFF"/>
        </w:rPr>
        <w:t>10(1), 2018, 1-3.</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24</w:t>
      </w:r>
      <w:r>
        <w:rPr>
          <w:rFonts w:ascii="Times New Roman" w:hAnsi="Times New Roman" w:eastAsia="Calibri"/>
          <w:sz w:val="24"/>
          <w:szCs w:val="24"/>
          <w:shd w:val="clear" w:color="auto" w:fill="FFFFFF"/>
        </w:rPr>
        <w:t xml:space="preserve">R. Levine. </w:t>
      </w:r>
      <w:r>
        <w:rPr>
          <w:rFonts w:ascii="Times New Roman" w:hAnsi="Times New Roman" w:eastAsia="Calibri"/>
          <w:i/>
          <w:iCs/>
          <w:sz w:val="24"/>
          <w:szCs w:val="24"/>
          <w:shd w:val="clear" w:color="auto" w:fill="FFFFFF"/>
        </w:rPr>
        <w:t xml:space="preserve">“Financial development and economic growth: views and agenda.” </w:t>
      </w:r>
      <w:r>
        <w:rPr>
          <w:rFonts w:ascii="Times New Roman" w:hAnsi="Times New Roman" w:eastAsia="Calibri"/>
          <w:b/>
          <w:bCs/>
          <w:sz w:val="24"/>
          <w:szCs w:val="24"/>
          <w:shd w:val="clear" w:color="auto" w:fill="FFFFFF"/>
        </w:rPr>
        <w:t>Journal of economic literature</w:t>
      </w:r>
      <w:r>
        <w:rPr>
          <w:rFonts w:ascii="Times New Roman" w:hAnsi="Times New Roman" w:eastAsia="Calibri"/>
          <w:sz w:val="24"/>
          <w:szCs w:val="24"/>
          <w:shd w:val="clear" w:color="auto" w:fill="FFFFFF"/>
        </w:rPr>
        <w:t>, 35(2), 1997, 688-726.</w:t>
      </w:r>
    </w:p>
    <w:p>
      <w:pPr>
        <w:pStyle w:val="14"/>
        <w:spacing w:before="100" w:beforeAutospacing="1"/>
        <w:ind w:left="360"/>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vertAlign w:val="superscript"/>
        </w:rPr>
        <w:t>25</w:t>
      </w:r>
      <w:r>
        <w:rPr>
          <w:rFonts w:ascii="Times New Roman" w:hAnsi="Times New Roman" w:eastAsia="Calibri"/>
          <w:sz w:val="24"/>
          <w:szCs w:val="24"/>
          <w:shd w:val="clear" w:color="auto" w:fill="FFFFFF"/>
        </w:rPr>
        <w:t xml:space="preserve">I.Khan, A. Rehman, &amp;S. Khan. </w:t>
      </w:r>
      <w:r>
        <w:rPr>
          <w:rFonts w:ascii="Times New Roman" w:hAnsi="Times New Roman" w:eastAsia="Calibri"/>
          <w:i/>
          <w:iCs/>
          <w:sz w:val="24"/>
          <w:szCs w:val="24"/>
          <w:shd w:val="clear" w:color="auto" w:fill="FFFFFF"/>
        </w:rPr>
        <w:t xml:space="preserve">Financial development and economic growth an advanced econometric modeling approach. </w:t>
      </w:r>
      <w:r>
        <w:rPr>
          <w:rFonts w:ascii="Times New Roman" w:hAnsi="Times New Roman" w:eastAsia="Calibri"/>
          <w:b/>
          <w:bCs/>
          <w:sz w:val="24"/>
          <w:szCs w:val="24"/>
          <w:shd w:val="clear" w:color="auto" w:fill="FFFFFF"/>
        </w:rPr>
        <w:t>Global Economics review</w:t>
      </w:r>
      <w:r>
        <w:rPr>
          <w:rFonts w:ascii="Times New Roman" w:hAnsi="Times New Roman" w:eastAsia="Calibri"/>
          <w:sz w:val="24"/>
          <w:szCs w:val="24"/>
          <w:shd w:val="clear" w:color="auto" w:fill="FFFFFF"/>
        </w:rPr>
        <w:t>, 6(2),2021, 160-172.</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26</w:t>
      </w:r>
      <w:r>
        <w:rPr>
          <w:rFonts w:ascii="Times New Roman" w:hAnsi="Times New Roman" w:eastAsia="Calibri"/>
          <w:sz w:val="24"/>
          <w:szCs w:val="24"/>
        </w:rPr>
        <w:t xml:space="preserve">N. Abid, et, al. </w:t>
      </w:r>
      <w:r>
        <w:rPr>
          <w:rFonts w:ascii="Times New Roman" w:hAnsi="Times New Roman" w:eastAsia="Calibri"/>
          <w:i/>
          <w:iCs/>
          <w:sz w:val="24"/>
          <w:szCs w:val="24"/>
        </w:rPr>
        <w:t xml:space="preserve">“Financial development and green innovation, the ultimate solutions to an environmentally sustainable society: Evidence from leading economies.” </w:t>
      </w:r>
      <w:r>
        <w:rPr>
          <w:rFonts w:ascii="Times New Roman" w:hAnsi="Times New Roman" w:eastAsia="Calibri"/>
          <w:b/>
          <w:bCs/>
          <w:sz w:val="24"/>
          <w:szCs w:val="24"/>
        </w:rPr>
        <w:t>Journal of Cleaner Production,</w:t>
      </w:r>
      <w:r>
        <w:rPr>
          <w:rFonts w:ascii="Times New Roman" w:hAnsi="Times New Roman" w:eastAsia="Calibri"/>
          <w:sz w:val="24"/>
          <w:szCs w:val="24"/>
        </w:rPr>
        <w:t xml:space="preserve"> 369, 2022, 133223.</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vertAlign w:val="superscript"/>
        </w:rPr>
        <w:t>27</w:t>
      </w:r>
      <w:r>
        <w:rPr>
          <w:rFonts w:ascii="Times New Roman" w:hAnsi="Times New Roman" w:eastAsia="Calibri"/>
          <w:sz w:val="24"/>
          <w:szCs w:val="24"/>
        </w:rPr>
        <w:t xml:space="preserve">G. J. Gurley, &amp; E. S. Shaw. </w:t>
      </w:r>
      <w:r>
        <w:rPr>
          <w:rFonts w:ascii="Times New Roman" w:hAnsi="Times New Roman" w:eastAsia="Calibri"/>
          <w:i/>
          <w:iCs/>
          <w:sz w:val="24"/>
          <w:szCs w:val="24"/>
        </w:rPr>
        <w:t xml:space="preserve">“Financial Structure and Economic Development Economic Development and Cultural Change.” </w:t>
      </w:r>
      <w:r>
        <w:rPr>
          <w:rFonts w:ascii="Times New Roman" w:hAnsi="Times New Roman" w:eastAsia="Calibri"/>
          <w:b/>
          <w:bCs/>
          <w:sz w:val="24"/>
          <w:szCs w:val="24"/>
        </w:rPr>
        <w:t>The University of Chicago Press</w:t>
      </w:r>
      <w:r>
        <w:rPr>
          <w:rFonts w:ascii="Times New Roman" w:hAnsi="Times New Roman" w:eastAsia="Calibri"/>
          <w:sz w:val="24"/>
          <w:szCs w:val="24"/>
        </w:rPr>
        <w:t>, 15(3),1967, 257.</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vertAlign w:val="superscript"/>
        </w:rPr>
        <w:t>28</w:t>
      </w:r>
      <w:r>
        <w:rPr>
          <w:rFonts w:ascii="Times New Roman" w:hAnsi="Times New Roman" w:eastAsia="Calibri"/>
          <w:sz w:val="24"/>
          <w:szCs w:val="24"/>
        </w:rPr>
        <w:t xml:space="preserve">V. Drebentsov, J. Bergsman, &amp; H. G. Broadman. </w:t>
      </w:r>
      <w:r>
        <w:rPr>
          <w:rFonts w:ascii="Times New Roman" w:hAnsi="Times New Roman" w:eastAsia="Calibri"/>
          <w:i/>
          <w:iCs/>
          <w:sz w:val="24"/>
          <w:szCs w:val="24"/>
        </w:rPr>
        <w:t>"Finance and Growth: Schumpeter Might Be Right." </w:t>
      </w:r>
      <w:r>
        <w:rPr>
          <w:rFonts w:ascii="Times New Roman" w:hAnsi="Times New Roman" w:eastAsia="Calibri"/>
          <w:b/>
          <w:bCs/>
          <w:sz w:val="24"/>
          <w:szCs w:val="24"/>
        </w:rPr>
        <w:t>World Bank Policy Research Working Paper,</w:t>
      </w:r>
      <w:r>
        <w:rPr>
          <w:rFonts w:ascii="Times New Roman" w:hAnsi="Times New Roman" w:eastAsia="Calibri"/>
          <w:sz w:val="24"/>
          <w:szCs w:val="24"/>
        </w:rPr>
        <w:t> 1083, 1993.</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vertAlign w:val="superscript"/>
        </w:rPr>
        <w:t>29</w:t>
      </w:r>
      <w:r>
        <w:rPr>
          <w:rFonts w:ascii="Times New Roman" w:hAnsi="Times New Roman" w:eastAsia="Calibri"/>
          <w:sz w:val="24"/>
          <w:szCs w:val="24"/>
        </w:rPr>
        <w:t xml:space="preserve">E.Asafo-Adjei, et, al. </w:t>
      </w:r>
      <w:r>
        <w:rPr>
          <w:rFonts w:ascii="Times New Roman" w:hAnsi="Times New Roman" w:eastAsia="Calibri"/>
          <w:i/>
          <w:iCs/>
          <w:sz w:val="24"/>
          <w:szCs w:val="24"/>
        </w:rPr>
        <w:t xml:space="preserve">“Financial sector and economic growth amid external uncertainty shocks: Insights into emerging economies.” </w:t>
      </w:r>
      <w:r>
        <w:rPr>
          <w:rFonts w:ascii="Times New Roman" w:hAnsi="Times New Roman" w:eastAsia="Calibri"/>
          <w:b/>
          <w:bCs/>
          <w:sz w:val="24"/>
          <w:szCs w:val="24"/>
        </w:rPr>
        <w:t>Plos one</w:t>
      </w:r>
      <w:r>
        <w:rPr>
          <w:rFonts w:ascii="Times New Roman" w:hAnsi="Times New Roman" w:eastAsia="Calibri"/>
          <w:sz w:val="24"/>
          <w:szCs w:val="24"/>
        </w:rPr>
        <w:t>, 16(11), 2021.</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vertAlign w:val="superscript"/>
        </w:rPr>
        <w:t>30</w:t>
      </w:r>
      <w:r>
        <w:rPr>
          <w:rFonts w:ascii="Times New Roman" w:hAnsi="Times New Roman" w:eastAsia="Calibri"/>
          <w:sz w:val="24"/>
          <w:szCs w:val="24"/>
        </w:rPr>
        <w:t>T.Aziz, et, al. “</w:t>
      </w:r>
      <w:r>
        <w:rPr>
          <w:rFonts w:ascii="Times New Roman" w:hAnsi="Times New Roman" w:eastAsia="Calibri"/>
          <w:i/>
          <w:iCs/>
          <w:sz w:val="24"/>
          <w:szCs w:val="24"/>
        </w:rPr>
        <w:t xml:space="preserve">An analysis on the relationship between ICT, financial development and economic growth: Evidence from Asian developing countries.” </w:t>
      </w:r>
      <w:r>
        <w:rPr>
          <w:rFonts w:ascii="Times New Roman" w:hAnsi="Times New Roman" w:eastAsia="Calibri"/>
          <w:b/>
          <w:bCs/>
          <w:sz w:val="24"/>
          <w:szCs w:val="24"/>
        </w:rPr>
        <w:t>The Journal of International Trade &amp; Economic Development</w:t>
      </w:r>
      <w:r>
        <w:rPr>
          <w:rFonts w:ascii="Times New Roman" w:hAnsi="Times New Roman" w:eastAsia="Calibri"/>
          <w:sz w:val="24"/>
          <w:szCs w:val="24"/>
        </w:rPr>
        <w:t>, 32(5), 2023, 705-721.</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cs="Times New Roman"/>
          <w:sz w:val="24"/>
          <w:szCs w:val="24"/>
          <w:shd w:val="clear" w:color="auto" w:fill="FFFFFF"/>
          <w:vertAlign w:val="superscript"/>
        </w:rPr>
        <w:t>31</w:t>
      </w:r>
      <w:r>
        <w:rPr>
          <w:rFonts w:ascii="Times New Roman" w:hAnsi="Times New Roman" w:eastAsia="Calibri"/>
          <w:sz w:val="24"/>
          <w:szCs w:val="24"/>
          <w:shd w:val="clear" w:color="auto" w:fill="FFFFFF"/>
        </w:rPr>
        <w:t xml:space="preserve">S.Nasreen, et, al. </w:t>
      </w:r>
      <w:r>
        <w:rPr>
          <w:rFonts w:ascii="Times New Roman" w:hAnsi="Times New Roman" w:eastAsia="Calibri"/>
          <w:i/>
          <w:iCs/>
          <w:sz w:val="24"/>
          <w:szCs w:val="24"/>
          <w:shd w:val="clear" w:color="auto" w:fill="FFFFFF"/>
        </w:rPr>
        <w:t xml:space="preserve">“How do financial globalization, institutions and economic growth impact financial sector development in European countries?” </w:t>
      </w:r>
      <w:r>
        <w:rPr>
          <w:rFonts w:ascii="Times New Roman" w:hAnsi="Times New Roman" w:eastAsia="Calibri"/>
          <w:b/>
          <w:bCs/>
          <w:sz w:val="24"/>
          <w:szCs w:val="24"/>
          <w:shd w:val="clear" w:color="auto" w:fill="FFFFFF"/>
        </w:rPr>
        <w:t>Research in International Business and Finance,</w:t>
      </w:r>
      <w:r>
        <w:rPr>
          <w:rFonts w:ascii="Times New Roman" w:hAnsi="Times New Roman" w:eastAsia="Calibri"/>
          <w:sz w:val="24"/>
          <w:szCs w:val="24"/>
          <w:shd w:val="clear" w:color="auto" w:fill="FFFFFF"/>
        </w:rPr>
        <w:t xml:space="preserve"> 54, 2020, 101247. </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32</w:t>
      </w:r>
      <w:r>
        <w:rPr>
          <w:rFonts w:ascii="Times New Roman" w:hAnsi="Times New Roman" w:eastAsia="Calibri"/>
          <w:sz w:val="24"/>
          <w:szCs w:val="24"/>
          <w:shd w:val="clear" w:color="auto" w:fill="FFFFFF"/>
        </w:rPr>
        <w:t xml:space="preserve">M. Iuliana. </w:t>
      </w:r>
      <w:r>
        <w:rPr>
          <w:rFonts w:ascii="Times New Roman" w:hAnsi="Times New Roman" w:eastAsia="Calibri"/>
          <w:i/>
          <w:iCs/>
          <w:sz w:val="24"/>
          <w:szCs w:val="24"/>
          <w:shd w:val="clear" w:color="auto" w:fill="FFFFFF"/>
        </w:rPr>
        <w:t>"Is financial development good for economic growth? Empirical insights from emerging European countries. "</w:t>
      </w:r>
      <w:r>
        <w:rPr>
          <w:rFonts w:ascii="Times New Roman" w:hAnsi="Times New Roman" w:eastAsia="Calibri"/>
          <w:b/>
          <w:bCs/>
          <w:i/>
          <w:iCs/>
          <w:sz w:val="24"/>
          <w:szCs w:val="24"/>
          <w:shd w:val="clear" w:color="auto" w:fill="FFFFFF"/>
        </w:rPr>
        <w:t>Quant. Financ. Econ,</w:t>
      </w:r>
      <w:r>
        <w:rPr>
          <w:rFonts w:ascii="Times New Roman" w:hAnsi="Times New Roman" w:eastAsia="Calibri"/>
          <w:sz w:val="24"/>
          <w:szCs w:val="24"/>
          <w:shd w:val="clear" w:color="auto" w:fill="FFFFFF"/>
        </w:rPr>
        <w:t xml:space="preserve"> 4, 2020, 653-678.</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vertAlign w:val="superscript"/>
        </w:rPr>
        <w:t>33</w:t>
      </w:r>
      <w:r>
        <w:rPr>
          <w:rFonts w:ascii="Times New Roman" w:hAnsi="Times New Roman" w:eastAsia="Calibri"/>
          <w:sz w:val="24"/>
          <w:szCs w:val="24"/>
        </w:rPr>
        <w:t xml:space="preserve">G.Shi, D. Wang, &amp;M. Altuntaş. </w:t>
      </w:r>
      <w:r>
        <w:rPr>
          <w:rFonts w:ascii="Times New Roman" w:hAnsi="Times New Roman" w:eastAsia="Calibri"/>
          <w:i/>
          <w:iCs/>
          <w:sz w:val="24"/>
          <w:szCs w:val="24"/>
        </w:rPr>
        <w:t>“Financial development and health outcomes: do financial globalization matter in selected Asian economies?”</w:t>
      </w:r>
      <w:r>
        <w:rPr>
          <w:rFonts w:ascii="Times New Roman" w:hAnsi="Times New Roman" w:eastAsia="Calibri"/>
          <w:b/>
          <w:bCs/>
          <w:sz w:val="24"/>
          <w:szCs w:val="24"/>
        </w:rPr>
        <w:t>Frontiers in Public Health,</w:t>
      </w:r>
      <w:r>
        <w:rPr>
          <w:rFonts w:ascii="Times New Roman" w:hAnsi="Times New Roman" w:eastAsia="Calibri"/>
          <w:sz w:val="24"/>
          <w:szCs w:val="24"/>
        </w:rPr>
        <w:t xml:space="preserve"> 10, 2022.</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34</w:t>
      </w:r>
      <w:r>
        <w:rPr>
          <w:rFonts w:ascii="Times New Roman" w:hAnsi="Times New Roman" w:eastAsia="Calibri"/>
          <w:sz w:val="24"/>
          <w:szCs w:val="24"/>
          <w:shd w:val="clear" w:color="auto" w:fill="FFFFFF"/>
        </w:rPr>
        <w:t xml:space="preserve">L. Yemelyanova. </w:t>
      </w:r>
      <w:r>
        <w:rPr>
          <w:rFonts w:ascii="Times New Roman" w:hAnsi="Times New Roman" w:eastAsia="Calibri"/>
          <w:i/>
          <w:iCs/>
          <w:sz w:val="24"/>
          <w:szCs w:val="24"/>
          <w:shd w:val="clear" w:color="auto" w:fill="FFFFFF"/>
        </w:rPr>
        <w:t xml:space="preserve">“Relationship between the stock market development, banking sector development and economic growth in the cee countries.” </w:t>
      </w:r>
      <w:r>
        <w:rPr>
          <w:rFonts w:ascii="Times New Roman" w:hAnsi="Times New Roman" w:eastAsia="Calibri"/>
          <w:b/>
          <w:bCs/>
          <w:sz w:val="24"/>
          <w:szCs w:val="24"/>
          <w:shd w:val="clear" w:color="auto" w:fill="FFFFFF"/>
        </w:rPr>
        <w:t>Baltic Journal of Economic Studies,</w:t>
      </w:r>
      <w:r>
        <w:rPr>
          <w:rFonts w:ascii="Times New Roman" w:hAnsi="Times New Roman" w:eastAsia="Calibri"/>
          <w:sz w:val="24"/>
          <w:szCs w:val="24"/>
          <w:shd w:val="clear" w:color="auto" w:fill="FFFFFF"/>
        </w:rPr>
        <w:t xml:space="preserve"> 7(3),  2021, 118-126.</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vertAlign w:val="superscript"/>
        </w:rPr>
        <w:t>35</w:t>
      </w:r>
      <w:r>
        <w:rPr>
          <w:rFonts w:ascii="Times New Roman" w:hAnsi="Times New Roman" w:eastAsia="Calibri"/>
          <w:sz w:val="24"/>
          <w:szCs w:val="24"/>
        </w:rPr>
        <w:t xml:space="preserve">R. Banerjee, A. Maruta, &amp;R. Donato. </w:t>
      </w:r>
      <w:r>
        <w:rPr>
          <w:rFonts w:ascii="Times New Roman" w:hAnsi="Times New Roman" w:eastAsia="Calibri"/>
          <w:i/>
          <w:iCs/>
          <w:sz w:val="24"/>
          <w:szCs w:val="24"/>
        </w:rPr>
        <w:t xml:space="preserve">“Does higher financial inclusion lead to better health outcomes? evidence from developing and transitional economies.” </w:t>
      </w:r>
      <w:r>
        <w:rPr>
          <w:rFonts w:ascii="Times New Roman" w:hAnsi="Times New Roman" w:eastAsia="Calibri"/>
          <w:b/>
          <w:bCs/>
          <w:sz w:val="24"/>
          <w:szCs w:val="24"/>
        </w:rPr>
        <w:t>Economics of Transition and Institutional Change</w:t>
      </w:r>
      <w:r>
        <w:rPr>
          <w:rFonts w:ascii="Times New Roman" w:hAnsi="Times New Roman" w:eastAsia="Calibri"/>
          <w:sz w:val="24"/>
          <w:szCs w:val="24"/>
        </w:rPr>
        <w:t xml:space="preserve">, 31(2), 2022, 363-401. </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vertAlign w:val="superscript"/>
        </w:rPr>
        <w:t>36</w:t>
      </w:r>
      <w:r>
        <w:rPr>
          <w:rFonts w:ascii="Times New Roman" w:hAnsi="Times New Roman" w:eastAsia="Calibri"/>
          <w:sz w:val="24"/>
          <w:szCs w:val="24"/>
        </w:rPr>
        <w:t xml:space="preserve">U.Abdulahi, et, al. </w:t>
      </w:r>
      <w:r>
        <w:rPr>
          <w:rFonts w:ascii="Times New Roman" w:hAnsi="Times New Roman" w:eastAsia="Calibri"/>
          <w:i/>
          <w:iCs/>
          <w:sz w:val="24"/>
          <w:szCs w:val="24"/>
        </w:rPr>
        <w:t xml:space="preserve">“Remittances and health outcomes in sub-Saharan African countries: understanding the role of financial development and institutional quality.” </w:t>
      </w:r>
      <w:r>
        <w:rPr>
          <w:rFonts w:ascii="Times New Roman" w:hAnsi="Times New Roman" w:eastAsia="Calibri"/>
          <w:b/>
          <w:bCs/>
          <w:sz w:val="24"/>
          <w:szCs w:val="24"/>
        </w:rPr>
        <w:t>Economic Annals</w:t>
      </w:r>
      <w:r>
        <w:rPr>
          <w:rFonts w:ascii="Times New Roman" w:hAnsi="Times New Roman" w:eastAsia="Calibri"/>
          <w:sz w:val="24"/>
          <w:szCs w:val="24"/>
        </w:rPr>
        <w:t xml:space="preserve">, 66(229), 2021, 119-144. </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37</w:t>
      </w:r>
      <w:r>
        <w:rPr>
          <w:rFonts w:ascii="Times New Roman" w:hAnsi="Times New Roman" w:eastAsia="Calibri"/>
          <w:sz w:val="24"/>
          <w:szCs w:val="24"/>
          <w:shd w:val="clear" w:color="auto" w:fill="FFFFFF"/>
        </w:rPr>
        <w:t xml:space="preserve">S. Abbass, et al. </w:t>
      </w:r>
      <w:r>
        <w:rPr>
          <w:rFonts w:ascii="Times New Roman" w:hAnsi="Times New Roman" w:eastAsia="Calibri"/>
          <w:i/>
          <w:iCs/>
          <w:sz w:val="24"/>
          <w:szCs w:val="24"/>
          <w:shd w:val="clear" w:color="auto" w:fill="FFFFFF"/>
        </w:rPr>
        <w:t xml:space="preserve">"The Effect of Financial Development on Human Development in Selected Development Countries Using GMM Method." </w:t>
      </w:r>
      <w:r>
        <w:rPr>
          <w:rFonts w:ascii="Times New Roman" w:hAnsi="Times New Roman" w:eastAsia="Calibri"/>
          <w:b/>
          <w:bCs/>
          <w:sz w:val="24"/>
          <w:szCs w:val="24"/>
          <w:shd w:val="clear" w:color="auto" w:fill="FFFFFF"/>
        </w:rPr>
        <w:t>Journal of System Management (JSM),</w:t>
      </w:r>
      <w:r>
        <w:rPr>
          <w:rFonts w:ascii="Times New Roman" w:hAnsi="Times New Roman" w:eastAsia="Calibri"/>
          <w:sz w:val="24"/>
          <w:szCs w:val="24"/>
          <w:shd w:val="clear" w:color="auto" w:fill="FFFFFF"/>
        </w:rPr>
        <w:t xml:space="preserve"> 9(2), 2023.</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38</w:t>
      </w:r>
      <w:r>
        <w:rPr>
          <w:rFonts w:ascii="Times New Roman" w:hAnsi="Times New Roman" w:eastAsia="Calibri"/>
          <w:sz w:val="24"/>
          <w:szCs w:val="24"/>
          <w:shd w:val="clear" w:color="auto" w:fill="FFFFFF"/>
        </w:rPr>
        <w:t xml:space="preserve">S. Hao, et al. </w:t>
      </w:r>
      <w:r>
        <w:rPr>
          <w:rFonts w:ascii="Times New Roman" w:hAnsi="Times New Roman" w:eastAsia="Calibri"/>
          <w:i/>
          <w:iCs/>
          <w:sz w:val="24"/>
          <w:szCs w:val="24"/>
          <w:shd w:val="clear" w:color="auto" w:fill="FFFFFF"/>
        </w:rPr>
        <w:t>"Effects of remittances on life expectancy and under-five mortality in sub-Saharan Africa: Evidence using Generalized Method of Moments analysis."</w:t>
      </w:r>
      <w:r>
        <w:rPr>
          <w:rFonts w:ascii="Times New Roman" w:hAnsi="Times New Roman" w:eastAsia="Calibri"/>
          <w:sz w:val="24"/>
          <w:szCs w:val="24"/>
          <w:shd w:val="clear" w:color="auto" w:fill="FFFFFF"/>
        </w:rPr>
        <w:t> </w:t>
      </w:r>
      <w:r>
        <w:rPr>
          <w:rFonts w:ascii="Times New Roman" w:hAnsi="Times New Roman" w:eastAsia="Calibri"/>
          <w:b/>
          <w:bCs/>
          <w:sz w:val="24"/>
          <w:szCs w:val="24"/>
          <w:shd w:val="clear" w:color="auto" w:fill="FFFFFF"/>
        </w:rPr>
        <w:t>African Journal of Reproductive Health,</w:t>
      </w:r>
      <w:r>
        <w:rPr>
          <w:rFonts w:ascii="Times New Roman" w:hAnsi="Times New Roman" w:eastAsia="Calibri"/>
          <w:sz w:val="24"/>
          <w:szCs w:val="24"/>
          <w:shd w:val="clear" w:color="auto" w:fill="FFFFFF"/>
        </w:rPr>
        <w:t> 27(10), 2023.</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39</w:t>
      </w:r>
      <w:r>
        <w:rPr>
          <w:rFonts w:ascii="Times New Roman" w:hAnsi="Times New Roman" w:eastAsia="Calibri"/>
          <w:sz w:val="24"/>
          <w:szCs w:val="24"/>
          <w:shd w:val="clear" w:color="auto" w:fill="FFFFFF"/>
        </w:rPr>
        <w:t xml:space="preserve">E. Öncü, &amp; K. Ergun. </w:t>
      </w:r>
      <w:r>
        <w:rPr>
          <w:rFonts w:ascii="Times New Roman" w:hAnsi="Times New Roman" w:eastAsia="Calibri"/>
          <w:i/>
          <w:iCs/>
          <w:sz w:val="24"/>
          <w:szCs w:val="24"/>
          <w:shd w:val="clear" w:color="auto" w:fill="FFFFFF"/>
        </w:rPr>
        <w:t xml:space="preserve">"Researching the Relationship Between Health and Financial Development: Case of Low-Income African Countries." </w:t>
      </w:r>
      <w:r>
        <w:rPr>
          <w:rFonts w:ascii="Times New Roman" w:hAnsi="Times New Roman" w:eastAsia="Calibri"/>
          <w:b/>
          <w:bCs/>
          <w:i/>
          <w:iCs/>
          <w:sz w:val="24"/>
          <w:szCs w:val="24"/>
          <w:shd w:val="clear" w:color="auto" w:fill="FFFFFF"/>
        </w:rPr>
        <w:t>Journal of Economics and Business Issues,</w:t>
      </w:r>
      <w:r>
        <w:rPr>
          <w:rFonts w:ascii="Times New Roman" w:hAnsi="Times New Roman" w:eastAsia="Calibri"/>
          <w:sz w:val="24"/>
          <w:szCs w:val="24"/>
          <w:shd w:val="clear" w:color="auto" w:fill="FFFFFF"/>
        </w:rPr>
        <w:t xml:space="preserve"> 3(1), 2023, 51-57.</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40</w:t>
      </w:r>
      <w:r>
        <w:rPr>
          <w:rFonts w:ascii="Times New Roman" w:hAnsi="Times New Roman" w:eastAsia="Calibri"/>
          <w:sz w:val="24"/>
          <w:szCs w:val="24"/>
          <w:shd w:val="clear" w:color="auto" w:fill="FFFFFF"/>
        </w:rPr>
        <w:t xml:space="preserve">W. Arafat, et al. </w:t>
      </w:r>
      <w:r>
        <w:rPr>
          <w:rFonts w:ascii="Times New Roman" w:hAnsi="Times New Roman" w:eastAsia="Calibri"/>
          <w:i/>
          <w:iCs/>
          <w:sz w:val="24"/>
          <w:szCs w:val="24"/>
          <w:shd w:val="clear" w:color="auto" w:fill="FFFFFF"/>
        </w:rPr>
        <w:t xml:space="preserve">“The causal nexus among energy consumption, environmental degradation, financial development and health outcome: empirical study for Pakistan.” </w:t>
      </w:r>
      <w:r>
        <w:rPr>
          <w:rFonts w:ascii="Times New Roman" w:hAnsi="Times New Roman" w:eastAsia="Calibri"/>
          <w:b/>
          <w:bCs/>
          <w:sz w:val="24"/>
          <w:szCs w:val="24"/>
          <w:shd w:val="clear" w:color="auto" w:fill="FFFFFF"/>
        </w:rPr>
        <w:t>Energies</w:t>
      </w:r>
      <w:r>
        <w:rPr>
          <w:rFonts w:ascii="Times New Roman" w:hAnsi="Times New Roman" w:eastAsia="Calibri"/>
          <w:sz w:val="24"/>
          <w:szCs w:val="24"/>
          <w:shd w:val="clear" w:color="auto" w:fill="FFFFFF"/>
        </w:rPr>
        <w:t xml:space="preserve">, 15(5), 2022, 1859. </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41</w:t>
      </w:r>
      <w:r>
        <w:rPr>
          <w:rFonts w:ascii="Times New Roman" w:hAnsi="Times New Roman" w:eastAsia="Calibri"/>
          <w:sz w:val="24"/>
          <w:szCs w:val="24"/>
          <w:shd w:val="clear" w:color="auto" w:fill="FFFFFF"/>
        </w:rPr>
        <w:t xml:space="preserve">S. Alam, et al. </w:t>
      </w:r>
      <w:r>
        <w:rPr>
          <w:rFonts w:ascii="Times New Roman" w:hAnsi="Times New Roman" w:eastAsia="Calibri"/>
          <w:i/>
          <w:iCs/>
          <w:sz w:val="24"/>
          <w:szCs w:val="24"/>
          <w:shd w:val="clear" w:color="auto" w:fill="FFFFFF"/>
        </w:rPr>
        <w:t xml:space="preserve">“Rapid rise of life expectancy in Bangladesh: does financial development matter?” </w:t>
      </w:r>
      <w:r>
        <w:rPr>
          <w:rFonts w:ascii="Times New Roman" w:hAnsi="Times New Roman" w:eastAsia="Calibri"/>
          <w:b/>
          <w:bCs/>
          <w:sz w:val="24"/>
          <w:szCs w:val="24"/>
          <w:shd w:val="clear" w:color="auto" w:fill="FFFFFF"/>
        </w:rPr>
        <w:t>International Journal of Finance &amp; Economics,</w:t>
      </w:r>
      <w:r>
        <w:rPr>
          <w:rFonts w:ascii="Times New Roman" w:hAnsi="Times New Roman" w:eastAsia="Calibri"/>
          <w:sz w:val="24"/>
          <w:szCs w:val="24"/>
          <w:shd w:val="clear" w:color="auto" w:fill="FFFFFF"/>
        </w:rPr>
        <w:t xml:space="preserve"> 26(4), 2020, 4918-4931.</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vertAlign w:val="superscript"/>
        </w:rPr>
        <w:t>42</w:t>
      </w:r>
      <w:r>
        <w:rPr>
          <w:rFonts w:ascii="Times New Roman" w:hAnsi="Times New Roman" w:eastAsia="Calibri"/>
          <w:sz w:val="24"/>
          <w:szCs w:val="24"/>
        </w:rPr>
        <w:t xml:space="preserve">J. Chireshe, &amp; M. Ocran. </w:t>
      </w:r>
      <w:r>
        <w:rPr>
          <w:rFonts w:ascii="Times New Roman" w:hAnsi="Times New Roman" w:eastAsia="Calibri"/>
          <w:i/>
          <w:iCs/>
          <w:sz w:val="24"/>
          <w:szCs w:val="24"/>
        </w:rPr>
        <w:t xml:space="preserve">“Financial development and health care expenditure in sub Saharan Africa countries”. </w:t>
      </w:r>
      <w:r>
        <w:rPr>
          <w:rFonts w:ascii="Times New Roman" w:hAnsi="Times New Roman" w:eastAsia="Calibri"/>
          <w:b/>
          <w:bCs/>
          <w:sz w:val="24"/>
          <w:szCs w:val="24"/>
        </w:rPr>
        <w:t>Cogent Economics &amp; Finance</w:t>
      </w:r>
      <w:r>
        <w:rPr>
          <w:rFonts w:ascii="Times New Roman" w:hAnsi="Times New Roman" w:eastAsia="Calibri"/>
          <w:sz w:val="24"/>
          <w:szCs w:val="24"/>
        </w:rPr>
        <w:t>, 8(1), 2020, 1771878. https://doi.org/10.1080/23322039.2020.1771878</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43</w:t>
      </w:r>
      <w:r>
        <w:rPr>
          <w:rFonts w:ascii="Times New Roman" w:hAnsi="Times New Roman" w:eastAsia="Calibri"/>
          <w:sz w:val="24"/>
          <w:szCs w:val="24"/>
          <w:shd w:val="clear" w:color="auto" w:fill="FFFFFF"/>
        </w:rPr>
        <w:t xml:space="preserve">C. F. Tang, &amp; S. Abosedra. </w:t>
      </w:r>
      <w:r>
        <w:rPr>
          <w:rFonts w:ascii="Times New Roman" w:hAnsi="Times New Roman" w:eastAsia="Calibri"/>
          <w:i/>
          <w:iCs/>
          <w:sz w:val="24"/>
          <w:szCs w:val="24"/>
          <w:shd w:val="clear" w:color="auto" w:fill="FFFFFF"/>
        </w:rPr>
        <w:t xml:space="preserve">"Does financial development moderate the effects on growth volatility? The experience of Malaysia." Margin: </w:t>
      </w:r>
      <w:r>
        <w:rPr>
          <w:rFonts w:ascii="Times New Roman" w:hAnsi="Times New Roman" w:eastAsia="Calibri"/>
          <w:b/>
          <w:bCs/>
          <w:sz w:val="24"/>
          <w:szCs w:val="24"/>
          <w:shd w:val="clear" w:color="auto" w:fill="FFFFFF"/>
        </w:rPr>
        <w:t>The Journal of Applied Economic Research,</w:t>
      </w:r>
      <w:r>
        <w:rPr>
          <w:rFonts w:ascii="Times New Roman" w:hAnsi="Times New Roman" w:eastAsia="Calibri"/>
          <w:sz w:val="24"/>
          <w:szCs w:val="24"/>
          <w:shd w:val="clear" w:color="auto" w:fill="FFFFFF"/>
        </w:rPr>
        <w:t xml:space="preserve"> 14(4), 2020, 361-381.</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44</w:t>
      </w:r>
      <w:r>
        <w:rPr>
          <w:rFonts w:ascii="Times New Roman" w:hAnsi="Times New Roman" w:eastAsia="Calibri"/>
          <w:sz w:val="24"/>
          <w:szCs w:val="24"/>
          <w:shd w:val="clear" w:color="auto" w:fill="FFFFFF"/>
        </w:rPr>
        <w:t xml:space="preserve">T. S Akintunde, &amp;O. D. Olaniran. </w:t>
      </w:r>
      <w:r>
        <w:rPr>
          <w:rFonts w:ascii="Times New Roman" w:hAnsi="Times New Roman" w:eastAsia="Calibri"/>
          <w:i/>
          <w:iCs/>
          <w:sz w:val="24"/>
          <w:szCs w:val="24"/>
          <w:shd w:val="clear" w:color="auto" w:fill="FFFFFF"/>
        </w:rPr>
        <w:t>"Financial development, public health expenditure and health outcomes: Evidence from Nigeria.</w:t>
      </w:r>
      <w:r>
        <w:rPr>
          <w:rFonts w:ascii="Times New Roman" w:hAnsi="Times New Roman" w:eastAsia="Calibri"/>
          <w:sz w:val="24"/>
          <w:szCs w:val="24"/>
          <w:shd w:val="clear" w:color="auto" w:fill="FFFFFF"/>
        </w:rPr>
        <w:t xml:space="preserve">" </w:t>
      </w:r>
      <w:r>
        <w:rPr>
          <w:rFonts w:ascii="Times New Roman" w:hAnsi="Times New Roman" w:eastAsia="Calibri"/>
          <w:b/>
          <w:bCs/>
          <w:sz w:val="24"/>
          <w:szCs w:val="24"/>
          <w:shd w:val="clear" w:color="auto" w:fill="FFFFFF"/>
        </w:rPr>
        <w:t>Journal of Economics and Allied Research,</w:t>
      </w:r>
      <w:r>
        <w:rPr>
          <w:rFonts w:ascii="Times New Roman" w:hAnsi="Times New Roman" w:eastAsia="Calibri"/>
          <w:sz w:val="24"/>
          <w:szCs w:val="24"/>
          <w:shd w:val="clear" w:color="auto" w:fill="FFFFFF"/>
        </w:rPr>
        <w:t xml:space="preserve"> 7(1), 2022, 13-24.</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45</w:t>
      </w:r>
      <w:r>
        <w:rPr>
          <w:rFonts w:ascii="Times New Roman" w:hAnsi="Times New Roman" w:eastAsia="Calibri"/>
          <w:sz w:val="24"/>
          <w:szCs w:val="24"/>
          <w:shd w:val="clear" w:color="auto" w:fill="FFFFFF"/>
        </w:rPr>
        <w:t xml:space="preserve">A. M. Oluwaseun. </w:t>
      </w:r>
      <w:r>
        <w:rPr>
          <w:rFonts w:ascii="Times New Roman" w:hAnsi="Times New Roman" w:eastAsia="Calibri"/>
          <w:i/>
          <w:iCs/>
          <w:sz w:val="24"/>
          <w:szCs w:val="24"/>
          <w:shd w:val="clear" w:color="auto" w:fill="FFFFFF"/>
        </w:rPr>
        <w:t xml:space="preserve">"Public Health Expenditure and Infant Mortality Rate in Nigeria." </w:t>
      </w:r>
      <w:r>
        <w:rPr>
          <w:rFonts w:ascii="Times New Roman" w:hAnsi="Times New Roman" w:eastAsia="Calibri"/>
          <w:b/>
          <w:bCs/>
          <w:i/>
          <w:iCs/>
          <w:sz w:val="24"/>
          <w:szCs w:val="24"/>
          <w:shd w:val="clear" w:color="auto" w:fill="FFFFFF"/>
        </w:rPr>
        <w:t>Acta Economica,</w:t>
      </w:r>
      <w:r>
        <w:rPr>
          <w:rFonts w:ascii="Times New Roman" w:hAnsi="Times New Roman" w:eastAsia="Calibri"/>
          <w:sz w:val="24"/>
          <w:szCs w:val="24"/>
          <w:shd w:val="clear" w:color="auto" w:fill="FFFFFF"/>
        </w:rPr>
        <w:t xml:space="preserve"> 18(33), 2020, 79-96.</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vertAlign w:val="superscript"/>
        </w:rPr>
        <w:t>46</w:t>
      </w:r>
      <w:r>
        <w:rPr>
          <w:rFonts w:ascii="Times New Roman" w:hAnsi="Times New Roman" w:eastAsia="Calibri"/>
          <w:sz w:val="24"/>
          <w:szCs w:val="24"/>
        </w:rPr>
        <w:t xml:space="preserve">I. Eboh, E. Aduku, &amp;U. Onwughalu. </w:t>
      </w:r>
      <w:r>
        <w:rPr>
          <w:rFonts w:ascii="Times New Roman" w:hAnsi="Times New Roman" w:eastAsia="Calibri"/>
          <w:i/>
          <w:iCs/>
          <w:sz w:val="24"/>
          <w:szCs w:val="24"/>
        </w:rPr>
        <w:t xml:space="preserve">“Health expenditure, child mortality and economic growth in Nigeria.” </w:t>
      </w:r>
      <w:r>
        <w:rPr>
          <w:rFonts w:ascii="Times New Roman" w:hAnsi="Times New Roman" w:eastAsia="Calibri"/>
          <w:b/>
          <w:bCs/>
          <w:sz w:val="24"/>
          <w:szCs w:val="24"/>
        </w:rPr>
        <w:t>International Journal of Economics Development Research</w:t>
      </w:r>
      <w:r>
        <w:rPr>
          <w:rFonts w:ascii="Times New Roman" w:hAnsi="Times New Roman" w:eastAsia="Calibri"/>
          <w:sz w:val="24"/>
          <w:szCs w:val="24"/>
        </w:rPr>
        <w:t xml:space="preserve">, 3(3), 2022, 198-216. </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47</w:t>
      </w:r>
      <w:r>
        <w:rPr>
          <w:rFonts w:ascii="Times New Roman" w:hAnsi="Times New Roman" w:eastAsia="Calibri"/>
          <w:sz w:val="24"/>
          <w:szCs w:val="24"/>
          <w:shd w:val="clear" w:color="auto" w:fill="FFFFFF"/>
        </w:rPr>
        <w:t xml:space="preserve">D. Azuh, et, al. </w:t>
      </w:r>
      <w:r>
        <w:rPr>
          <w:rFonts w:ascii="Times New Roman" w:hAnsi="Times New Roman" w:eastAsia="Calibri"/>
          <w:i/>
          <w:iCs/>
          <w:sz w:val="24"/>
          <w:szCs w:val="24"/>
          <w:shd w:val="clear" w:color="auto" w:fill="FFFFFF"/>
        </w:rPr>
        <w:t xml:space="preserve">“Public health expenditure and under-five mortality in Nigeria: an overview for policy intervention.” </w:t>
      </w:r>
      <w:r>
        <w:rPr>
          <w:rFonts w:ascii="Times New Roman" w:hAnsi="Times New Roman" w:eastAsia="Calibri"/>
          <w:b/>
          <w:bCs/>
          <w:sz w:val="24"/>
          <w:szCs w:val="24"/>
          <w:shd w:val="clear" w:color="auto" w:fill="FFFFFF"/>
        </w:rPr>
        <w:t>Open Access Macedonian Journal of Medical Sciences</w:t>
      </w:r>
      <w:r>
        <w:rPr>
          <w:rFonts w:ascii="Times New Roman" w:hAnsi="Times New Roman" w:eastAsia="Calibri"/>
          <w:sz w:val="24"/>
          <w:szCs w:val="24"/>
          <w:shd w:val="clear" w:color="auto" w:fill="FFFFFF"/>
        </w:rPr>
        <w:t xml:space="preserve">, 8(E), 2020, 353-362. </w:t>
      </w:r>
    </w:p>
    <w:p>
      <w:pPr>
        <w:pStyle w:val="14"/>
        <w:spacing w:before="100" w:beforeAutospacing="1"/>
        <w:ind w:left="360"/>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vertAlign w:val="superscript"/>
        </w:rPr>
        <w:t>48</w:t>
      </w:r>
      <w:r>
        <w:rPr>
          <w:rFonts w:ascii="Times New Roman" w:hAnsi="Times New Roman" w:eastAsia="Calibri"/>
          <w:sz w:val="24"/>
          <w:szCs w:val="24"/>
          <w:shd w:val="clear" w:color="auto" w:fill="FFFFFF"/>
        </w:rPr>
        <w:t xml:space="preserve">A. E. Kehinde, &amp; T. S. Akintunde. </w:t>
      </w:r>
      <w:r>
        <w:rPr>
          <w:rFonts w:ascii="Times New Roman" w:hAnsi="Times New Roman" w:eastAsia="Calibri"/>
          <w:i/>
          <w:iCs/>
          <w:sz w:val="24"/>
          <w:szCs w:val="24"/>
          <w:shd w:val="clear" w:color="auto" w:fill="FFFFFF"/>
        </w:rPr>
        <w:t xml:space="preserve">"The Impact of Health Shocks On Poverty Level In Nigeria." </w:t>
      </w:r>
      <w:r>
        <w:rPr>
          <w:rFonts w:ascii="Times New Roman" w:hAnsi="Times New Roman" w:eastAsia="Calibri"/>
          <w:b/>
          <w:bCs/>
          <w:sz w:val="24"/>
          <w:szCs w:val="24"/>
          <w:shd w:val="clear" w:color="auto" w:fill="FFFFFF"/>
        </w:rPr>
        <w:t>Journal of Economics and Allied Research,</w:t>
      </w:r>
      <w:r>
        <w:rPr>
          <w:rFonts w:ascii="Times New Roman" w:hAnsi="Times New Roman" w:eastAsia="Calibri"/>
          <w:sz w:val="24"/>
          <w:szCs w:val="24"/>
          <w:shd w:val="clear" w:color="auto" w:fill="FFFFFF"/>
        </w:rPr>
        <w:t xml:space="preserve"> 4(4), 2020, 98-110.</w:t>
      </w:r>
    </w:p>
    <w:p>
      <w:pPr>
        <w:pStyle w:val="14"/>
        <w:spacing w:before="100" w:beforeAutospacing="1"/>
        <w:ind w:left="360"/>
        <w:jc w:val="both"/>
        <w:rPr>
          <w:rFonts w:ascii="Times New Roman" w:hAnsi="Times New Roman" w:eastAsia="Calibri"/>
          <w:sz w:val="24"/>
          <w:szCs w:val="24"/>
        </w:rPr>
      </w:pPr>
      <w:r>
        <w:rPr>
          <w:rFonts w:ascii="Times New Roman" w:hAnsi="Times New Roman" w:eastAsia="Calibri"/>
          <w:sz w:val="24"/>
          <w:szCs w:val="24"/>
          <w:shd w:val="clear" w:color="auto" w:fill="FFFFFF"/>
          <w:vertAlign w:val="superscript"/>
        </w:rPr>
        <w:t>49</w:t>
      </w:r>
      <w:r>
        <w:rPr>
          <w:rFonts w:ascii="Times New Roman" w:hAnsi="Times New Roman" w:eastAsia="Calibri"/>
          <w:sz w:val="24"/>
          <w:szCs w:val="24"/>
          <w:shd w:val="clear" w:color="auto" w:fill="FFFFFF"/>
        </w:rPr>
        <w:t xml:space="preserve">T. E. Oforegbunam&amp; D. S. Chigozie. </w:t>
      </w:r>
      <w:r>
        <w:rPr>
          <w:rFonts w:ascii="Times New Roman" w:hAnsi="Times New Roman" w:eastAsia="Calibri"/>
          <w:i/>
          <w:iCs/>
          <w:sz w:val="24"/>
          <w:szCs w:val="24"/>
          <w:shd w:val="clear" w:color="auto" w:fill="FFFFFF"/>
        </w:rPr>
        <w:t xml:space="preserve">"Financial system development and economic growth: Evidence from Nigeria." </w:t>
      </w:r>
      <w:r>
        <w:rPr>
          <w:rFonts w:ascii="Times New Roman" w:hAnsi="Times New Roman" w:eastAsia="Calibri"/>
          <w:b/>
          <w:bCs/>
          <w:sz w:val="24"/>
          <w:szCs w:val="24"/>
          <w:shd w:val="clear" w:color="auto" w:fill="FFFFFF"/>
        </w:rPr>
        <w:t>American Journal of Economics, Finance, and Management,</w:t>
      </w:r>
      <w:r>
        <w:rPr>
          <w:rFonts w:ascii="Times New Roman" w:hAnsi="Times New Roman" w:eastAsia="Calibri"/>
          <w:sz w:val="24"/>
          <w:szCs w:val="24"/>
          <w:shd w:val="clear" w:color="auto" w:fill="FFFFFF"/>
        </w:rPr>
        <w:t xml:space="preserve"> 1(5), 2015, 329-335.</w:t>
      </w:r>
    </w:p>
    <w:bookmarkEnd w:id="1"/>
    <w:p>
      <w:pPr>
        <w:spacing w:after="0" w:line="240" w:lineRule="auto"/>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rPr>
        <w:br w:type="page"/>
      </w:r>
    </w:p>
    <w:p>
      <w:pPr>
        <w:spacing w:after="120" w:line="480" w:lineRule="auto"/>
        <w:jc w:val="center"/>
        <w:rPr>
          <w:rFonts w:ascii="Times New Roman" w:hAnsi="Times New Roman" w:cs="Times New Roman"/>
          <w:b/>
          <w:sz w:val="24"/>
          <w:szCs w:val="24"/>
        </w:rPr>
      </w:pPr>
      <w:r>
        <w:rPr>
          <w:rFonts w:ascii="Times New Roman" w:hAnsi="Times New Roman" w:cs="Times New Roman"/>
          <w:b/>
          <w:sz w:val="24"/>
          <w:szCs w:val="24"/>
        </w:rPr>
        <w:t>Chapter Three</w:t>
      </w:r>
    </w:p>
    <w:p>
      <w:pPr>
        <w:spacing w:after="120" w:line="480" w:lineRule="auto"/>
        <w:jc w:val="center"/>
        <w:rPr>
          <w:rFonts w:ascii="Times New Roman" w:hAnsi="Times New Roman" w:cs="Times New Roman"/>
          <w:b/>
          <w:sz w:val="24"/>
          <w:szCs w:val="24"/>
        </w:rPr>
      </w:pPr>
      <w:r>
        <w:rPr>
          <w:rFonts w:ascii="Times New Roman" w:hAnsi="Times New Roman" w:cs="Times New Roman"/>
          <w:b/>
          <w:sz w:val="24"/>
          <w:szCs w:val="24"/>
        </w:rPr>
        <w:t>Methodology</w:t>
      </w:r>
    </w:p>
    <w:p>
      <w:pPr>
        <w:spacing w:after="120" w:line="480" w:lineRule="auto"/>
        <w:rPr>
          <w:rFonts w:ascii="Times New Roman" w:hAnsi="Times New Roman" w:eastAsia="Times New Roman" w:cs="Times New Roman"/>
          <w:sz w:val="24"/>
          <w:szCs w:val="24"/>
        </w:rPr>
      </w:pPr>
      <w:r>
        <w:rPr>
          <w:rFonts w:ascii="Times New Roman" w:hAnsi="Times New Roman" w:eastAsia="Times New Roman" w:cs="Times New Roman"/>
          <w:b/>
          <w:sz w:val="24"/>
          <w:szCs w:val="24"/>
        </w:rPr>
        <w:t>3.1</w:t>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Model Specification</w:t>
      </w:r>
    </w:p>
    <w:p>
      <w:pPr>
        <w:spacing w:after="120" w:line="480" w:lineRule="auto"/>
        <w:ind w:left="709" w:hanging="709"/>
        <w:jc w:val="both"/>
        <w:rPr>
          <w:rFonts w:ascii="Times New Roman" w:hAnsi="Times New Roman" w:eastAsia="Times New Roman" w:cs="Times New Roman"/>
          <w:sz w:val="24"/>
          <w:szCs w:val="24"/>
        </w:rPr>
      </w:pPr>
      <w:r>
        <w:rPr>
          <w:rFonts w:ascii="Times New Roman" w:hAnsi="Times New Roman" w:eastAsia="Times New Roman" w:cs="Times New Roman"/>
          <w:b/>
          <w:sz w:val="24"/>
          <w:szCs w:val="24"/>
        </w:rPr>
        <w:t>3.1.1</w:t>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Model Estimating the Effects of Money Market Development o</w:t>
      </w:r>
      <w:r>
        <w:rPr>
          <w:rFonts w:ascii="Times New Roman" w:hAnsi="Times New Roman" w:cs="Times New Roman"/>
          <w:b/>
          <w:sz w:val="24"/>
          <w:szCs w:val="24"/>
        </w:rPr>
        <w:t>n Health Outcomes</w:t>
      </w:r>
    </w:p>
    <w:p>
      <w:pPr>
        <w:spacing w:after="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Following the theoretical framework development in the last section of chapter two, the study adapts and modifies the model of previous studies to investigate the impact of money market development measure by monetary policy rate, treasury bill rate and 12-months deposit rate on human health outcome measured by life expectancy and child mortality in Nigeria</w:t>
      </w:r>
      <w:r>
        <w:rPr>
          <w:rFonts w:ascii="Times New Roman" w:hAnsi="Times New Roman" w:eastAsia="Times New Roman" w:cs="Times New Roman"/>
          <w:sz w:val="24"/>
          <w:szCs w:val="24"/>
          <w:vertAlign w:val="superscript"/>
        </w:rPr>
        <w:t>1,2,3,4,5,6</w:t>
      </w:r>
      <w:r>
        <w:rPr>
          <w:rFonts w:ascii="Times New Roman" w:hAnsi="Times New Roman" w:eastAsia="Times New Roman" w:cs="Times New Roman"/>
          <w:sz w:val="24"/>
          <w:szCs w:val="24"/>
        </w:rPr>
        <w:t>. The model specifies health outcomes (</w:t>
      </w:r>
      <w:r>
        <w:rPr>
          <w:rFonts w:ascii="Times New Roman" w:hAnsi="Times New Roman" w:eastAsia="Times New Roman" w:cs="Times New Roman"/>
          <w:i/>
          <w:sz w:val="24"/>
          <w:szCs w:val="24"/>
        </w:rPr>
        <w:t>hout</w:t>
      </w:r>
      <w:r>
        <w:rPr>
          <w:rFonts w:ascii="Times New Roman" w:hAnsi="Times New Roman" w:eastAsia="Times New Roman" w:cs="Times New Roman"/>
          <w:sz w:val="24"/>
          <w:szCs w:val="24"/>
        </w:rPr>
        <w:t>) as a function of money market development (</w:t>
      </w:r>
      <w:r>
        <w:rPr>
          <w:rFonts w:ascii="Times New Roman" w:hAnsi="Times New Roman" w:eastAsia="Times New Roman" w:cs="Times New Roman"/>
          <w:i/>
          <w:sz w:val="24"/>
          <w:szCs w:val="24"/>
        </w:rPr>
        <w:t>mmd</w:t>
      </w:r>
      <w:r>
        <w:rPr>
          <w:rFonts w:ascii="Times New Roman" w:hAnsi="Times New Roman" w:eastAsia="Times New Roman" w:cs="Times New Roman"/>
          <w:sz w:val="24"/>
          <w:szCs w:val="24"/>
        </w:rPr>
        <w:t>),gross fixed capital formation (</w:t>
      </w:r>
      <w:r>
        <w:rPr>
          <w:rFonts w:ascii="Times New Roman" w:hAnsi="Times New Roman" w:eastAsia="Times New Roman" w:cs="Times New Roman"/>
          <w:i/>
          <w:sz w:val="24"/>
          <w:szCs w:val="24"/>
        </w:rPr>
        <w:t>gfcf</w:t>
      </w:r>
      <w:r>
        <w:rPr>
          <w:rFonts w:ascii="Times New Roman" w:hAnsi="Times New Roman" w:eastAsia="Times New Roman" w:cs="Times New Roman"/>
          <w:sz w:val="24"/>
          <w:szCs w:val="24"/>
        </w:rPr>
        <w:t>), trade openness (</w:t>
      </w:r>
      <w:r>
        <w:rPr>
          <w:rFonts w:ascii="Times New Roman" w:hAnsi="Times New Roman" w:eastAsia="Times New Roman" w:cs="Times New Roman"/>
          <w:i/>
          <w:sz w:val="24"/>
          <w:szCs w:val="24"/>
        </w:rPr>
        <w:t>topen</w:t>
      </w:r>
      <w:r>
        <w:rPr>
          <w:rFonts w:ascii="Times New Roman" w:hAnsi="Times New Roman" w:eastAsia="Times New Roman" w:cs="Times New Roman"/>
          <w:sz w:val="24"/>
          <w:szCs w:val="24"/>
        </w:rPr>
        <w:t>) and inflation (</w:t>
      </w:r>
      <w:r>
        <w:rPr>
          <w:rFonts w:ascii="Times New Roman" w:hAnsi="Times New Roman" w:eastAsia="Times New Roman" w:cs="Times New Roman"/>
          <w:i/>
          <w:sz w:val="24"/>
          <w:szCs w:val="24"/>
        </w:rPr>
        <w:t>inf</w:t>
      </w:r>
      <w:r>
        <w:rPr>
          <w:rFonts w:ascii="Times New Roman" w:hAnsi="Times New Roman" w:eastAsia="Times New Roman" w:cs="Times New Roman"/>
          <w:sz w:val="24"/>
          <w:szCs w:val="24"/>
        </w:rPr>
        <w:t>). Consequently, the model is stated functionally as:</w:t>
      </w:r>
    </w:p>
    <w:p>
      <w:pPr>
        <w:spacing w:after="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position w:val="-12"/>
          <w:sz w:val="24"/>
          <w:szCs w:val="24"/>
        </w:rPr>
        <w:object>
          <v:shape id="_x0000_i1027" o:spt="75" type="#_x0000_t75" style="height:18.75pt;width:197.25pt;" o:ole="t" filled="f" o:preferrelative="t" stroked="f" coordsize="21600,21600">
            <v:path/>
            <v:fill on="f" focussize="0,0"/>
            <v:stroke on="f" joinstyle="miter"/>
            <v:imagedata r:id="rId15" o:title=""/>
            <o:lock v:ext="edit" aspectratio="t"/>
            <w10:wrap type="none"/>
            <w10:anchorlock/>
          </v:shape>
          <o:OLEObject Type="Embed" ProgID="Equation.3" ShapeID="_x0000_i1027" DrawAspect="Content" ObjectID="_1468075727" r:id="rId14">
            <o:LockedField>false</o:LockedField>
          </o:OLEObject>
        </w:objec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(3.1)</w:t>
      </w:r>
    </w:p>
    <w:p>
      <w:pPr>
        <w:spacing w:after="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In mathematical form, it becomes:</w:t>
      </w:r>
    </w:p>
    <w:p>
      <w:pPr>
        <w:spacing w:after="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position w:val="-12"/>
          <w:sz w:val="24"/>
          <w:szCs w:val="24"/>
        </w:rPr>
        <w:object>
          <v:shape id="_x0000_i1028" o:spt="75" type="#_x0000_t75" style="height:18.75pt;width:296.25pt;" o:ole="t" filled="f" o:preferrelative="t" stroked="f" coordsize="21600,21600">
            <v:path/>
            <v:fill on="f" focussize="0,0"/>
            <v:stroke on="f" joinstyle="miter"/>
            <v:imagedata r:id="rId17" o:title=""/>
            <o:lock v:ext="edit" aspectratio="t"/>
            <w10:wrap type="none"/>
            <w10:anchorlock/>
          </v:shape>
          <o:OLEObject Type="Embed" ProgID="Equation.3" ShapeID="_x0000_i1028" DrawAspect="Content" ObjectID="_1468075728" r:id="rId16">
            <o:LockedField>false</o:LockedField>
          </o:OLEObject>
        </w:objec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(3.2)</w:t>
      </w:r>
    </w:p>
    <w:p>
      <w:pPr>
        <w:spacing w:after="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Where: </w:t>
      </w:r>
      <w:r>
        <w:rPr>
          <w:rFonts w:ascii="Times New Roman" w:hAnsi="Times New Roman" w:eastAsia="Times New Roman" w:cs="Times New Roman"/>
          <w:i/>
          <w:sz w:val="24"/>
          <w:szCs w:val="24"/>
        </w:rPr>
        <w:t>hout</w:t>
      </w:r>
      <w:r>
        <w:rPr>
          <w:rFonts w:ascii="Times New Roman" w:hAnsi="Times New Roman" w:eastAsia="Times New Roman" w:cs="Times New Roman"/>
          <w:sz w:val="24"/>
          <w:szCs w:val="24"/>
        </w:rPr>
        <w:t xml:space="preserve"> is a vector of health outcomes measured by life expectancy and child mortality; </w:t>
      </w:r>
      <w:r>
        <w:rPr>
          <w:rFonts w:ascii="Times New Roman" w:hAnsi="Times New Roman" w:eastAsia="Times New Roman" w:cs="Times New Roman"/>
          <w:i/>
          <w:sz w:val="24"/>
          <w:szCs w:val="24"/>
        </w:rPr>
        <w:t>mmd</w:t>
      </w:r>
      <w:r>
        <w:rPr>
          <w:rFonts w:ascii="Times New Roman" w:hAnsi="Times New Roman" w:eastAsia="Times New Roman" w:cs="Times New Roman"/>
          <w:sz w:val="24"/>
          <w:szCs w:val="24"/>
        </w:rPr>
        <w:t xml:space="preserve"> represents a vector of money market development such as monetary policy rate (</w:t>
      </w:r>
      <w:r>
        <w:rPr>
          <w:rFonts w:ascii="Times New Roman" w:hAnsi="Times New Roman" w:eastAsia="Times New Roman" w:cs="Times New Roman"/>
          <w:i/>
          <w:sz w:val="24"/>
          <w:szCs w:val="24"/>
        </w:rPr>
        <w:t>mpr</w:t>
      </w:r>
      <w:r>
        <w:rPr>
          <w:rFonts w:ascii="Times New Roman" w:hAnsi="Times New Roman" w:eastAsia="Times New Roman" w:cs="Times New Roman"/>
          <w:sz w:val="24"/>
          <w:szCs w:val="24"/>
        </w:rPr>
        <w:t>), treasury bill rate (</w:t>
      </w:r>
      <w:r>
        <w:rPr>
          <w:rFonts w:ascii="Times New Roman" w:hAnsi="Times New Roman" w:eastAsia="Times New Roman" w:cs="Times New Roman"/>
          <w:i/>
          <w:sz w:val="24"/>
          <w:szCs w:val="24"/>
        </w:rPr>
        <w:t>tbr</w:t>
      </w:r>
      <w:r>
        <w:rPr>
          <w:rFonts w:ascii="Times New Roman" w:hAnsi="Times New Roman" w:eastAsia="Times New Roman" w:cs="Times New Roman"/>
          <w:sz w:val="24"/>
          <w:szCs w:val="24"/>
        </w:rPr>
        <w:t>) and 12-months deposit rate (</w:t>
      </w:r>
      <w:r>
        <w:rPr>
          <w:rFonts w:ascii="Times New Roman" w:hAnsi="Times New Roman" w:eastAsia="Times New Roman" w:cs="Times New Roman"/>
          <w:i/>
          <w:sz w:val="24"/>
          <w:szCs w:val="24"/>
        </w:rPr>
        <w:t>mdr</w:t>
      </w:r>
      <w:r>
        <w:rPr>
          <w:rFonts w:ascii="Times New Roman" w:hAnsi="Times New Roman" w:eastAsia="Times New Roman" w:cs="Times New Roman"/>
          <w:sz w:val="24"/>
          <w:szCs w:val="24"/>
        </w:rPr>
        <w:t xml:space="preserve">); </w:t>
      </w:r>
      <w:r>
        <w:rPr>
          <w:rFonts w:ascii="Times New Roman" w:hAnsi="Times New Roman" w:eastAsia="Times New Roman" w:cs="Times New Roman"/>
          <w:i/>
          <w:sz w:val="24"/>
          <w:szCs w:val="24"/>
        </w:rPr>
        <w:t>gfcf</w:t>
      </w:r>
      <w:r>
        <w:rPr>
          <w:rFonts w:ascii="Times New Roman" w:hAnsi="Times New Roman" w:eastAsia="Times New Roman" w:cs="Times New Roman"/>
          <w:sz w:val="24"/>
          <w:szCs w:val="24"/>
        </w:rPr>
        <w:t xml:space="preserve"> is gross fixed capital formation to GDP; </w:t>
      </w:r>
      <w:r>
        <w:rPr>
          <w:rFonts w:ascii="Times New Roman" w:hAnsi="Times New Roman" w:eastAsia="Times New Roman" w:cs="Times New Roman"/>
          <w:i/>
          <w:sz w:val="24"/>
          <w:szCs w:val="24"/>
        </w:rPr>
        <w:t xml:space="preserve">topen </w:t>
      </w:r>
      <w:r>
        <w:rPr>
          <w:rFonts w:ascii="Times New Roman" w:hAnsi="Times New Roman" w:eastAsia="Times New Roman" w:cs="Times New Roman"/>
          <w:sz w:val="24"/>
          <w:szCs w:val="24"/>
        </w:rPr>
        <w:t xml:space="preserve">represents trade openness measured by total trade to GDP; </w:t>
      </w:r>
      <w:r>
        <w:rPr>
          <w:rFonts w:ascii="Times New Roman" w:hAnsi="Times New Roman" w:eastAsia="Times New Roman" w:cs="Times New Roman"/>
          <w:i/>
          <w:sz w:val="24"/>
          <w:szCs w:val="24"/>
        </w:rPr>
        <w:t>inf</w:t>
      </w:r>
      <w:r>
        <w:rPr>
          <w:rFonts w:ascii="Times New Roman" w:hAnsi="Times New Roman" w:eastAsia="Times New Roman" w:cs="Times New Roman"/>
          <w:sz w:val="24"/>
          <w:szCs w:val="24"/>
        </w:rPr>
        <w:t xml:space="preserve"> denotes inflation;</w:t>
      </w:r>
      <w:r>
        <w:rPr>
          <w:rFonts w:ascii="Times New Roman" w:hAnsi="Times New Roman" w:cs="Times New Roman"/>
          <w:position w:val="-12"/>
          <w:sz w:val="24"/>
          <w:szCs w:val="24"/>
        </w:rPr>
        <w:object>
          <v:shape id="_x0000_i1029" o:spt="75" type="#_x0000_t75" style="height:18.75pt;width:47.25pt;" o:ole="t" filled="f" o:preferrelative="t" stroked="f" coordsize="21600,21600">
            <v:path/>
            <v:fill on="f" focussize="0,0"/>
            <v:stroke on="f" joinstyle="miter"/>
            <v:imagedata r:id="rId19" o:title=""/>
            <o:lock v:ext="edit" aspectratio="t"/>
            <w10:wrap type="none"/>
            <w10:anchorlock/>
          </v:shape>
          <o:OLEObject Type="Embed" ProgID="Equation.3" ShapeID="_x0000_i1029" DrawAspect="Content" ObjectID="_1468075729" r:id="rId18">
            <o:LockedField>false</o:LockedField>
          </o:OLEObject>
        </w:object>
      </w:r>
      <w:r>
        <w:rPr>
          <w:rFonts w:ascii="Times New Roman" w:hAnsi="Times New Roman" w:eastAsia="Times New Roman" w:cs="Times New Roman"/>
          <w:sz w:val="24"/>
          <w:szCs w:val="24"/>
        </w:rPr>
        <w:t xml:space="preserve">are parameters; </w:t>
      </w:r>
      <w:r>
        <w:rPr>
          <w:rFonts w:ascii="Times New Roman" w:hAnsi="Times New Roman" w:eastAsia="Times New Roman" w:cs="Times New Roman"/>
          <w:i/>
          <w:sz w:val="24"/>
          <w:szCs w:val="24"/>
        </w:rPr>
        <w:t>t</w:t>
      </w:r>
      <w:r>
        <w:rPr>
          <w:rFonts w:ascii="Times New Roman" w:hAnsi="Times New Roman" w:eastAsia="Times New Roman" w:cs="Times New Roman"/>
          <w:sz w:val="24"/>
          <w:szCs w:val="24"/>
        </w:rPr>
        <w:t xml:space="preserve"> is time; </w:t>
      </w:r>
      <w:r>
        <w:rPr>
          <w:rFonts w:ascii="Times New Roman" w:hAnsi="Times New Roman" w:cs="Times New Roman"/>
          <w:position w:val="-6"/>
          <w:sz w:val="24"/>
          <w:szCs w:val="24"/>
        </w:rPr>
        <w:object>
          <v:shape id="_x0000_i1030" o:spt="75" type="#_x0000_t75" style="height:12pt;width:8.25pt;" o:ole="t" filled="f" o:preferrelative="t" stroked="f" coordsize="21600,21600">
            <v:path/>
            <v:fill on="f" focussize="0,0"/>
            <v:stroke on="f" joinstyle="miter"/>
            <v:imagedata r:id="rId21" o:title=""/>
            <o:lock v:ext="edit" aspectratio="t"/>
            <w10:wrap type="none"/>
            <w10:anchorlock/>
          </v:shape>
          <o:OLEObject Type="Embed" ProgID="Equation.3" ShapeID="_x0000_i1030" DrawAspect="Content" ObjectID="_1468075730" r:id="rId20">
            <o:LockedField>false</o:LockedField>
          </o:OLEObject>
        </w:object>
      </w:r>
      <w:r>
        <w:rPr>
          <w:rFonts w:ascii="Times New Roman" w:hAnsi="Times New Roman" w:eastAsia="Times New Roman" w:cs="Times New Roman"/>
          <w:sz w:val="24"/>
          <w:szCs w:val="24"/>
        </w:rPr>
        <w:t xml:space="preserve"> is stochastic term.</w:t>
      </w:r>
    </w:p>
    <w:p>
      <w:pPr>
        <w:spacing w:after="120" w:line="48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br w:type="page"/>
      </w:r>
    </w:p>
    <w:p>
      <w:pPr>
        <w:spacing w:after="120" w:line="480" w:lineRule="auto"/>
        <w:ind w:left="720" w:hanging="720"/>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3.1.2</w:t>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Model Estimating the Role of Banking Sector Development i</w:t>
      </w:r>
      <w:r>
        <w:rPr>
          <w:rFonts w:ascii="Times New Roman" w:hAnsi="Times New Roman" w:cs="Times New Roman"/>
          <w:b/>
          <w:sz w:val="24"/>
          <w:szCs w:val="24"/>
        </w:rPr>
        <w:t>n Health Outcomes</w:t>
      </w:r>
    </w:p>
    <w:p>
      <w:pPr>
        <w:spacing w:after="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This study adapts and modifies the model of previous studies to examine the role of banking sector development in human health outcomes in Nigeria</w:t>
      </w:r>
      <w:r>
        <w:rPr>
          <w:rFonts w:ascii="Times New Roman" w:hAnsi="Times New Roman" w:eastAsia="Times New Roman" w:cs="Times New Roman"/>
          <w:sz w:val="24"/>
          <w:szCs w:val="24"/>
          <w:vertAlign w:val="superscript"/>
        </w:rPr>
        <w:t>1,2.7,8,9</w:t>
      </w:r>
      <w:r>
        <w:rPr>
          <w:rFonts w:ascii="Times New Roman" w:hAnsi="Times New Roman" w:eastAsia="Times New Roman" w:cs="Times New Roman"/>
          <w:sz w:val="24"/>
          <w:szCs w:val="24"/>
        </w:rPr>
        <w:t>. The model specifies human health outcomes measured by life expectancy and child mortality (</w:t>
      </w:r>
      <w:r>
        <w:rPr>
          <w:rFonts w:ascii="Times New Roman" w:hAnsi="Times New Roman" w:eastAsia="Times New Roman" w:cs="Times New Roman"/>
          <w:i/>
          <w:sz w:val="24"/>
          <w:szCs w:val="24"/>
        </w:rPr>
        <w:t>hout</w:t>
      </w:r>
      <w:r>
        <w:rPr>
          <w:rFonts w:ascii="Times New Roman" w:hAnsi="Times New Roman" w:eastAsia="Times New Roman" w:cs="Times New Roman"/>
          <w:sz w:val="24"/>
          <w:szCs w:val="24"/>
        </w:rPr>
        <w:t>) as a function of banking sector development (</w:t>
      </w:r>
      <w:r>
        <w:rPr>
          <w:rFonts w:ascii="Times New Roman" w:hAnsi="Times New Roman" w:eastAsia="Times New Roman" w:cs="Times New Roman"/>
          <w:i/>
          <w:sz w:val="24"/>
          <w:szCs w:val="24"/>
        </w:rPr>
        <w:t>bsd</w:t>
      </w:r>
      <w:r>
        <w:rPr>
          <w:rFonts w:ascii="Times New Roman" w:hAnsi="Times New Roman" w:eastAsia="Times New Roman" w:cs="Times New Roman"/>
          <w:sz w:val="24"/>
          <w:szCs w:val="24"/>
        </w:rPr>
        <w:t>) measured by liquidity ratio, loan to deposit ratio, and domestic credit to private sector by banks to GDP ratio; gross fixed capital formation (</w:t>
      </w:r>
      <w:r>
        <w:rPr>
          <w:rFonts w:ascii="Times New Roman" w:hAnsi="Times New Roman" w:eastAsia="Times New Roman" w:cs="Times New Roman"/>
          <w:i/>
          <w:sz w:val="24"/>
          <w:szCs w:val="24"/>
        </w:rPr>
        <w:t>gfcf</w:t>
      </w:r>
      <w:r>
        <w:rPr>
          <w:rFonts w:ascii="Times New Roman" w:hAnsi="Times New Roman" w:eastAsia="Times New Roman" w:cs="Times New Roman"/>
          <w:sz w:val="24"/>
          <w:szCs w:val="24"/>
        </w:rPr>
        <w:t>); trade openness (</w:t>
      </w:r>
      <w:r>
        <w:rPr>
          <w:rFonts w:ascii="Times New Roman" w:hAnsi="Times New Roman" w:eastAsia="Times New Roman" w:cs="Times New Roman"/>
          <w:i/>
          <w:sz w:val="24"/>
          <w:szCs w:val="24"/>
        </w:rPr>
        <w:t>topen</w:t>
      </w:r>
      <w:r>
        <w:rPr>
          <w:rFonts w:ascii="Times New Roman" w:hAnsi="Times New Roman" w:eastAsia="Times New Roman" w:cs="Times New Roman"/>
          <w:sz w:val="24"/>
          <w:szCs w:val="24"/>
        </w:rPr>
        <w:t>); and inflation (</w:t>
      </w:r>
      <w:r>
        <w:rPr>
          <w:rFonts w:ascii="Times New Roman" w:hAnsi="Times New Roman" w:eastAsia="Times New Roman" w:cs="Times New Roman"/>
          <w:i/>
          <w:sz w:val="24"/>
          <w:szCs w:val="24"/>
        </w:rPr>
        <w:t>inf</w:t>
      </w:r>
      <w:r>
        <w:rPr>
          <w:rFonts w:ascii="Times New Roman" w:hAnsi="Times New Roman" w:eastAsia="Times New Roman" w:cs="Times New Roman"/>
          <w:sz w:val="24"/>
          <w:szCs w:val="24"/>
        </w:rPr>
        <w:t>). Thus, the equation is stated functionally as:</w:t>
      </w:r>
    </w:p>
    <w:p>
      <w:pPr>
        <w:spacing w:after="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position w:val="-12"/>
          <w:sz w:val="24"/>
          <w:szCs w:val="24"/>
        </w:rPr>
        <w:object>
          <v:shape id="_x0000_i1031" o:spt="75" type="#_x0000_t75" style="height:18.75pt;width:182.25pt;" o:ole="t" filled="f" o:preferrelative="t" stroked="f" coordsize="21600,21600">
            <v:path/>
            <v:fill on="f" focussize="0,0"/>
            <v:stroke on="f" joinstyle="miter"/>
            <v:imagedata r:id="rId23" o:title=""/>
            <o:lock v:ext="edit" aspectratio="t"/>
            <w10:wrap type="none"/>
            <w10:anchorlock/>
          </v:shape>
          <o:OLEObject Type="Embed" ProgID="Equation.3" ShapeID="_x0000_i1031" DrawAspect="Content" ObjectID="_1468075731" r:id="rId22">
            <o:LockedField>false</o:LockedField>
          </o:OLEObject>
        </w:objec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(3.3)</w:t>
      </w:r>
    </w:p>
    <w:p>
      <w:pPr>
        <w:spacing w:after="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In mathematical form, it becomes:</w:t>
      </w:r>
    </w:p>
    <w:p>
      <w:pPr>
        <w:spacing w:after="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position w:val="-12"/>
          <w:sz w:val="24"/>
          <w:szCs w:val="24"/>
        </w:rPr>
        <w:object>
          <v:shape id="_x0000_i1032" o:spt="75" type="#_x0000_t75" style="height:18.75pt;width:281.25pt;" o:ole="t" filled="f" o:preferrelative="t" stroked="f" coordsize="21600,21600">
            <v:path/>
            <v:fill on="f" focussize="0,0"/>
            <v:stroke on="f" joinstyle="miter"/>
            <v:imagedata r:id="rId25" o:title=""/>
            <o:lock v:ext="edit" aspectratio="t"/>
            <w10:wrap type="none"/>
            <w10:anchorlock/>
          </v:shape>
          <o:OLEObject Type="Embed" ProgID="Equation.3" ShapeID="_x0000_i1032" DrawAspect="Content" ObjectID="_1468075732" r:id="rId24">
            <o:LockedField>false</o:LockedField>
          </o:OLEObject>
        </w:objec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(3.4)</w:t>
      </w:r>
    </w:p>
    <w:p>
      <w:pPr>
        <w:spacing w:after="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Where: </w:t>
      </w:r>
      <w:r>
        <w:rPr>
          <w:rFonts w:ascii="Times New Roman" w:hAnsi="Times New Roman" w:eastAsia="Times New Roman" w:cs="Times New Roman"/>
          <w:i/>
          <w:sz w:val="24"/>
          <w:szCs w:val="24"/>
        </w:rPr>
        <w:t>hout</w:t>
      </w:r>
      <w:r>
        <w:rPr>
          <w:rFonts w:ascii="Times New Roman" w:hAnsi="Times New Roman" w:eastAsia="Times New Roman" w:cs="Times New Roman"/>
          <w:sz w:val="24"/>
          <w:szCs w:val="24"/>
        </w:rPr>
        <w:t xml:space="preserve"> is a vector of health outcomes measured by life expectancy and child mortality; </w:t>
      </w:r>
      <w:r>
        <w:rPr>
          <w:rFonts w:ascii="Times New Roman" w:hAnsi="Times New Roman" w:eastAsia="Times New Roman" w:cs="Times New Roman"/>
          <w:i/>
          <w:sz w:val="24"/>
          <w:szCs w:val="24"/>
        </w:rPr>
        <w:t>bsd</w:t>
      </w:r>
      <w:r>
        <w:rPr>
          <w:rFonts w:ascii="Times New Roman" w:hAnsi="Times New Roman" w:eastAsia="Times New Roman" w:cs="Times New Roman"/>
          <w:sz w:val="24"/>
          <w:szCs w:val="24"/>
        </w:rPr>
        <w:t xml:space="preserve"> represents a vector of banking sector development such as liquidity ratio (</w:t>
      </w:r>
      <w:r>
        <w:rPr>
          <w:rFonts w:ascii="Times New Roman" w:hAnsi="Times New Roman" w:eastAsia="Times New Roman" w:cs="Times New Roman"/>
          <w:i/>
          <w:sz w:val="24"/>
          <w:szCs w:val="24"/>
        </w:rPr>
        <w:t>lr</w:t>
      </w:r>
      <w:r>
        <w:rPr>
          <w:rFonts w:ascii="Times New Roman" w:hAnsi="Times New Roman" w:eastAsia="Times New Roman" w:cs="Times New Roman"/>
          <w:sz w:val="24"/>
          <w:szCs w:val="24"/>
        </w:rPr>
        <w:t>), loan to deposit ratio (</w:t>
      </w:r>
      <w:r>
        <w:rPr>
          <w:rFonts w:ascii="Times New Roman" w:hAnsi="Times New Roman" w:eastAsia="Times New Roman" w:cs="Times New Roman"/>
          <w:i/>
          <w:sz w:val="24"/>
          <w:szCs w:val="24"/>
        </w:rPr>
        <w:t>ldr</w:t>
      </w:r>
      <w:r>
        <w:rPr>
          <w:rFonts w:ascii="Times New Roman" w:hAnsi="Times New Roman" w:eastAsia="Times New Roman" w:cs="Times New Roman"/>
          <w:sz w:val="24"/>
          <w:szCs w:val="24"/>
        </w:rPr>
        <w:t>), and domestic credit to private sector by banks to GDP ratio (</w:t>
      </w:r>
      <w:r>
        <w:rPr>
          <w:rFonts w:ascii="Times New Roman" w:hAnsi="Times New Roman" w:eastAsia="Times New Roman" w:cs="Times New Roman"/>
          <w:i/>
          <w:sz w:val="24"/>
          <w:szCs w:val="24"/>
        </w:rPr>
        <w:t>dcps</w:t>
      </w:r>
      <w:r>
        <w:rPr>
          <w:rFonts w:ascii="Times New Roman" w:hAnsi="Times New Roman" w:eastAsia="Times New Roman" w:cs="Times New Roman"/>
          <w:sz w:val="24"/>
          <w:szCs w:val="24"/>
        </w:rPr>
        <w:t xml:space="preserve">); </w:t>
      </w:r>
      <w:r>
        <w:rPr>
          <w:rFonts w:ascii="Times New Roman" w:hAnsi="Times New Roman" w:eastAsia="Times New Roman" w:cs="Times New Roman"/>
          <w:i/>
          <w:sz w:val="24"/>
          <w:szCs w:val="24"/>
        </w:rPr>
        <w:t>gfcf</w:t>
      </w:r>
      <w:r>
        <w:rPr>
          <w:rFonts w:ascii="Times New Roman" w:hAnsi="Times New Roman" w:eastAsia="Times New Roman" w:cs="Times New Roman"/>
          <w:sz w:val="24"/>
          <w:szCs w:val="24"/>
        </w:rPr>
        <w:t xml:space="preserve"> is gross fixed capital formation to GDP; </w:t>
      </w:r>
      <w:r>
        <w:rPr>
          <w:rFonts w:ascii="Times New Roman" w:hAnsi="Times New Roman" w:eastAsia="Times New Roman" w:cs="Times New Roman"/>
          <w:i/>
          <w:sz w:val="24"/>
          <w:szCs w:val="24"/>
        </w:rPr>
        <w:t xml:space="preserve">topen </w:t>
      </w:r>
      <w:r>
        <w:rPr>
          <w:rFonts w:ascii="Times New Roman" w:hAnsi="Times New Roman" w:eastAsia="Times New Roman" w:cs="Times New Roman"/>
          <w:sz w:val="24"/>
          <w:szCs w:val="24"/>
        </w:rPr>
        <w:t xml:space="preserve">represents trade openness measured by total trade to GDP; </w:t>
      </w:r>
      <w:r>
        <w:rPr>
          <w:rFonts w:ascii="Times New Roman" w:hAnsi="Times New Roman" w:eastAsia="Times New Roman" w:cs="Times New Roman"/>
          <w:i/>
          <w:sz w:val="24"/>
          <w:szCs w:val="24"/>
        </w:rPr>
        <w:t>inf</w:t>
      </w:r>
      <w:r>
        <w:rPr>
          <w:rFonts w:ascii="Times New Roman" w:hAnsi="Times New Roman" w:eastAsia="Times New Roman" w:cs="Times New Roman"/>
          <w:sz w:val="24"/>
          <w:szCs w:val="24"/>
        </w:rPr>
        <w:t xml:space="preserve"> denotes inflation;</w:t>
      </w:r>
      <w:r>
        <w:rPr>
          <w:rFonts w:ascii="Times New Roman" w:hAnsi="Times New Roman" w:cs="Times New Roman"/>
          <w:position w:val="-12"/>
          <w:sz w:val="24"/>
          <w:szCs w:val="24"/>
        </w:rPr>
        <w:object>
          <v:shape id="_x0000_i1033" o:spt="75" type="#_x0000_t75" style="height:18.75pt;width:51pt;" o:ole="t" filled="f" o:preferrelative="t" stroked="f" coordsize="21600,21600">
            <v:path/>
            <v:fill on="f" focussize="0,0"/>
            <v:stroke on="f" joinstyle="miter"/>
            <v:imagedata r:id="rId27" o:title=""/>
            <o:lock v:ext="edit" aspectratio="t"/>
            <w10:wrap type="none"/>
            <w10:anchorlock/>
          </v:shape>
          <o:OLEObject Type="Embed" ProgID="Equation.3" ShapeID="_x0000_i1033" DrawAspect="Content" ObjectID="_1468075733" r:id="rId26">
            <o:LockedField>false</o:LockedField>
          </o:OLEObject>
        </w:object>
      </w:r>
      <w:r>
        <w:rPr>
          <w:rFonts w:ascii="Times New Roman" w:hAnsi="Times New Roman" w:eastAsia="Times New Roman" w:cs="Times New Roman"/>
          <w:sz w:val="24"/>
          <w:szCs w:val="24"/>
        </w:rPr>
        <w:t xml:space="preserve">are parameters; </w:t>
      </w:r>
      <w:r>
        <w:rPr>
          <w:rFonts w:ascii="Times New Roman" w:hAnsi="Times New Roman" w:eastAsia="Times New Roman" w:cs="Times New Roman"/>
          <w:i/>
          <w:sz w:val="24"/>
          <w:szCs w:val="24"/>
        </w:rPr>
        <w:t>t</w:t>
      </w:r>
      <w:r>
        <w:rPr>
          <w:rFonts w:ascii="Times New Roman" w:hAnsi="Times New Roman" w:eastAsia="Times New Roman" w:cs="Times New Roman"/>
          <w:sz w:val="24"/>
          <w:szCs w:val="24"/>
        </w:rPr>
        <w:t xml:space="preserve"> is time; </w:t>
      </w:r>
      <w:r>
        <w:rPr>
          <w:rFonts w:ascii="Times New Roman" w:hAnsi="Times New Roman" w:cs="Times New Roman"/>
          <w:position w:val="-6"/>
          <w:sz w:val="24"/>
          <w:szCs w:val="24"/>
        </w:rPr>
        <w:object>
          <v:shape id="_x0000_i1034" o:spt="75" type="#_x0000_t75" style="height:12pt;width:8.25pt;" o:ole="t" filled="f" o:preferrelative="t" stroked="f" coordsize="21600,21600">
            <v:path/>
            <v:fill on="f" focussize="0,0"/>
            <v:stroke on="f" joinstyle="miter"/>
            <v:imagedata r:id="rId29" o:title=""/>
            <o:lock v:ext="edit" aspectratio="t"/>
            <w10:wrap type="none"/>
            <w10:anchorlock/>
          </v:shape>
          <o:OLEObject Type="Embed" ProgID="Equation.3" ShapeID="_x0000_i1034" DrawAspect="Content" ObjectID="_1468075734" r:id="rId28">
            <o:LockedField>false</o:LockedField>
          </o:OLEObject>
        </w:object>
      </w:r>
      <w:r>
        <w:rPr>
          <w:rFonts w:ascii="Times New Roman" w:hAnsi="Times New Roman" w:eastAsia="Times New Roman" w:cs="Times New Roman"/>
          <w:sz w:val="24"/>
          <w:szCs w:val="24"/>
        </w:rPr>
        <w:t xml:space="preserve"> is error term.</w:t>
      </w:r>
    </w:p>
    <w:p>
      <w:pPr>
        <w:spacing w:after="120" w:line="48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b/>
          <w:sz w:val="24"/>
          <w:szCs w:val="24"/>
        </w:rPr>
        <w:t>3.1.3</w:t>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 xml:space="preserve">Model Estimating the Effect of Stock Market Development </w:t>
      </w:r>
      <w:r>
        <w:rPr>
          <w:rFonts w:ascii="Times New Roman" w:hAnsi="Times New Roman" w:cs="Times New Roman"/>
          <w:b/>
          <w:sz w:val="24"/>
          <w:szCs w:val="24"/>
        </w:rPr>
        <w:t>on Health Outcomes</w:t>
      </w:r>
    </w:p>
    <w:p>
      <w:pPr>
        <w:spacing w:after="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Following the empirical models of past studies, this study adapts and modifies the model to investigate the effect of stock market development on human health outcomes measured by life expectancy and child mortality in Nigeria</w:t>
      </w:r>
      <w:r>
        <w:rPr>
          <w:rFonts w:ascii="Times New Roman" w:hAnsi="Times New Roman" w:eastAsia="Times New Roman" w:cs="Times New Roman"/>
          <w:sz w:val="24"/>
          <w:szCs w:val="24"/>
          <w:vertAlign w:val="superscript"/>
        </w:rPr>
        <w:t>3,4,5,7,8</w:t>
      </w:r>
      <w:r>
        <w:rPr>
          <w:rFonts w:ascii="Times New Roman" w:hAnsi="Times New Roman" w:eastAsia="Times New Roman" w:cs="Times New Roman"/>
          <w:sz w:val="24"/>
          <w:szCs w:val="24"/>
        </w:rPr>
        <w:t>. The model specifies health outcomes (</w:t>
      </w:r>
      <w:r>
        <w:rPr>
          <w:rFonts w:ascii="Times New Roman" w:hAnsi="Times New Roman" w:eastAsia="Times New Roman" w:cs="Times New Roman"/>
          <w:i/>
          <w:sz w:val="24"/>
          <w:szCs w:val="24"/>
        </w:rPr>
        <w:t>hout</w:t>
      </w:r>
      <w:r>
        <w:rPr>
          <w:rFonts w:ascii="Times New Roman" w:hAnsi="Times New Roman" w:eastAsia="Times New Roman" w:cs="Times New Roman"/>
          <w:sz w:val="24"/>
          <w:szCs w:val="24"/>
        </w:rPr>
        <w:t>) as a function of stock market development captured by stock market capitalization to GDP, total stock transaction value to GDP, and all share index; gross fixed capital formation (</w:t>
      </w:r>
      <w:r>
        <w:rPr>
          <w:rFonts w:ascii="Times New Roman" w:hAnsi="Times New Roman" w:eastAsia="Times New Roman" w:cs="Times New Roman"/>
          <w:i/>
          <w:sz w:val="24"/>
          <w:szCs w:val="24"/>
        </w:rPr>
        <w:t>gfcf</w:t>
      </w:r>
      <w:r>
        <w:rPr>
          <w:rFonts w:ascii="Times New Roman" w:hAnsi="Times New Roman" w:eastAsia="Times New Roman" w:cs="Times New Roman"/>
          <w:sz w:val="24"/>
          <w:szCs w:val="24"/>
        </w:rPr>
        <w:t>); trade openness (</w:t>
      </w:r>
      <w:r>
        <w:rPr>
          <w:rFonts w:ascii="Times New Roman" w:hAnsi="Times New Roman" w:eastAsia="Times New Roman" w:cs="Times New Roman"/>
          <w:i/>
          <w:sz w:val="24"/>
          <w:szCs w:val="24"/>
        </w:rPr>
        <w:t>topen</w:t>
      </w:r>
      <w:r>
        <w:rPr>
          <w:rFonts w:ascii="Times New Roman" w:hAnsi="Times New Roman" w:eastAsia="Times New Roman" w:cs="Times New Roman"/>
          <w:sz w:val="24"/>
          <w:szCs w:val="24"/>
        </w:rPr>
        <w:t>); and inflation (</w:t>
      </w:r>
      <w:r>
        <w:rPr>
          <w:rFonts w:ascii="Times New Roman" w:hAnsi="Times New Roman" w:eastAsia="Times New Roman" w:cs="Times New Roman"/>
          <w:i/>
          <w:sz w:val="24"/>
          <w:szCs w:val="24"/>
        </w:rPr>
        <w:t>inf</w:t>
      </w:r>
      <w:r>
        <w:rPr>
          <w:rFonts w:ascii="Times New Roman" w:hAnsi="Times New Roman" w:eastAsia="Times New Roman" w:cs="Times New Roman"/>
          <w:sz w:val="24"/>
          <w:szCs w:val="24"/>
        </w:rPr>
        <w:t>). As a result the model is stated functionally as:</w:t>
      </w:r>
    </w:p>
    <w:p>
      <w:pPr>
        <w:spacing w:after="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position w:val="-12"/>
          <w:sz w:val="24"/>
          <w:szCs w:val="24"/>
        </w:rPr>
        <w:object>
          <v:shape id="_x0000_i1035" o:spt="75" type="#_x0000_t75" style="height:18.75pt;width:186.75pt;" o:ole="t" filled="f" o:preferrelative="t" stroked="f" coordsize="21600,21600">
            <v:path/>
            <v:fill on="f" focussize="0,0"/>
            <v:stroke on="f" joinstyle="miter"/>
            <v:imagedata r:id="rId31" o:title=""/>
            <o:lock v:ext="edit" aspectratio="t"/>
            <w10:wrap type="none"/>
            <w10:anchorlock/>
          </v:shape>
          <o:OLEObject Type="Embed" ProgID="Equation.3" ShapeID="_x0000_i1035" DrawAspect="Content" ObjectID="_1468075735" r:id="rId30">
            <o:LockedField>false</o:LockedField>
          </o:OLEObject>
        </w:objec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(3.5)</w:t>
      </w:r>
    </w:p>
    <w:p>
      <w:pPr>
        <w:spacing w:after="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In econometrics form, it becomes:</w:t>
      </w:r>
    </w:p>
    <w:p>
      <w:pPr>
        <w:spacing w:after="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position w:val="-12"/>
          <w:sz w:val="24"/>
          <w:szCs w:val="24"/>
        </w:rPr>
        <w:object>
          <v:shape id="_x0000_i1036" o:spt="75" type="#_x0000_t75" style="height:21pt;width:290.25pt;" o:ole="t" filled="f" o:preferrelative="t" stroked="f" coordsize="21600,21600">
            <v:path/>
            <v:fill on="f" focussize="0,0"/>
            <v:stroke on="f" joinstyle="miter"/>
            <v:imagedata r:id="rId33" o:title=""/>
            <o:lock v:ext="edit" aspectratio="t"/>
            <w10:wrap type="none"/>
            <w10:anchorlock/>
          </v:shape>
          <o:OLEObject Type="Embed" ProgID="Equation.3" ShapeID="_x0000_i1036" DrawAspect="Content" ObjectID="_1468075736" r:id="rId32">
            <o:LockedField>false</o:LockedField>
          </o:OLEObject>
        </w:objec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(3.6)</w:t>
      </w:r>
    </w:p>
    <w:p>
      <w:pPr>
        <w:spacing w:after="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Where: </w:t>
      </w:r>
      <w:r>
        <w:rPr>
          <w:rFonts w:ascii="Times New Roman" w:hAnsi="Times New Roman" w:eastAsia="Times New Roman" w:cs="Times New Roman"/>
          <w:i/>
          <w:sz w:val="24"/>
          <w:szCs w:val="24"/>
        </w:rPr>
        <w:t>hout</w:t>
      </w:r>
      <w:r>
        <w:rPr>
          <w:rFonts w:ascii="Times New Roman" w:hAnsi="Times New Roman" w:eastAsia="Times New Roman" w:cs="Times New Roman"/>
          <w:sz w:val="24"/>
          <w:szCs w:val="24"/>
        </w:rPr>
        <w:t xml:space="preserve"> is is a vector of health outcomes measured by life expectancy and child mortality; </w:t>
      </w:r>
      <w:r>
        <w:rPr>
          <w:rFonts w:ascii="Times New Roman" w:hAnsi="Times New Roman" w:eastAsia="Times New Roman" w:cs="Times New Roman"/>
          <w:i/>
          <w:sz w:val="24"/>
          <w:szCs w:val="24"/>
        </w:rPr>
        <w:t>smd</w:t>
      </w:r>
      <w:r>
        <w:rPr>
          <w:rFonts w:ascii="Times New Roman" w:hAnsi="Times New Roman" w:eastAsia="Times New Roman" w:cs="Times New Roman"/>
          <w:sz w:val="24"/>
          <w:szCs w:val="24"/>
        </w:rPr>
        <w:t>denotes a vector of stock market development measured by stock market capitalization to GDP (</w:t>
      </w:r>
      <w:r>
        <w:rPr>
          <w:rFonts w:ascii="Times New Roman" w:hAnsi="Times New Roman" w:eastAsia="Times New Roman" w:cs="Times New Roman"/>
          <w:i/>
          <w:sz w:val="24"/>
          <w:szCs w:val="24"/>
        </w:rPr>
        <w:t>smk</w:t>
      </w:r>
      <w:r>
        <w:rPr>
          <w:rFonts w:ascii="Times New Roman" w:hAnsi="Times New Roman" w:eastAsia="Times New Roman" w:cs="Times New Roman"/>
          <w:sz w:val="24"/>
          <w:szCs w:val="24"/>
        </w:rPr>
        <w:t>), total stock transaction value to GDP (</w:t>
      </w:r>
      <w:r>
        <w:rPr>
          <w:rFonts w:ascii="Times New Roman" w:hAnsi="Times New Roman" w:eastAsia="Times New Roman" w:cs="Times New Roman"/>
          <w:i/>
          <w:sz w:val="24"/>
          <w:szCs w:val="24"/>
        </w:rPr>
        <w:t>tstv</w:t>
      </w:r>
      <w:r>
        <w:rPr>
          <w:rFonts w:ascii="Times New Roman" w:hAnsi="Times New Roman" w:eastAsia="Times New Roman" w:cs="Times New Roman"/>
          <w:sz w:val="24"/>
          <w:szCs w:val="24"/>
        </w:rPr>
        <w:t>), and all share index (</w:t>
      </w:r>
      <w:r>
        <w:rPr>
          <w:rFonts w:ascii="Times New Roman" w:hAnsi="Times New Roman" w:eastAsia="Times New Roman" w:cs="Times New Roman"/>
          <w:i/>
          <w:sz w:val="24"/>
          <w:szCs w:val="24"/>
        </w:rPr>
        <w:t>asi</w:t>
      </w:r>
      <w:r>
        <w:rPr>
          <w:rFonts w:ascii="Times New Roman" w:hAnsi="Times New Roman" w:eastAsia="Times New Roman" w:cs="Times New Roman"/>
          <w:sz w:val="24"/>
          <w:szCs w:val="24"/>
        </w:rPr>
        <w:t>);</w:t>
      </w:r>
      <w:r>
        <w:rPr>
          <w:rFonts w:ascii="Times New Roman" w:hAnsi="Times New Roman" w:eastAsia="Times New Roman" w:cs="Times New Roman"/>
          <w:i/>
          <w:sz w:val="24"/>
          <w:szCs w:val="24"/>
        </w:rPr>
        <w:t>gfcf</w:t>
      </w:r>
      <w:r>
        <w:rPr>
          <w:rFonts w:ascii="Times New Roman" w:hAnsi="Times New Roman" w:eastAsia="Times New Roman" w:cs="Times New Roman"/>
          <w:sz w:val="24"/>
          <w:szCs w:val="24"/>
        </w:rPr>
        <w:t xml:space="preserve"> is gross fixed capital formation; </w:t>
      </w:r>
      <w:r>
        <w:rPr>
          <w:rFonts w:ascii="Times New Roman" w:hAnsi="Times New Roman" w:eastAsia="Times New Roman" w:cs="Times New Roman"/>
          <w:i/>
          <w:sz w:val="24"/>
          <w:szCs w:val="24"/>
        </w:rPr>
        <w:t xml:space="preserve">topen </w:t>
      </w:r>
      <w:r>
        <w:rPr>
          <w:rFonts w:ascii="Times New Roman" w:hAnsi="Times New Roman" w:eastAsia="Times New Roman" w:cs="Times New Roman"/>
          <w:sz w:val="24"/>
          <w:szCs w:val="24"/>
        </w:rPr>
        <w:t xml:space="preserve">represents trade openness; </w:t>
      </w:r>
      <w:r>
        <w:rPr>
          <w:rFonts w:ascii="Times New Roman" w:hAnsi="Times New Roman" w:eastAsia="Times New Roman" w:cs="Times New Roman"/>
          <w:i/>
          <w:sz w:val="24"/>
          <w:szCs w:val="24"/>
        </w:rPr>
        <w:t>inf</w:t>
      </w:r>
      <w:r>
        <w:rPr>
          <w:rFonts w:ascii="Times New Roman" w:hAnsi="Times New Roman" w:eastAsia="Times New Roman" w:cs="Times New Roman"/>
          <w:sz w:val="24"/>
          <w:szCs w:val="24"/>
        </w:rPr>
        <w:t xml:space="preserve"> denotes inflation;</w:t>
      </w:r>
      <w:r>
        <w:rPr>
          <w:rFonts w:ascii="Times New Roman" w:hAnsi="Times New Roman" w:cs="Times New Roman"/>
          <w:position w:val="-12"/>
          <w:sz w:val="24"/>
          <w:szCs w:val="24"/>
        </w:rPr>
        <w:object>
          <v:shape id="_x0000_i1037" o:spt="75" type="#_x0000_t75" style="height:18.75pt;width:55.5pt;" o:ole="t" filled="f" o:preferrelative="t" stroked="f" coordsize="21600,21600">
            <v:path/>
            <v:fill on="f" focussize="0,0"/>
            <v:stroke on="f" joinstyle="miter"/>
            <v:imagedata r:id="rId35" o:title=""/>
            <o:lock v:ext="edit" aspectratio="t"/>
            <w10:wrap type="none"/>
            <w10:anchorlock/>
          </v:shape>
          <o:OLEObject Type="Embed" ProgID="Equation.3" ShapeID="_x0000_i1037" DrawAspect="Content" ObjectID="_1468075737" r:id="rId34">
            <o:LockedField>false</o:LockedField>
          </o:OLEObject>
        </w:object>
      </w:r>
      <w:r>
        <w:rPr>
          <w:rFonts w:ascii="Times New Roman" w:hAnsi="Times New Roman" w:eastAsia="Times New Roman" w:cs="Times New Roman"/>
          <w:sz w:val="24"/>
          <w:szCs w:val="24"/>
        </w:rPr>
        <w:t xml:space="preserve">are parameters; </w:t>
      </w:r>
      <w:r>
        <w:rPr>
          <w:rFonts w:ascii="Times New Roman" w:hAnsi="Times New Roman" w:eastAsia="Times New Roman" w:cs="Times New Roman"/>
          <w:i/>
          <w:sz w:val="24"/>
          <w:szCs w:val="24"/>
        </w:rPr>
        <w:t>t</w:t>
      </w:r>
      <w:r>
        <w:rPr>
          <w:rFonts w:ascii="Times New Roman" w:hAnsi="Times New Roman" w:eastAsia="Times New Roman" w:cs="Times New Roman"/>
          <w:sz w:val="24"/>
          <w:szCs w:val="24"/>
        </w:rPr>
        <w:t xml:space="preserve"> is time; </w:t>
      </w:r>
      <w:r>
        <w:rPr>
          <w:rFonts w:ascii="Times New Roman" w:hAnsi="Times New Roman" w:cs="Times New Roman"/>
          <w:position w:val="-10"/>
          <w:sz w:val="24"/>
          <w:szCs w:val="24"/>
        </w:rPr>
        <w:object>
          <v:shape id="_x0000_i1038" o:spt="75" type="#_x0000_t75" style="height:12pt;width:12pt;" o:ole="t" filled="f" o:preferrelative="t" stroked="f" coordsize="21600,21600">
            <v:path/>
            <v:fill on="f" focussize="0,0"/>
            <v:stroke on="f" joinstyle="miter"/>
            <v:imagedata r:id="rId37" o:title=""/>
            <o:lock v:ext="edit" aspectratio="t"/>
            <w10:wrap type="none"/>
            <w10:anchorlock/>
          </v:shape>
          <o:OLEObject Type="Embed" ProgID="Equation.3" ShapeID="_x0000_i1038" DrawAspect="Content" ObjectID="_1468075738" r:id="rId36">
            <o:LockedField>false</o:LockedField>
          </o:OLEObject>
        </w:object>
      </w:r>
      <w:r>
        <w:rPr>
          <w:rFonts w:ascii="Times New Roman" w:hAnsi="Times New Roman" w:eastAsia="Times New Roman" w:cs="Times New Roman"/>
          <w:sz w:val="24"/>
          <w:szCs w:val="24"/>
        </w:rPr>
        <w:t xml:space="preserve"> is error term.</w:t>
      </w:r>
    </w:p>
    <w:p>
      <w:pPr>
        <w:spacing w:after="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b/>
          <w:sz w:val="24"/>
          <w:szCs w:val="24"/>
        </w:rPr>
        <w:t>3.2</w:t>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Theoretical Expectation</w:t>
      </w:r>
    </w:p>
    <w:p>
      <w:pPr>
        <w:spacing w:after="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For human health outcome measured by life expectancy and child mortality model, a direct relationship is expected between money market development and life expectancy but negatively related with under-5 mortality. Similarly, an increase in stock market development is expected to have a positive relationship with life expectancy while negative with child mortality. Also, banking sector development ensures that an excess fund that will be available for domestic use by the credit providers will increase human longevity and decrease child mortality. This is so as financial sector development usesfunds to provide adequate health services and facilities support human capital development in a way that it improves life expectancy and deteriorates child mortality.</w:t>
      </w:r>
    </w:p>
    <w:p>
      <w:pPr>
        <w:spacing w:after="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More so, gross fixed capital formation and financial sector development are expected to have positive relationship with life expectancy and negative with child mortality. As gross fixed capital formation increases, there are high chances of more healthcare facilities available to people living in an economy thus improving human longevity and reduces child mortality.As well, trade openness is expected to have a direct relationship with life expectancy and an indirect relationship with child mortality. This is because as the trade between countries improves, more income is expected to improve human welfare development in that country. Concerning inflation, it has a negative relationship with human health longevity. Country experiencing price instability has higher chances of low human health outcomes.</w:t>
      </w:r>
    </w:p>
    <w:p>
      <w:pPr>
        <w:spacing w:after="120" w:line="480" w:lineRule="auto"/>
        <w:rPr>
          <w:rFonts w:ascii="Times New Roman" w:hAnsi="Times New Roman" w:cs="Times New Roman"/>
          <w:sz w:val="24"/>
          <w:szCs w:val="24"/>
        </w:rPr>
      </w:pPr>
      <w:r>
        <w:rPr>
          <w:rFonts w:ascii="Times New Roman" w:hAnsi="Times New Roman" w:eastAsia="Times New Roman" w:cs="Times New Roman"/>
          <w:b/>
          <w:sz w:val="24"/>
          <w:szCs w:val="24"/>
        </w:rPr>
        <w:t>3.3</w:t>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Data Requirements and Sources</w:t>
      </w:r>
    </w:p>
    <w:p>
      <w:pPr>
        <w:spacing w:after="120" w:line="480" w:lineRule="auto"/>
        <w:jc w:val="both"/>
        <w:rPr>
          <w:rFonts w:ascii="Times New Roman" w:hAnsi="Times New Roman" w:cs="Times New Roman"/>
          <w:sz w:val="24"/>
          <w:szCs w:val="24"/>
        </w:rPr>
      </w:pPr>
      <w:bookmarkStart w:id="2" w:name="_gjdgxs" w:colFirst="0" w:colLast="0"/>
      <w:bookmarkEnd w:id="2"/>
      <w:r>
        <w:rPr>
          <w:rFonts w:ascii="Times New Roman" w:hAnsi="Times New Roman" w:eastAsia="Times New Roman" w:cs="Times New Roman"/>
          <w:sz w:val="24"/>
          <w:szCs w:val="24"/>
        </w:rPr>
        <w:t xml:space="preserve">This research work uses annual time series data for the period of 38 years (1985-2022). The study uses secondary data of banking, money and stock market development data published by the Central Bank of Nigeria (CBN) statistical bulletin, volume 33, 2022; while life expectancy, under-5 mortality, trade openness, inflation, and gross fixed capital formation data were sourced from World Development Indicators (WDI), 2023. </w:t>
      </w:r>
      <w:r>
        <w:rPr>
          <w:rFonts w:ascii="Times New Roman" w:hAnsi="Times New Roman" w:cs="Times New Roman"/>
          <w:bCs/>
          <w:sz w:val="24"/>
          <w:szCs w:val="24"/>
        </w:rPr>
        <w:t>Table 3.1</w:t>
      </w:r>
      <w:r>
        <w:rPr>
          <w:rFonts w:ascii="Times New Roman" w:hAnsi="Times New Roman" w:cs="Times New Roman"/>
          <w:sz w:val="24"/>
          <w:szCs w:val="24"/>
        </w:rPr>
        <w:t xml:space="preserve"> presents the source and measurement of the variables.</w:t>
      </w:r>
    </w:p>
    <w:p>
      <w:pPr>
        <w:spacing w:after="120" w:line="480" w:lineRule="auto"/>
        <w:rPr>
          <w:rFonts w:ascii="Times New Roman" w:hAnsi="Times New Roman" w:cs="Times New Roman"/>
          <w:sz w:val="24"/>
          <w:szCs w:val="24"/>
        </w:rPr>
      </w:pPr>
      <w:r>
        <w:rPr>
          <w:rFonts w:ascii="Times New Roman" w:hAnsi="Times New Roman" w:cs="Times New Roman"/>
          <w:sz w:val="24"/>
          <w:szCs w:val="24"/>
        </w:rPr>
        <w:br w:type="page"/>
      </w:r>
    </w:p>
    <w:p>
      <w:pPr>
        <w:spacing w:after="0"/>
        <w:rPr>
          <w:rFonts w:ascii="Times New Roman" w:hAnsi="Times New Roman" w:cs="Times New Roman"/>
          <w:sz w:val="24"/>
          <w:szCs w:val="24"/>
        </w:rPr>
      </w:pPr>
      <w:r>
        <w:rPr>
          <w:rFonts w:ascii="Times New Roman" w:hAnsi="Times New Roman" w:cs="Times New Roman"/>
          <w:b/>
          <w:sz w:val="24"/>
          <w:szCs w:val="24"/>
        </w:rPr>
        <w:t xml:space="preserve">Table 3.1: </w:t>
      </w:r>
      <w:r>
        <w:rPr>
          <w:rFonts w:ascii="Times New Roman" w:hAnsi="Times New Roman" w:cs="Times New Roman"/>
          <w:sz w:val="24"/>
          <w:szCs w:val="24"/>
        </w:rPr>
        <w:t>Definition and source of data and variable measurements</w:t>
      </w:r>
    </w:p>
    <w:tbl>
      <w:tblPr>
        <w:tblStyle w:val="6"/>
        <w:tblW w:w="11200" w:type="dxa"/>
        <w:tblInd w:w="-1026"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135"/>
        <w:gridCol w:w="4647"/>
        <w:gridCol w:w="3008"/>
        <w:gridCol w:w="2410"/>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Borders>
              <w:top w:val="single" w:color="auto" w:sz="4" w:space="0"/>
              <w:bottom w:val="single" w:color="auto" w:sz="4" w:space="0"/>
            </w:tcBorders>
            <w:vAlign w:val="center"/>
          </w:tcPr>
          <w:p>
            <w:pPr>
              <w:spacing w:before="60" w:after="60" w:line="360" w:lineRule="auto"/>
              <w:ind w:left="-108" w:right="-108" w:hanging="11"/>
              <w:jc w:val="center"/>
              <w:rPr>
                <w:rFonts w:ascii="Times New Roman" w:hAnsi="Times New Roman" w:cs="Times New Roman"/>
                <w:b/>
                <w:sz w:val="24"/>
                <w:szCs w:val="24"/>
              </w:rPr>
            </w:pPr>
            <w:r>
              <w:rPr>
                <w:rFonts w:ascii="Times New Roman" w:hAnsi="Times New Roman" w:cs="Times New Roman"/>
                <w:b/>
                <w:sz w:val="24"/>
                <w:szCs w:val="24"/>
              </w:rPr>
              <w:t>Variables</w:t>
            </w:r>
          </w:p>
        </w:tc>
        <w:tc>
          <w:tcPr>
            <w:tcW w:w="4647" w:type="dxa"/>
            <w:tcBorders>
              <w:top w:val="single" w:color="auto" w:sz="4" w:space="0"/>
              <w:bottom w:val="single" w:color="auto" w:sz="4" w:space="0"/>
            </w:tcBorders>
            <w:vAlign w:val="center"/>
          </w:tcPr>
          <w:p>
            <w:pPr>
              <w:spacing w:before="60" w:after="60" w:line="360" w:lineRule="auto"/>
              <w:ind w:left="11" w:hanging="11"/>
              <w:jc w:val="center"/>
              <w:rPr>
                <w:rFonts w:ascii="Times New Roman" w:hAnsi="Times New Roman" w:cs="Times New Roman"/>
                <w:b/>
                <w:sz w:val="24"/>
                <w:szCs w:val="24"/>
              </w:rPr>
            </w:pPr>
            <w:r>
              <w:rPr>
                <w:rFonts w:ascii="Times New Roman" w:hAnsi="Times New Roman" w:cs="Times New Roman"/>
                <w:b/>
                <w:sz w:val="24"/>
                <w:szCs w:val="24"/>
              </w:rPr>
              <w:t>Description</w:t>
            </w:r>
          </w:p>
        </w:tc>
        <w:tc>
          <w:tcPr>
            <w:tcW w:w="3008" w:type="dxa"/>
            <w:tcBorders>
              <w:top w:val="single" w:color="auto" w:sz="4" w:space="0"/>
              <w:bottom w:val="single" w:color="auto" w:sz="4" w:space="0"/>
            </w:tcBorders>
            <w:vAlign w:val="center"/>
          </w:tcPr>
          <w:p>
            <w:pPr>
              <w:spacing w:before="60" w:after="60" w:line="360" w:lineRule="auto"/>
              <w:ind w:left="11" w:hanging="11"/>
              <w:jc w:val="center"/>
              <w:rPr>
                <w:rFonts w:ascii="Times New Roman" w:hAnsi="Times New Roman" w:cs="Times New Roman"/>
                <w:b/>
                <w:sz w:val="24"/>
                <w:szCs w:val="24"/>
              </w:rPr>
            </w:pPr>
            <w:r>
              <w:rPr>
                <w:rFonts w:ascii="Times New Roman" w:hAnsi="Times New Roman" w:cs="Times New Roman"/>
                <w:b/>
                <w:sz w:val="24"/>
                <w:szCs w:val="24"/>
              </w:rPr>
              <w:t>Measurement</w:t>
            </w:r>
          </w:p>
        </w:tc>
        <w:tc>
          <w:tcPr>
            <w:tcW w:w="2410" w:type="dxa"/>
            <w:tcBorders>
              <w:top w:val="single" w:color="auto" w:sz="4" w:space="0"/>
              <w:bottom w:val="single" w:color="auto" w:sz="4" w:space="0"/>
            </w:tcBorders>
            <w:vAlign w:val="center"/>
          </w:tcPr>
          <w:p>
            <w:pPr>
              <w:spacing w:before="60" w:after="60" w:line="360" w:lineRule="auto"/>
              <w:ind w:left="11" w:hanging="11"/>
              <w:jc w:val="center"/>
              <w:rPr>
                <w:rFonts w:ascii="Times New Roman" w:hAnsi="Times New Roman" w:cs="Times New Roman"/>
                <w:b/>
                <w:sz w:val="24"/>
                <w:szCs w:val="24"/>
              </w:rPr>
            </w:pPr>
            <w:r>
              <w:rPr>
                <w:rFonts w:ascii="Times New Roman" w:hAnsi="Times New Roman" w:cs="Times New Roman"/>
                <w:b/>
                <w:sz w:val="24"/>
                <w:szCs w:val="24"/>
              </w:rPr>
              <w:t>Data source</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Borders>
              <w:top w:val="single" w:color="auto" w:sz="4" w:space="0"/>
            </w:tcBorders>
          </w:tcPr>
          <w:p>
            <w:pPr>
              <w:spacing w:before="60" w:after="60" w:line="360" w:lineRule="auto"/>
              <w:ind w:left="-108" w:hanging="11"/>
              <w:jc w:val="center"/>
              <w:rPr>
                <w:rFonts w:ascii="Times New Roman" w:hAnsi="Times New Roman" w:cs="Times New Roman"/>
                <w:i/>
                <w:sz w:val="24"/>
                <w:szCs w:val="24"/>
              </w:rPr>
            </w:pPr>
            <w:r>
              <w:rPr>
                <w:rFonts w:ascii="Times New Roman" w:hAnsi="Times New Roman" w:cs="Times New Roman"/>
                <w:i/>
                <w:sz w:val="24"/>
                <w:szCs w:val="24"/>
              </w:rPr>
              <w:t>hout</w:t>
            </w:r>
          </w:p>
        </w:tc>
        <w:tc>
          <w:tcPr>
            <w:tcW w:w="4647" w:type="dxa"/>
            <w:tcBorders>
              <w:top w:val="single" w:color="auto" w:sz="4" w:space="0"/>
            </w:tcBorders>
          </w:tcPr>
          <w:p>
            <w:pPr>
              <w:spacing w:before="60" w:after="60" w:line="360" w:lineRule="auto"/>
              <w:ind w:left="11" w:hanging="11"/>
              <w:rPr>
                <w:rFonts w:ascii="Times New Roman" w:hAnsi="Times New Roman" w:cs="Times New Roman"/>
                <w:sz w:val="24"/>
                <w:szCs w:val="24"/>
              </w:rPr>
            </w:pPr>
            <w:r>
              <w:rPr>
                <w:rFonts w:ascii="Times New Roman" w:hAnsi="Times New Roman" w:eastAsia="Times New Roman" w:cs="Times New Roman"/>
                <w:sz w:val="24"/>
                <w:szCs w:val="24"/>
              </w:rPr>
              <w:t>Health outcomes is the treatment results that affect health status as measured by the length or quality of a person's life and child mortality in a country for a specific period of time.</w:t>
            </w:r>
          </w:p>
        </w:tc>
        <w:tc>
          <w:tcPr>
            <w:tcW w:w="3008" w:type="dxa"/>
            <w:tcBorders>
              <w:top w:val="single" w:color="auto" w:sz="4" w:space="0"/>
            </w:tcBorders>
            <w:vAlign w:val="center"/>
          </w:tcPr>
          <w:p>
            <w:pPr>
              <w:spacing w:before="60" w:after="60" w:line="360" w:lineRule="auto"/>
              <w:ind w:left="-77" w:right="-108" w:hanging="11"/>
              <w:jc w:val="center"/>
              <w:rPr>
                <w:rFonts w:ascii="Times New Roman" w:hAnsi="Times New Roman" w:cs="Times New Roman"/>
                <w:sz w:val="24"/>
                <w:szCs w:val="24"/>
                <w:lang w:eastAsia="en-GB"/>
              </w:rPr>
            </w:pPr>
            <w:r>
              <w:rPr>
                <w:rFonts w:ascii="Times New Roman" w:hAnsi="Times New Roman" w:cs="Times New Roman"/>
                <w:sz w:val="24"/>
                <w:szCs w:val="24"/>
                <w:lang w:eastAsia="en-GB"/>
              </w:rPr>
              <w:t>It is measured in number of years and mortality per 1,000 births</w:t>
            </w:r>
          </w:p>
        </w:tc>
        <w:tc>
          <w:tcPr>
            <w:tcW w:w="2410" w:type="dxa"/>
            <w:tcBorders>
              <w:top w:val="single" w:color="auto" w:sz="4" w:space="0"/>
            </w:tcBorders>
            <w:vAlign w:val="center"/>
          </w:tcPr>
          <w:p>
            <w:pPr>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World Development Indicators (2023)</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before="60" w:after="60" w:line="360" w:lineRule="auto"/>
              <w:ind w:left="-108" w:hanging="11"/>
              <w:jc w:val="center"/>
              <w:rPr>
                <w:rFonts w:ascii="Times New Roman" w:hAnsi="Times New Roman" w:cs="Times New Roman"/>
                <w:i/>
                <w:sz w:val="24"/>
                <w:szCs w:val="24"/>
              </w:rPr>
            </w:pPr>
            <w:r>
              <w:rPr>
                <w:rFonts w:ascii="Times New Roman" w:hAnsi="Times New Roman" w:cs="Times New Roman"/>
                <w:i/>
                <w:sz w:val="24"/>
                <w:szCs w:val="24"/>
              </w:rPr>
              <w:t>mmd</w:t>
            </w:r>
          </w:p>
        </w:tc>
        <w:tc>
          <w:tcPr>
            <w:tcW w:w="4647" w:type="dxa"/>
          </w:tcPr>
          <w:p>
            <w:pPr>
              <w:spacing w:before="60" w:after="60" w:line="360" w:lineRule="auto"/>
              <w:ind w:left="11" w:hanging="11"/>
              <w:rPr>
                <w:rFonts w:ascii="Times New Roman" w:hAnsi="Times New Roman" w:cs="Times New Roman"/>
                <w:sz w:val="24"/>
                <w:szCs w:val="24"/>
              </w:rPr>
            </w:pPr>
            <w:r>
              <w:rPr>
                <w:rFonts w:ascii="Times New Roman" w:hAnsi="Times New Roman" w:eastAsia="Times New Roman" w:cs="Times New Roman"/>
                <w:sz w:val="24"/>
                <w:szCs w:val="24"/>
              </w:rPr>
              <w:t>Money market development captured by monetary policy rate, treasury bill rate and 12-months deposit rate.</w:t>
            </w:r>
          </w:p>
        </w:tc>
        <w:tc>
          <w:tcPr>
            <w:tcW w:w="3008" w:type="dxa"/>
            <w:vAlign w:val="center"/>
          </w:tcPr>
          <w:p>
            <w:pPr>
              <w:spacing w:before="60" w:after="60" w:line="360" w:lineRule="auto"/>
              <w:ind w:left="-77" w:right="-108" w:hanging="11"/>
              <w:jc w:val="center"/>
              <w:rPr>
                <w:rFonts w:ascii="Times New Roman" w:hAnsi="Times New Roman" w:cs="Times New Roman"/>
                <w:sz w:val="24"/>
                <w:szCs w:val="24"/>
                <w:lang w:eastAsia="en-GB"/>
              </w:rPr>
            </w:pPr>
            <w:r>
              <w:rPr>
                <w:rFonts w:ascii="Times New Roman" w:hAnsi="Times New Roman" w:cs="Times New Roman"/>
                <w:sz w:val="24"/>
                <w:szCs w:val="24"/>
                <w:lang w:eastAsia="en-GB"/>
              </w:rPr>
              <w:t>They are measure in percentage</w:t>
            </w:r>
          </w:p>
        </w:tc>
        <w:tc>
          <w:tcPr>
            <w:tcW w:w="2410" w:type="dxa"/>
            <w:vAlign w:val="center"/>
          </w:tcPr>
          <w:p>
            <w:pPr>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Central Bank of Nigeria Bulletin (2022)</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before="60" w:after="60" w:line="360" w:lineRule="auto"/>
              <w:ind w:left="-108" w:hanging="11"/>
              <w:jc w:val="center"/>
              <w:rPr>
                <w:rFonts w:ascii="Times New Roman" w:hAnsi="Times New Roman" w:cs="Times New Roman"/>
                <w:i/>
                <w:sz w:val="24"/>
                <w:szCs w:val="24"/>
              </w:rPr>
            </w:pPr>
            <w:r>
              <w:rPr>
                <w:rFonts w:ascii="Times New Roman" w:hAnsi="Times New Roman" w:cs="Times New Roman"/>
                <w:i/>
                <w:sz w:val="24"/>
                <w:szCs w:val="24"/>
              </w:rPr>
              <w:t>bsd</w:t>
            </w:r>
          </w:p>
        </w:tc>
        <w:tc>
          <w:tcPr>
            <w:tcW w:w="4647" w:type="dxa"/>
          </w:tcPr>
          <w:p>
            <w:pPr>
              <w:spacing w:before="60" w:after="60" w:line="360" w:lineRule="auto"/>
              <w:ind w:left="11" w:hanging="11"/>
              <w:rPr>
                <w:rFonts w:ascii="Times New Roman" w:hAnsi="Times New Roman" w:cs="Times New Roman"/>
                <w:sz w:val="24"/>
                <w:szCs w:val="24"/>
              </w:rPr>
            </w:pPr>
            <w:r>
              <w:rPr>
                <w:rFonts w:ascii="Times New Roman" w:hAnsi="Times New Roman" w:eastAsia="Times New Roman" w:cs="Times New Roman"/>
                <w:sz w:val="24"/>
                <w:szCs w:val="24"/>
              </w:rPr>
              <w:t>Banking sector development measured by liquidity ratio, loan to deposit ratio, and domestic credit to private sector by banks to GDP ratio.</w:t>
            </w:r>
          </w:p>
        </w:tc>
        <w:tc>
          <w:tcPr>
            <w:tcW w:w="3008" w:type="dxa"/>
            <w:vAlign w:val="center"/>
          </w:tcPr>
          <w:p>
            <w:pPr>
              <w:spacing w:before="60" w:after="60" w:line="360" w:lineRule="auto"/>
              <w:ind w:left="-77" w:right="-108" w:hanging="11"/>
              <w:jc w:val="center"/>
              <w:rPr>
                <w:rFonts w:ascii="Times New Roman" w:hAnsi="Times New Roman" w:cs="Times New Roman"/>
                <w:sz w:val="24"/>
                <w:szCs w:val="24"/>
                <w:lang w:eastAsia="en-GB"/>
              </w:rPr>
            </w:pPr>
            <w:r>
              <w:rPr>
                <w:rFonts w:ascii="Times New Roman" w:hAnsi="Times New Roman" w:cs="Times New Roman"/>
                <w:sz w:val="24"/>
                <w:szCs w:val="24"/>
                <w:lang w:eastAsia="en-GB"/>
              </w:rPr>
              <w:t>They are measure in percentage</w:t>
            </w:r>
          </w:p>
        </w:tc>
        <w:tc>
          <w:tcPr>
            <w:tcW w:w="2410" w:type="dxa"/>
            <w:vAlign w:val="center"/>
          </w:tcPr>
          <w:p>
            <w:pPr>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Central Bank of Nigeria Bulletin (2022)</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before="60" w:after="60" w:line="360" w:lineRule="auto"/>
              <w:ind w:left="-108" w:hanging="11"/>
              <w:jc w:val="center"/>
              <w:rPr>
                <w:rFonts w:ascii="Times New Roman" w:hAnsi="Times New Roman" w:cs="Times New Roman"/>
                <w:i/>
                <w:sz w:val="24"/>
                <w:szCs w:val="24"/>
              </w:rPr>
            </w:pPr>
            <w:r>
              <w:rPr>
                <w:rFonts w:ascii="Times New Roman" w:hAnsi="Times New Roman" w:cs="Times New Roman"/>
                <w:i/>
                <w:sz w:val="24"/>
                <w:szCs w:val="24"/>
              </w:rPr>
              <w:t>smd</w:t>
            </w:r>
          </w:p>
        </w:tc>
        <w:tc>
          <w:tcPr>
            <w:tcW w:w="4647" w:type="dxa"/>
          </w:tcPr>
          <w:p>
            <w:pPr>
              <w:spacing w:before="60" w:after="60" w:line="360" w:lineRule="auto"/>
              <w:ind w:left="11" w:hanging="11"/>
              <w:rPr>
                <w:rFonts w:ascii="Times New Roman" w:hAnsi="Times New Roman" w:cs="Times New Roman"/>
                <w:sz w:val="24"/>
                <w:szCs w:val="24"/>
              </w:rPr>
            </w:pPr>
            <w:r>
              <w:rPr>
                <w:rFonts w:ascii="Times New Roman" w:hAnsi="Times New Roman" w:cs="Times New Roman"/>
                <w:sz w:val="24"/>
                <w:szCs w:val="24"/>
              </w:rPr>
              <w:t xml:space="preserve">Stock market development measured by </w:t>
            </w:r>
            <w:r>
              <w:rPr>
                <w:rFonts w:ascii="Times New Roman" w:hAnsi="Times New Roman" w:eastAsia="Times New Roman" w:cs="Times New Roman"/>
                <w:sz w:val="24"/>
                <w:szCs w:val="24"/>
              </w:rPr>
              <w:t>stock market capitalization to GDP, total stock transaction value to GDP, and all share index</w:t>
            </w:r>
          </w:p>
        </w:tc>
        <w:tc>
          <w:tcPr>
            <w:tcW w:w="3008" w:type="dxa"/>
            <w:vAlign w:val="center"/>
          </w:tcPr>
          <w:p>
            <w:pPr>
              <w:spacing w:before="60" w:after="60" w:line="360" w:lineRule="auto"/>
              <w:ind w:left="-77" w:right="-108" w:hanging="11"/>
              <w:jc w:val="center"/>
              <w:rPr>
                <w:rFonts w:ascii="Times New Roman" w:hAnsi="Times New Roman" w:cs="Times New Roman"/>
                <w:sz w:val="24"/>
                <w:szCs w:val="24"/>
                <w:lang w:eastAsia="en-GB"/>
              </w:rPr>
            </w:pPr>
            <w:r>
              <w:rPr>
                <w:rFonts w:ascii="Times New Roman" w:hAnsi="Times New Roman" w:cs="Times New Roman"/>
                <w:sz w:val="24"/>
                <w:szCs w:val="24"/>
                <w:lang w:eastAsia="en-GB"/>
              </w:rPr>
              <w:t>They are measure in percentage of GDP except all share idex</w:t>
            </w:r>
          </w:p>
        </w:tc>
        <w:tc>
          <w:tcPr>
            <w:tcW w:w="2410" w:type="dxa"/>
            <w:vAlign w:val="center"/>
          </w:tcPr>
          <w:p>
            <w:pPr>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Central Bank of Nigeria Bulletin (2022)</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before="60" w:after="60" w:line="360" w:lineRule="auto"/>
              <w:ind w:left="-108" w:hanging="11"/>
              <w:jc w:val="center"/>
              <w:rPr>
                <w:rFonts w:ascii="Times New Roman" w:hAnsi="Times New Roman" w:cs="Times New Roman"/>
                <w:i/>
                <w:sz w:val="24"/>
                <w:szCs w:val="24"/>
              </w:rPr>
            </w:pPr>
            <w:r>
              <w:rPr>
                <w:rFonts w:ascii="Times New Roman" w:hAnsi="Times New Roman" w:cs="Times New Roman"/>
                <w:i/>
                <w:sz w:val="24"/>
                <w:szCs w:val="24"/>
              </w:rPr>
              <w:t>topen</w:t>
            </w:r>
          </w:p>
        </w:tc>
        <w:tc>
          <w:tcPr>
            <w:tcW w:w="4647" w:type="dxa"/>
          </w:tcPr>
          <w:p>
            <w:pPr>
              <w:spacing w:before="60" w:after="60" w:line="360" w:lineRule="auto"/>
              <w:ind w:left="11" w:hanging="11"/>
              <w:rPr>
                <w:rFonts w:ascii="Times New Roman" w:hAnsi="Times New Roman" w:cs="Times New Roman"/>
                <w:sz w:val="24"/>
                <w:szCs w:val="24"/>
              </w:rPr>
            </w:pPr>
            <w:r>
              <w:rPr>
                <w:rFonts w:ascii="Times New Roman" w:hAnsi="Times New Roman" w:cs="Times New Roman"/>
                <w:sz w:val="24"/>
                <w:szCs w:val="24"/>
              </w:rPr>
              <w:t>Trade openness captures the total trade as a percentage of gross domestic product in a country.</w:t>
            </w:r>
          </w:p>
        </w:tc>
        <w:tc>
          <w:tcPr>
            <w:tcW w:w="3008" w:type="dxa"/>
            <w:vAlign w:val="center"/>
          </w:tcPr>
          <w:p>
            <w:pPr>
              <w:spacing w:before="60" w:after="60" w:line="360" w:lineRule="auto"/>
              <w:ind w:left="-77" w:right="-108" w:hanging="11"/>
              <w:jc w:val="center"/>
              <w:rPr>
                <w:rFonts w:ascii="Times New Roman" w:hAnsi="Times New Roman" w:cs="Times New Roman"/>
                <w:sz w:val="24"/>
                <w:szCs w:val="24"/>
                <w:lang w:eastAsia="en-GB"/>
              </w:rPr>
            </w:pPr>
            <w:r>
              <w:rPr>
                <w:rFonts w:ascii="Times New Roman" w:hAnsi="Times New Roman" w:cs="Times New Roman"/>
                <w:sz w:val="24"/>
                <w:szCs w:val="24"/>
                <w:lang w:eastAsia="en-GB"/>
              </w:rPr>
              <w:t>It is measured as total trade as a percentage of GDP</w:t>
            </w:r>
          </w:p>
        </w:tc>
        <w:tc>
          <w:tcPr>
            <w:tcW w:w="2410" w:type="dxa"/>
            <w:vAlign w:val="center"/>
          </w:tcPr>
          <w:p>
            <w:pPr>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World Development Indicators (2023)</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before="60" w:after="60" w:line="360" w:lineRule="auto"/>
              <w:ind w:left="-108" w:hanging="11"/>
              <w:jc w:val="center"/>
              <w:rPr>
                <w:rFonts w:ascii="Times New Roman" w:hAnsi="Times New Roman" w:cs="Times New Roman"/>
                <w:i/>
                <w:sz w:val="24"/>
                <w:szCs w:val="24"/>
              </w:rPr>
            </w:pPr>
            <w:r>
              <w:rPr>
                <w:rFonts w:ascii="Times New Roman" w:hAnsi="Times New Roman" w:cs="Times New Roman"/>
                <w:i/>
                <w:sz w:val="24"/>
                <w:szCs w:val="24"/>
              </w:rPr>
              <w:t xml:space="preserve"> inf</w:t>
            </w:r>
          </w:p>
        </w:tc>
        <w:tc>
          <w:tcPr>
            <w:tcW w:w="4647" w:type="dxa"/>
          </w:tcPr>
          <w:p>
            <w:pPr>
              <w:spacing w:before="60" w:after="60" w:line="360" w:lineRule="auto"/>
              <w:ind w:left="11" w:hanging="11"/>
              <w:rPr>
                <w:rFonts w:ascii="Times New Roman" w:hAnsi="Times New Roman" w:cs="Times New Roman"/>
                <w:sz w:val="24"/>
                <w:szCs w:val="24"/>
              </w:rPr>
            </w:pPr>
            <w:r>
              <w:rPr>
                <w:rFonts w:ascii="Times New Roman" w:hAnsi="Times New Roman" w:cs="Times New Roman"/>
                <w:sz w:val="24"/>
                <w:szCs w:val="24"/>
              </w:rPr>
              <w:t>Inflation is measured by annual rate of consumer price index of a country.</w:t>
            </w:r>
          </w:p>
        </w:tc>
        <w:tc>
          <w:tcPr>
            <w:tcW w:w="3008" w:type="dxa"/>
            <w:vAlign w:val="center"/>
          </w:tcPr>
          <w:p>
            <w:pPr>
              <w:spacing w:before="60" w:after="60" w:line="360" w:lineRule="auto"/>
              <w:ind w:left="-77" w:right="-108" w:hanging="11"/>
              <w:jc w:val="center"/>
              <w:rPr>
                <w:rFonts w:ascii="Times New Roman" w:hAnsi="Times New Roman" w:cs="Times New Roman"/>
                <w:sz w:val="24"/>
                <w:szCs w:val="24"/>
                <w:lang w:eastAsia="en-GB"/>
              </w:rPr>
            </w:pPr>
            <w:r>
              <w:rPr>
                <w:rFonts w:ascii="Times New Roman" w:hAnsi="Times New Roman" w:cs="Times New Roman"/>
                <w:sz w:val="24"/>
                <w:szCs w:val="24"/>
                <w:lang w:eastAsia="en-GB"/>
              </w:rPr>
              <w:t>Annual growth</w:t>
            </w:r>
          </w:p>
        </w:tc>
        <w:tc>
          <w:tcPr>
            <w:tcW w:w="2410" w:type="dxa"/>
            <w:vAlign w:val="center"/>
          </w:tcPr>
          <w:p>
            <w:pPr>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World Development Indicators (2023)</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135" w:type="dxa"/>
          </w:tcPr>
          <w:p>
            <w:pPr>
              <w:spacing w:before="60" w:after="60" w:line="360" w:lineRule="auto"/>
              <w:ind w:left="-108" w:hanging="11"/>
              <w:jc w:val="center"/>
              <w:rPr>
                <w:rFonts w:ascii="Times New Roman" w:hAnsi="Times New Roman" w:cs="Times New Roman"/>
                <w:i/>
                <w:sz w:val="24"/>
                <w:szCs w:val="24"/>
              </w:rPr>
            </w:pPr>
            <w:r>
              <w:rPr>
                <w:rFonts w:ascii="Times New Roman" w:hAnsi="Times New Roman" w:cs="Times New Roman"/>
                <w:i/>
                <w:sz w:val="24"/>
                <w:szCs w:val="24"/>
              </w:rPr>
              <w:t>gfcf</w:t>
            </w:r>
          </w:p>
        </w:tc>
        <w:tc>
          <w:tcPr>
            <w:tcW w:w="4647" w:type="dxa"/>
          </w:tcPr>
          <w:p>
            <w:pPr>
              <w:spacing w:before="60" w:after="60" w:line="360" w:lineRule="auto"/>
              <w:ind w:left="11" w:hanging="11"/>
              <w:rPr>
                <w:rFonts w:ascii="Times New Roman" w:hAnsi="Times New Roman" w:cs="Times New Roman"/>
                <w:sz w:val="24"/>
                <w:szCs w:val="24"/>
              </w:rPr>
            </w:pPr>
            <w:r>
              <w:rPr>
                <w:rFonts w:ascii="Times New Roman" w:hAnsi="Times New Roman" w:cs="Times New Roman"/>
                <w:sz w:val="24"/>
                <w:szCs w:val="24"/>
              </w:rPr>
              <w:t>Gross fixed capital formation includes the total domestic investment of private and public sector to the size of GDP in a country</w:t>
            </w:r>
          </w:p>
        </w:tc>
        <w:tc>
          <w:tcPr>
            <w:tcW w:w="3008" w:type="dxa"/>
            <w:vAlign w:val="center"/>
          </w:tcPr>
          <w:p>
            <w:pPr>
              <w:spacing w:before="60" w:after="60" w:line="360" w:lineRule="auto"/>
              <w:ind w:left="-77" w:right="-108" w:hanging="11"/>
              <w:jc w:val="center"/>
              <w:rPr>
                <w:rFonts w:ascii="Times New Roman" w:hAnsi="Times New Roman" w:cs="Times New Roman"/>
                <w:sz w:val="24"/>
                <w:szCs w:val="24"/>
                <w:lang w:eastAsia="en-GB"/>
              </w:rPr>
            </w:pPr>
            <w:r>
              <w:rPr>
                <w:rFonts w:ascii="Times New Roman" w:hAnsi="Times New Roman" w:cs="Times New Roman"/>
                <w:sz w:val="24"/>
                <w:szCs w:val="24"/>
                <w:lang w:eastAsia="en-GB"/>
              </w:rPr>
              <w:t>It is measured as a percentage of GDP</w:t>
            </w:r>
          </w:p>
        </w:tc>
        <w:tc>
          <w:tcPr>
            <w:tcW w:w="2410" w:type="dxa"/>
            <w:vAlign w:val="center"/>
          </w:tcPr>
          <w:p>
            <w:pPr>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World Development Indicators (2023)</w:t>
            </w:r>
          </w:p>
        </w:tc>
      </w:tr>
    </w:tbl>
    <w:p>
      <w:pPr>
        <w:spacing w:after="120" w:line="480" w:lineRule="auto"/>
        <w:rPr>
          <w:rFonts w:ascii="Times New Roman" w:hAnsi="Times New Roman" w:cs="Times New Roman"/>
          <w:sz w:val="24"/>
          <w:szCs w:val="24"/>
        </w:rPr>
      </w:pPr>
      <w:r>
        <w:rPr>
          <w:rFonts w:ascii="Times New Roman" w:hAnsi="Times New Roman" w:cs="Times New Roman"/>
          <w:b/>
          <w:sz w:val="24"/>
          <w:szCs w:val="24"/>
        </w:rPr>
        <w:t>Source:</w:t>
      </w:r>
      <w:r>
        <w:rPr>
          <w:rFonts w:ascii="Times New Roman" w:hAnsi="Times New Roman" w:cs="Times New Roman"/>
          <w:sz w:val="24"/>
          <w:szCs w:val="24"/>
        </w:rPr>
        <w:t xml:space="preserve">  Author’s compilation (2023).</w:t>
      </w:r>
    </w:p>
    <w:p>
      <w:pPr>
        <w:rPr>
          <w:rFonts w:ascii="Times New Roman" w:hAnsi="Times New Roman" w:eastAsia="Times New Roman" w:cs="Times New Roman"/>
          <w:b/>
          <w:sz w:val="24"/>
          <w:szCs w:val="24"/>
        </w:rPr>
      </w:pPr>
      <w:r>
        <w:rPr>
          <w:rFonts w:ascii="Times New Roman" w:hAnsi="Times New Roman" w:eastAsia="Times New Roman" w:cs="Times New Roman"/>
          <w:b/>
          <w:sz w:val="24"/>
          <w:szCs w:val="24"/>
        </w:rPr>
        <w:br w:type="page"/>
      </w: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b/>
          <w:sz w:val="24"/>
          <w:szCs w:val="24"/>
        </w:rPr>
        <w:t>3.4</w:t>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Estimation Techniques</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specification and estimation of the models requires that we test the time series properties of the data in order to determine whether the variables contain integrated components, hence, this study adopt time series estimation techniques. Before estimating the parameters, the study examines the stationarity (presence of a unit root) of the variables using the Augmented Dickey Fuller (ADF) test. Afterwards, the study tests for the cointegration of the variables depending on the results of the stationarity of the variables. In addition, the appropriate estimator was also employed to evaluate the coefficients of the empirical models.</w:t>
      </w:r>
    </w:p>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3.4.1</w:t>
      </w:r>
      <w:r>
        <w:rPr>
          <w:rFonts w:ascii="Times New Roman" w:hAnsi="Times New Roman" w:cs="Times New Roman"/>
          <w:b/>
          <w:bCs/>
          <w:sz w:val="24"/>
          <w:szCs w:val="24"/>
        </w:rPr>
        <w:tab/>
      </w:r>
      <w:r>
        <w:rPr>
          <w:rFonts w:ascii="Times New Roman" w:hAnsi="Times New Roman" w:cs="Times New Roman"/>
          <w:b/>
          <w:bCs/>
          <w:sz w:val="24"/>
          <w:szCs w:val="24"/>
        </w:rPr>
        <w:t>Unit root test</w:t>
      </w:r>
    </w:p>
    <w:p>
      <w:pPr>
        <w:spacing w:after="0" w:line="480" w:lineRule="auto"/>
        <w:jc w:val="both"/>
        <w:rPr>
          <w:rFonts w:ascii="Times New Roman" w:hAnsi="Times New Roman" w:cs="Times New Roman"/>
          <w:sz w:val="24"/>
          <w:szCs w:val="24"/>
        </w:rPr>
      </w:pPr>
      <w:r>
        <w:rPr>
          <w:rFonts w:ascii="Times New Roman" w:hAnsi="Times New Roman" w:cs="Times New Roman"/>
          <w:bCs/>
          <w:sz w:val="24"/>
          <w:szCs w:val="24"/>
        </w:rPr>
        <w:t xml:space="preserve">This study used the unit root test to test for the stationarity of the times series data collected for the research to avoid the danger of bias that stationarity of data may pose to the study if they are not checked. The unit root test was employed because in the literature most time series variables are non-stationary and using non-stationary variables in the model might lead to a spurious regression. </w:t>
      </w:r>
      <w:r>
        <w:rPr>
          <w:rFonts w:ascii="Times New Roman" w:hAnsi="Times New Roman" w:cs="Times New Roman"/>
          <w:sz w:val="24"/>
          <w:szCs w:val="24"/>
        </w:rPr>
        <w:t>In order to ascertain whether time series data were stationary or non-stationary and to determine the number of times (the level) at which the variables must be differenced before becoming stationary, unit root tests were conducted. The Dickey – Fuller regression is estimated as follows for unit root.</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∆Y</w:t>
      </w:r>
      <w:r>
        <w:rPr>
          <w:rFonts w:ascii="Times New Roman" w:hAnsi="Times New Roman" w:cs="Times New Roman"/>
          <w:sz w:val="24"/>
          <w:szCs w:val="24"/>
          <w:vertAlign w:val="subscript"/>
        </w:rPr>
        <w:t>t</w:t>
      </w:r>
      <w:r>
        <w:rPr>
          <w:rFonts w:ascii="Times New Roman" w:hAnsi="Times New Roman" w:cs="Times New Roman"/>
          <w:sz w:val="24"/>
          <w:szCs w:val="24"/>
        </w:rPr>
        <w:t xml:space="preserve"> = λY</w:t>
      </w:r>
      <w:r>
        <w:rPr>
          <w:rFonts w:ascii="Times New Roman" w:hAnsi="Times New Roman" w:cs="Times New Roman"/>
          <w:sz w:val="24"/>
          <w:szCs w:val="24"/>
          <w:vertAlign w:val="subscript"/>
        </w:rPr>
        <w:t>t-1</w:t>
      </w:r>
      <w:r>
        <w:rPr>
          <w:rFonts w:ascii="Times New Roman" w:hAnsi="Times New Roman" w:cs="Times New Roman"/>
          <w:sz w:val="24"/>
          <w:szCs w:val="24"/>
        </w:rPr>
        <w:t xml:space="preserve"> + V</w:t>
      </w:r>
      <w:r>
        <w:rPr>
          <w:rFonts w:ascii="Times New Roman" w:hAnsi="Times New Roman" w:cs="Times New Roman"/>
          <w:sz w:val="24"/>
          <w:szCs w:val="24"/>
          <w:vertAlign w:val="subscript"/>
        </w:rPr>
        <w:t>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(3.7)</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If λ equals 0, Y</w:t>
      </w:r>
      <w:r>
        <w:rPr>
          <w:rFonts w:ascii="Times New Roman" w:hAnsi="Times New Roman" w:cs="Times New Roman"/>
          <w:sz w:val="24"/>
          <w:szCs w:val="24"/>
          <w:vertAlign w:val="subscript"/>
        </w:rPr>
        <w:t>t</w:t>
      </w:r>
      <w:r>
        <w:rPr>
          <w:rFonts w:ascii="Times New Roman" w:hAnsi="Times New Roman" w:cs="Times New Roman"/>
          <w:sz w:val="24"/>
          <w:szCs w:val="24"/>
        </w:rPr>
        <w:t xml:space="preserve"> is non-stationary, as a result Y</w:t>
      </w:r>
      <w:r>
        <w:rPr>
          <w:rFonts w:ascii="Times New Roman" w:hAnsi="Times New Roman" w:cs="Times New Roman"/>
          <w:sz w:val="24"/>
          <w:szCs w:val="24"/>
          <w:vertAlign w:val="subscript"/>
        </w:rPr>
        <w:t>t</w:t>
      </w:r>
      <w:r>
        <w:rPr>
          <w:rFonts w:ascii="Times New Roman" w:hAnsi="Times New Roman" w:cs="Times New Roman"/>
          <w:sz w:val="24"/>
          <w:szCs w:val="24"/>
        </w:rPr>
        <w:t xml:space="preserve"> and X</w:t>
      </w:r>
      <w:r>
        <w:rPr>
          <w:rFonts w:ascii="Times New Roman" w:hAnsi="Times New Roman" w:cs="Times New Roman"/>
          <w:sz w:val="24"/>
          <w:szCs w:val="24"/>
          <w:vertAlign w:val="subscript"/>
        </w:rPr>
        <w:t>t</w:t>
      </w:r>
      <w:r>
        <w:rPr>
          <w:rFonts w:ascii="Times New Roman" w:hAnsi="Times New Roman" w:cs="Times New Roman"/>
          <w:sz w:val="24"/>
          <w:szCs w:val="24"/>
        </w:rPr>
        <w:t xml:space="preserve"> are not co-integrated. In order words, if λ is significantly different from 0 Y</w:t>
      </w:r>
      <w:r>
        <w:rPr>
          <w:rFonts w:ascii="Times New Roman" w:hAnsi="Times New Roman" w:cs="Times New Roman"/>
          <w:sz w:val="24"/>
          <w:szCs w:val="24"/>
          <w:vertAlign w:val="subscript"/>
        </w:rPr>
        <w:t>t</w:t>
      </w:r>
      <w:r>
        <w:rPr>
          <w:rFonts w:ascii="Times New Roman" w:hAnsi="Times New Roman" w:cs="Times New Roman"/>
          <w:sz w:val="24"/>
          <w:szCs w:val="24"/>
        </w:rPr>
        <w:t xml:space="preserve"> and X</w:t>
      </w:r>
      <w:r>
        <w:rPr>
          <w:rFonts w:ascii="Times New Roman" w:hAnsi="Times New Roman" w:cs="Times New Roman"/>
          <w:sz w:val="24"/>
          <w:szCs w:val="24"/>
          <w:vertAlign w:val="subscript"/>
        </w:rPr>
        <w:t>t</w:t>
      </w:r>
      <w:r>
        <w:rPr>
          <w:rFonts w:ascii="Times New Roman" w:hAnsi="Times New Roman" w:cs="Times New Roman"/>
          <w:sz w:val="24"/>
          <w:szCs w:val="24"/>
        </w:rPr>
        <w:t xml:space="preserve"> are found integrated individually. Given the inherent weakness of the unit root to distinguish between null and the alternative hypotheses, it is desirable that the Augmented Dickey Fuller (ADF) test be applied. To be co-integrated; both Y</w:t>
      </w:r>
      <w:r>
        <w:rPr>
          <w:rFonts w:ascii="Times New Roman" w:hAnsi="Times New Roman" w:cs="Times New Roman"/>
          <w:sz w:val="24"/>
          <w:szCs w:val="24"/>
          <w:vertAlign w:val="subscript"/>
        </w:rPr>
        <w:t>t</w:t>
      </w:r>
      <w:r>
        <w:rPr>
          <w:rFonts w:ascii="Times New Roman" w:hAnsi="Times New Roman" w:cs="Times New Roman"/>
          <w:sz w:val="24"/>
          <w:szCs w:val="24"/>
        </w:rPr>
        <w:t xml:space="preserve"> and X</w:t>
      </w:r>
      <w:r>
        <w:rPr>
          <w:rFonts w:ascii="Times New Roman" w:hAnsi="Times New Roman" w:cs="Times New Roman"/>
          <w:sz w:val="24"/>
          <w:szCs w:val="24"/>
          <w:vertAlign w:val="subscript"/>
        </w:rPr>
        <w:t>t</w:t>
      </w:r>
      <w:r>
        <w:rPr>
          <w:rFonts w:ascii="Times New Roman" w:hAnsi="Times New Roman" w:cs="Times New Roman"/>
          <w:sz w:val="24"/>
          <w:szCs w:val="24"/>
        </w:rPr>
        <w:t xml:space="preserve"> must have the same order of integration</w:t>
      </w:r>
      <w:r>
        <w:rPr>
          <w:rFonts w:ascii="Times New Roman" w:hAnsi="Times New Roman" w:cs="Times New Roman"/>
          <w:sz w:val="24"/>
          <w:szCs w:val="24"/>
          <w:vertAlign w:val="superscript"/>
        </w:rPr>
        <w:t>10,11</w:t>
      </w:r>
      <w:r>
        <w:rPr>
          <w:rFonts w:ascii="Times New Roman" w:hAnsi="Times New Roman" w:cs="Times New Roman"/>
          <w:sz w:val="24"/>
          <w:szCs w:val="24"/>
        </w:rPr>
        <w:t>. The ADF regression is specified as follows:</w:t>
      </w:r>
    </w:p>
    <w:p>
      <w:pPr>
        <w:spacing w:after="120" w:line="552" w:lineRule="auto"/>
        <w:jc w:val="both"/>
        <w:rPr>
          <w:rFonts w:ascii="Times New Roman" w:hAnsi="Times New Roman" w:cs="Times New Roman"/>
          <w:sz w:val="24"/>
          <w:szCs w:val="24"/>
        </w:rPr>
      </w:pPr>
      <w:r>
        <w:rPr>
          <w:rFonts w:ascii="Times New Roman" w:hAnsi="Times New Roman" w:cs="Times New Roman"/>
          <w:position w:val="-28"/>
          <w:sz w:val="24"/>
          <w:szCs w:val="24"/>
        </w:rPr>
        <w:object>
          <v:shape id="_x0000_i1039" o:spt="75" type="#_x0000_t75" style="height:33.75pt;width:190.5pt;" o:ole="t" filled="f" o:preferrelative="t" stroked="f" coordsize="21600,21600">
            <v:path/>
            <v:fill on="f" focussize="0,0"/>
            <v:stroke on="f" joinstyle="miter"/>
            <v:imagedata r:id="rId39" o:title=""/>
            <o:lock v:ext="edit" aspectratio="t"/>
            <w10:wrap type="none"/>
            <w10:anchorlock/>
          </v:shape>
          <o:OLEObject Type="Embed" ProgID="Equation.DSMT4" ShapeID="_x0000_i1039" DrawAspect="Content" ObjectID="_1468075739" r:id="rId38">
            <o:LockedField>false</o:LockedField>
          </o:OLEObject>
        </w:objec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(3.8)</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is the first difference operator, </w:t>
      </w:r>
      <w:r>
        <w:rPr>
          <w:rFonts w:ascii="Times New Roman" w:hAnsi="Times New Roman" w:cs="Times New Roman"/>
          <w:position w:val="-12"/>
          <w:sz w:val="24"/>
          <w:szCs w:val="24"/>
        </w:rPr>
        <w:object>
          <v:shape id="_x0000_i1040" o:spt="75" type="#_x0000_t75" style="height:19.5pt;width:12pt;" o:ole="t" filled="f" o:preferrelative="t" stroked="f" coordsize="21600,21600">
            <v:path/>
            <v:fill on="f" focussize="0,0"/>
            <v:stroke on="f" joinstyle="miter"/>
            <v:imagedata r:id="rId41" o:title=""/>
            <o:lock v:ext="edit" aspectratio="t"/>
            <w10:wrap type="none"/>
            <w10:anchorlock/>
          </v:shape>
          <o:OLEObject Type="Embed" ProgID="Equation.DSMT4" ShapeID="_x0000_i1040" DrawAspect="Content" ObjectID="_1468075740" r:id="rId40">
            <o:LockedField>false</o:LockedField>
          </o:OLEObject>
        </w:object>
      </w:r>
      <w:r>
        <w:rPr>
          <w:rFonts w:ascii="Times New Roman" w:hAnsi="Times New Roman" w:cs="Times New Roman"/>
          <w:sz w:val="24"/>
          <w:szCs w:val="24"/>
        </w:rPr>
        <w:t xml:space="preserve"> is the new random error term, </w:t>
      </w:r>
      <w:r>
        <w:rPr>
          <w:rFonts w:ascii="Times New Roman" w:hAnsi="Times New Roman" w:cs="Times New Roman"/>
          <w:i/>
          <w:sz w:val="24"/>
          <w:szCs w:val="24"/>
        </w:rPr>
        <w:t>M</w:t>
      </w:r>
      <w:r>
        <w:rPr>
          <w:rFonts w:ascii="Times New Roman" w:hAnsi="Times New Roman" w:cs="Times New Roman"/>
          <w:sz w:val="24"/>
          <w:szCs w:val="24"/>
        </w:rPr>
        <w:t xml:space="preserve"> is the optimum number of lags needed to obtain “white noise”. The null hypothesis of non-stationarity is rejected if the estimated ADF statistic is found to be larger in absolute term or more negative than its critical values at 1 or 5 percent level of significance.</w:t>
      </w:r>
    </w:p>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3.4.2</w:t>
      </w:r>
      <w:r>
        <w:rPr>
          <w:rFonts w:ascii="Times New Roman" w:hAnsi="Times New Roman" w:cs="Times New Roman"/>
          <w:b/>
          <w:bCs/>
          <w:sz w:val="24"/>
          <w:szCs w:val="24"/>
        </w:rPr>
        <w:tab/>
      </w:r>
      <w:r>
        <w:rPr>
          <w:rFonts w:ascii="Times New Roman" w:hAnsi="Times New Roman" w:cs="Times New Roman"/>
          <w:b/>
          <w:bCs/>
          <w:sz w:val="24"/>
          <w:szCs w:val="24"/>
        </w:rPr>
        <w:t>Co-integration Test</w:t>
      </w:r>
    </w:p>
    <w:p>
      <w:pPr>
        <w:spacing w:after="0"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The purpose of the co-integration test is to determine whether a group of non-stationary time series is co-integrated to reduce bias. </w:t>
      </w:r>
      <w:r>
        <w:rPr>
          <w:rFonts w:ascii="Times New Roman" w:hAnsi="Times New Roman" w:eastAsia="Times New Roman" w:cs="Times New Roman"/>
          <w:sz w:val="24"/>
          <w:szCs w:val="24"/>
        </w:rPr>
        <w:t>The concept of co-integration creates the link between integrated processes and the concept of steady state equilibrium</w:t>
      </w:r>
      <w:r>
        <w:rPr>
          <w:rFonts w:ascii="Times New Roman" w:hAnsi="Times New Roman" w:eastAsia="Times New Roman" w:cs="Times New Roman"/>
          <w:sz w:val="24"/>
          <w:szCs w:val="24"/>
          <w:vertAlign w:val="superscript"/>
        </w:rPr>
        <w:t>12</w:t>
      </w:r>
      <w:r>
        <w:rPr>
          <w:rFonts w:ascii="Times New Roman" w:hAnsi="Times New Roman" w:eastAsia="Times New Roman" w:cs="Times New Roman"/>
          <w:sz w:val="24"/>
          <w:szCs w:val="24"/>
        </w:rPr>
        <w:t>.</w:t>
      </w:r>
      <w:r>
        <w:rPr>
          <w:rFonts w:ascii="Times New Roman" w:hAnsi="Times New Roman" w:cs="Times New Roman"/>
          <w:bCs/>
          <w:sz w:val="24"/>
          <w:szCs w:val="24"/>
        </w:rPr>
        <w:t>Thus, in this study, autoregressive distributed lag (ARDL) tests for co-integration analysis was employed to investigate the long-term relationship between the variables of interest.</w:t>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3.4.3</w:t>
      </w:r>
      <w:r>
        <w:rPr>
          <w:rFonts w:ascii="Times New Roman" w:hAnsi="Times New Roman" w:cs="Times New Roman"/>
          <w:b/>
          <w:sz w:val="24"/>
          <w:szCs w:val="24"/>
        </w:rPr>
        <w:tab/>
      </w:r>
      <w:r>
        <w:rPr>
          <w:rFonts w:ascii="Times New Roman" w:hAnsi="Times New Roman" w:cs="Times New Roman"/>
          <w:b/>
          <w:sz w:val="24"/>
          <w:szCs w:val="24"/>
        </w:rPr>
        <w:t>ARDL Estimation Test</w:t>
      </w:r>
    </w:p>
    <w:p>
      <w:pPr>
        <w:spacing w:after="0" w:line="480" w:lineRule="auto"/>
        <w:ind w:left="11" w:hanging="11"/>
        <w:jc w:val="both"/>
        <w:rPr>
          <w:rFonts w:ascii="Times New Roman" w:hAnsi="Times New Roman" w:cs="Times New Roman"/>
          <w:sz w:val="24"/>
          <w:szCs w:val="24"/>
        </w:rPr>
      </w:pPr>
      <w:r>
        <w:rPr>
          <w:rFonts w:ascii="Times New Roman" w:hAnsi="Times New Roman" w:cs="Times New Roman"/>
          <w:sz w:val="24"/>
          <w:szCs w:val="24"/>
        </w:rPr>
        <w:t>In this study, the autoregressive distributed lag (ARDL) was used to estimate the short-run and long-run estimates of the existing relationship between institutions, government health spending and health outcomes. Three advantages</w:t>
      </w:r>
      <w:r>
        <w:rPr>
          <w:rFonts w:ascii="Times New Roman" w:hAnsi="Times New Roman" w:cs="Times New Roman"/>
          <w:sz w:val="24"/>
          <w:szCs w:val="24"/>
          <w:vertAlign w:val="superscript"/>
        </w:rPr>
        <w:t>13</w:t>
      </w:r>
      <w:r>
        <w:rPr>
          <w:rFonts w:ascii="Times New Roman" w:hAnsi="Times New Roman" w:cs="Times New Roman"/>
          <w:sz w:val="24"/>
          <w:szCs w:val="24"/>
        </w:rPr>
        <w:t xml:space="preserve"> for using this method are stated as: (a) small sample data (b) variables with mixed stationarity level either I(0) or I(1) and (c) both long- and short-run estimates can be derived simultaneously. The lag length is selected using the Akaike information criteria (AIC). The calculated F-statistic value is used to make the decision about the cointegration. The significance of our calculated value is compared with the two tabulated values (upper bound and lower bound) computed by a scholar</w:t>
      </w:r>
      <w:r>
        <w:rPr>
          <w:rFonts w:ascii="Times New Roman" w:hAnsi="Times New Roman" w:cs="Times New Roman"/>
          <w:sz w:val="24"/>
          <w:szCs w:val="24"/>
          <w:vertAlign w:val="superscript"/>
        </w:rPr>
        <w:t>14</w:t>
      </w:r>
      <w:r>
        <w:rPr>
          <w:rFonts w:ascii="Times New Roman" w:hAnsi="Times New Roman" w:cs="Times New Roman"/>
          <w:sz w:val="24"/>
          <w:szCs w:val="24"/>
        </w:rPr>
        <w:t>. The decision criteria support cointegration if the calculated value is greater than the upper bound value; no cointegration if the value is lesser than the lower bound value; and inconclusive if the value lies between the two bounds values.</w:t>
      </w:r>
    </w:p>
    <w:p>
      <w:pPr>
        <w:spacing w:after="120" w:line="480" w:lineRule="auto"/>
        <w:jc w:val="center"/>
        <w:rPr>
          <w:rFonts w:ascii="Times New Roman" w:hAnsi="Times New Roman" w:cs="Times New Roman"/>
          <w:sz w:val="24"/>
          <w:szCs w:val="24"/>
        </w:rPr>
      </w:pPr>
      <w:r>
        <w:rPr>
          <w:rFonts w:ascii="Times New Roman" w:hAnsi="Times New Roman" w:cs="Times New Roman"/>
          <w:sz w:val="24"/>
          <w:szCs w:val="24"/>
        </w:rPr>
        <w:br w:type="page"/>
      </w:r>
      <w:r>
        <w:rPr>
          <w:rFonts w:ascii="Times New Roman" w:hAnsi="Times New Roman" w:cs="Times New Roman"/>
          <w:b/>
          <w:sz w:val="24"/>
          <w:szCs w:val="24"/>
        </w:rPr>
        <w:t>Endnotes</w:t>
      </w:r>
    </w:p>
    <w:p>
      <w:pPr>
        <w:pStyle w:val="14"/>
        <w:numPr>
          <w:ilvl w:val="0"/>
          <w:numId w:val="3"/>
        </w:numPr>
        <w:spacing w:after="240"/>
        <w:jc w:val="both"/>
        <w:rPr>
          <w:rFonts w:ascii="Times New Roman" w:hAnsi="Times New Roman" w:eastAsia="Calibri" w:cs="Times New Roman"/>
          <w:sz w:val="24"/>
          <w:szCs w:val="24"/>
        </w:rPr>
      </w:pPr>
      <w:r>
        <w:rPr>
          <w:rFonts w:ascii="Times New Roman" w:hAnsi="Times New Roman" w:eastAsia="Calibri" w:cs="Times New Roman"/>
          <w:sz w:val="24"/>
          <w:szCs w:val="24"/>
          <w:shd w:val="clear" w:color="auto" w:fill="FFFFFF"/>
        </w:rPr>
        <w:t xml:space="preserve">S. Nasreen, M., Mahalik, M., Shahbaz, &amp; Q. Abb. </w:t>
      </w:r>
      <w:r>
        <w:rPr>
          <w:rFonts w:ascii="Times New Roman" w:hAnsi="Times New Roman" w:eastAsia="Calibri" w:cs="Times New Roman"/>
          <w:i/>
          <w:iCs/>
          <w:sz w:val="24"/>
          <w:szCs w:val="24"/>
          <w:shd w:val="clear" w:color="auto" w:fill="FFFFFF"/>
        </w:rPr>
        <w:t>How do financial globalization, institutions and economic growth impact financial sector development in European countries</w:t>
      </w:r>
      <w:r>
        <w:rPr>
          <w:rFonts w:ascii="Times New Roman" w:hAnsi="Times New Roman" w:eastAsia="Calibri" w:cs="Times New Roman"/>
          <w:sz w:val="24"/>
          <w:szCs w:val="24"/>
          <w:shd w:val="clear" w:color="auto" w:fill="FFFFFF"/>
        </w:rPr>
        <w:t xml:space="preserve">? </w:t>
      </w:r>
      <w:r>
        <w:rPr>
          <w:rFonts w:ascii="Times New Roman" w:hAnsi="Times New Roman" w:eastAsia="Calibri" w:cs="Times New Roman"/>
          <w:b/>
          <w:sz w:val="24"/>
          <w:szCs w:val="24"/>
          <w:shd w:val="clear" w:color="auto" w:fill="FFFFFF"/>
        </w:rPr>
        <w:t>Research in International Business and Finance</w:t>
      </w:r>
      <w:r>
        <w:rPr>
          <w:rFonts w:ascii="Times New Roman" w:hAnsi="Times New Roman" w:eastAsia="Calibri" w:cs="Times New Roman"/>
          <w:sz w:val="24"/>
          <w:szCs w:val="24"/>
          <w:shd w:val="clear" w:color="auto" w:fill="FFFFFF"/>
        </w:rPr>
        <w:t>, 54, 2020, 101247. https://doi.org/10.1016/j.ribaf.2020.101247</w:t>
      </w:r>
    </w:p>
    <w:p>
      <w:pPr>
        <w:pStyle w:val="14"/>
        <w:numPr>
          <w:ilvl w:val="0"/>
          <w:numId w:val="3"/>
        </w:numPr>
        <w:spacing w:after="240"/>
        <w:ind w:left="714" w:hanging="357"/>
        <w:jc w:val="both"/>
        <w:rPr>
          <w:rFonts w:ascii="Times New Roman" w:hAnsi="Times New Roman" w:eastAsia="Calibri" w:cs="Times New Roman"/>
          <w:sz w:val="24"/>
          <w:szCs w:val="24"/>
        </w:rPr>
      </w:pPr>
      <w:r>
        <w:rPr>
          <w:rFonts w:ascii="Times New Roman" w:hAnsi="Times New Roman" w:eastAsia="Calibri" w:cs="Times New Roman"/>
          <w:sz w:val="24"/>
          <w:szCs w:val="24"/>
          <w:shd w:val="clear" w:color="auto" w:fill="FFFFFF"/>
        </w:rPr>
        <w:t xml:space="preserve">I. Matei. </w:t>
      </w:r>
      <w:r>
        <w:rPr>
          <w:rFonts w:ascii="Times New Roman" w:hAnsi="Times New Roman" w:eastAsia="Calibri" w:cs="Times New Roman"/>
          <w:i/>
          <w:sz w:val="24"/>
          <w:szCs w:val="24"/>
          <w:shd w:val="clear" w:color="auto" w:fill="FFFFFF"/>
        </w:rPr>
        <w:t>Is financial development good for economic growth? Empirical insights from emerging European countries</w:t>
      </w:r>
      <w:r>
        <w:rPr>
          <w:rFonts w:ascii="Times New Roman" w:hAnsi="Times New Roman" w:eastAsia="Calibri" w:cs="Times New Roman"/>
          <w:sz w:val="24"/>
          <w:szCs w:val="24"/>
          <w:shd w:val="clear" w:color="auto" w:fill="FFFFFF"/>
        </w:rPr>
        <w:t>.</w:t>
      </w:r>
      <w:r>
        <w:rPr>
          <w:rFonts w:ascii="Times New Roman" w:hAnsi="Times New Roman" w:eastAsia="Calibri" w:cs="Times New Roman"/>
          <w:b/>
          <w:iCs/>
          <w:sz w:val="24"/>
          <w:szCs w:val="24"/>
          <w:shd w:val="clear" w:color="auto" w:fill="FFFFFF"/>
        </w:rPr>
        <w:t>Quant. Financ. Econ</w:t>
      </w:r>
      <w:r>
        <w:rPr>
          <w:rFonts w:ascii="Times New Roman" w:hAnsi="Times New Roman" w:eastAsia="Calibri" w:cs="Times New Roman"/>
          <w:sz w:val="24"/>
          <w:szCs w:val="24"/>
          <w:shd w:val="clear" w:color="auto" w:fill="FFFFFF"/>
        </w:rPr>
        <w:t xml:space="preserve"> 4, 2020, 653-678.</w:t>
      </w:r>
    </w:p>
    <w:p>
      <w:pPr>
        <w:pStyle w:val="14"/>
        <w:numPr>
          <w:ilvl w:val="0"/>
          <w:numId w:val="3"/>
        </w:numPr>
        <w:spacing w:after="240"/>
        <w:ind w:left="714" w:hanging="357"/>
        <w:jc w:val="both"/>
        <w:rPr>
          <w:rFonts w:ascii="Times New Roman" w:hAnsi="Times New Roman" w:eastAsia="Calibri" w:cs="Times New Roman"/>
          <w:sz w:val="24"/>
          <w:szCs w:val="24"/>
        </w:rPr>
      </w:pPr>
      <w:r>
        <w:rPr>
          <w:rFonts w:ascii="Times New Roman" w:hAnsi="Times New Roman" w:eastAsia="Calibri" w:cs="Times New Roman"/>
          <w:sz w:val="24"/>
          <w:szCs w:val="24"/>
        </w:rPr>
        <w:t>G. Shi, D. Wang, &amp;M. Altuntaş.</w:t>
      </w:r>
      <w:r>
        <w:rPr>
          <w:rFonts w:ascii="Times New Roman" w:hAnsi="Times New Roman" w:eastAsia="Calibri" w:cs="Times New Roman"/>
          <w:i/>
          <w:sz w:val="24"/>
          <w:szCs w:val="24"/>
        </w:rPr>
        <w:t>Financial development and health outcomes: do financial globalization matter in selected Asian economies</w:t>
      </w:r>
      <w:r>
        <w:rPr>
          <w:rFonts w:ascii="Times New Roman" w:hAnsi="Times New Roman" w:eastAsia="Calibri" w:cs="Times New Roman"/>
          <w:sz w:val="24"/>
          <w:szCs w:val="24"/>
        </w:rPr>
        <w:t xml:space="preserve">? </w:t>
      </w:r>
      <w:r>
        <w:rPr>
          <w:rFonts w:ascii="Times New Roman" w:hAnsi="Times New Roman" w:eastAsia="Calibri" w:cs="Times New Roman"/>
          <w:b/>
          <w:sz w:val="24"/>
          <w:szCs w:val="24"/>
        </w:rPr>
        <w:t>Frontiers in Public Health</w:t>
      </w:r>
      <w:r>
        <w:rPr>
          <w:rFonts w:ascii="Times New Roman" w:hAnsi="Times New Roman" w:eastAsia="Calibri" w:cs="Times New Roman"/>
          <w:sz w:val="24"/>
          <w:szCs w:val="24"/>
        </w:rPr>
        <w:t>, 10, 2022. https://doi.org/10.3389/fpubh.2022.843935</w:t>
      </w:r>
    </w:p>
    <w:p>
      <w:pPr>
        <w:pStyle w:val="14"/>
        <w:numPr>
          <w:ilvl w:val="0"/>
          <w:numId w:val="3"/>
        </w:numPr>
        <w:spacing w:after="240"/>
        <w:ind w:left="714" w:hanging="357"/>
        <w:jc w:val="both"/>
        <w:rPr>
          <w:rFonts w:ascii="Times New Roman" w:hAnsi="Times New Roman" w:eastAsia="Times New Roman" w:cs="Times New Roman"/>
          <w:sz w:val="24"/>
          <w:szCs w:val="24"/>
        </w:rPr>
      </w:pPr>
      <w:r>
        <w:rPr>
          <w:rFonts w:ascii="Times New Roman" w:hAnsi="Times New Roman" w:eastAsia="Calibri" w:cs="Times New Roman"/>
          <w:sz w:val="24"/>
          <w:szCs w:val="24"/>
          <w:shd w:val="clear" w:color="auto" w:fill="FFFFFF"/>
        </w:rPr>
        <w:t xml:space="preserve">L. Yemelyanova. </w:t>
      </w:r>
      <w:r>
        <w:rPr>
          <w:rFonts w:ascii="Times New Roman" w:hAnsi="Times New Roman" w:eastAsia="Calibri" w:cs="Times New Roman"/>
          <w:i/>
          <w:sz w:val="24"/>
          <w:szCs w:val="24"/>
          <w:shd w:val="clear" w:color="auto" w:fill="FFFFFF"/>
        </w:rPr>
        <w:t>Relationship between the stock market development, banking sector development and economic growth in the CEE countries</w:t>
      </w:r>
      <w:r>
        <w:rPr>
          <w:rFonts w:ascii="Times New Roman" w:hAnsi="Times New Roman" w:eastAsia="Calibri" w:cs="Times New Roman"/>
          <w:sz w:val="24"/>
          <w:szCs w:val="24"/>
          <w:shd w:val="clear" w:color="auto" w:fill="FFFFFF"/>
        </w:rPr>
        <w:t xml:space="preserve">. </w:t>
      </w:r>
      <w:r>
        <w:rPr>
          <w:rFonts w:ascii="Times New Roman" w:hAnsi="Times New Roman" w:eastAsia="Calibri" w:cs="Times New Roman"/>
          <w:b/>
          <w:sz w:val="24"/>
          <w:szCs w:val="24"/>
          <w:shd w:val="clear" w:color="auto" w:fill="FFFFFF"/>
        </w:rPr>
        <w:t>Baltic Journal of Economic Studies</w:t>
      </w:r>
      <w:r>
        <w:rPr>
          <w:rFonts w:ascii="Times New Roman" w:hAnsi="Times New Roman" w:eastAsia="Calibri" w:cs="Times New Roman"/>
          <w:sz w:val="24"/>
          <w:szCs w:val="24"/>
          <w:shd w:val="clear" w:color="auto" w:fill="FFFFFF"/>
        </w:rPr>
        <w:t xml:space="preserve">, 7(3), 2021, 118-126. </w:t>
      </w:r>
      <w:r>
        <w:fldChar w:fldCharType="begin"/>
      </w:r>
      <w:r>
        <w:instrText xml:space="preserve"> HYPERLINK "https://doi.org/10.30525/2256-0742/2021-7-3-118-126." </w:instrText>
      </w:r>
      <w:r>
        <w:fldChar w:fldCharType="separate"/>
      </w:r>
      <w:r>
        <w:rPr>
          <w:rStyle w:val="31"/>
          <w:rFonts w:ascii="Times New Roman" w:hAnsi="Times New Roman" w:eastAsia="Calibri" w:cs="Times New Roman"/>
          <w:color w:val="auto"/>
          <w:sz w:val="24"/>
          <w:szCs w:val="24"/>
          <w:shd w:val="clear" w:color="auto" w:fill="FFFFFF"/>
        </w:rPr>
        <w:t>https://doi.org/10.30525/2256-0742/2021-7-3-118-126.</w:t>
      </w:r>
      <w:r>
        <w:rPr>
          <w:rStyle w:val="31"/>
          <w:rFonts w:ascii="Times New Roman" w:hAnsi="Times New Roman" w:eastAsia="Calibri" w:cs="Times New Roman"/>
          <w:color w:val="auto"/>
          <w:sz w:val="24"/>
          <w:szCs w:val="24"/>
          <w:shd w:val="clear" w:color="auto" w:fill="FFFFFF"/>
        </w:rPr>
        <w:fldChar w:fldCharType="end"/>
      </w:r>
    </w:p>
    <w:p>
      <w:pPr>
        <w:pStyle w:val="14"/>
        <w:numPr>
          <w:ilvl w:val="0"/>
          <w:numId w:val="3"/>
        </w:numPr>
        <w:spacing w:after="240"/>
        <w:ind w:left="714" w:hanging="357"/>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R. Banerjee, A. Maruta, &amp;R. Donato. </w:t>
      </w:r>
      <w:r>
        <w:rPr>
          <w:rFonts w:ascii="Times New Roman" w:hAnsi="Times New Roman" w:eastAsia="Calibri" w:cs="Times New Roman"/>
          <w:i/>
          <w:sz w:val="24"/>
          <w:szCs w:val="24"/>
        </w:rPr>
        <w:t>Does higher financial inclusion lead to better health outcomes? evidence from developing and transitional economies</w:t>
      </w:r>
      <w:r>
        <w:rPr>
          <w:rFonts w:ascii="Times New Roman" w:hAnsi="Times New Roman" w:eastAsia="Calibri" w:cs="Times New Roman"/>
          <w:sz w:val="24"/>
          <w:szCs w:val="24"/>
        </w:rPr>
        <w:t xml:space="preserve">. </w:t>
      </w:r>
      <w:r>
        <w:rPr>
          <w:rFonts w:ascii="Times New Roman" w:hAnsi="Times New Roman" w:eastAsia="Calibri" w:cs="Times New Roman"/>
          <w:b/>
          <w:sz w:val="24"/>
          <w:szCs w:val="24"/>
        </w:rPr>
        <w:t>Economics of Transition and Institutional Change</w:t>
      </w:r>
      <w:r>
        <w:rPr>
          <w:rFonts w:ascii="Times New Roman" w:hAnsi="Times New Roman" w:eastAsia="Calibri" w:cs="Times New Roman"/>
          <w:sz w:val="24"/>
          <w:szCs w:val="24"/>
        </w:rPr>
        <w:t>, 31(2), 2022 363-401.</w:t>
      </w:r>
    </w:p>
    <w:p>
      <w:pPr>
        <w:pStyle w:val="14"/>
        <w:numPr>
          <w:ilvl w:val="0"/>
          <w:numId w:val="3"/>
        </w:numPr>
        <w:spacing w:after="240"/>
        <w:ind w:left="714" w:hanging="357"/>
        <w:jc w:val="both"/>
        <w:rPr>
          <w:rFonts w:ascii="Times New Roman" w:hAnsi="Times New Roman" w:eastAsia="Calibri" w:cs="Times New Roman"/>
          <w:sz w:val="24"/>
          <w:szCs w:val="24"/>
        </w:rPr>
      </w:pPr>
      <w:r>
        <w:rPr>
          <w:rFonts w:ascii="Times New Roman" w:hAnsi="Times New Roman" w:eastAsia="Calibri" w:cs="Times New Roman"/>
          <w:sz w:val="24"/>
          <w:szCs w:val="24"/>
        </w:rPr>
        <w:t>U. Abdulahi, Y. Bani, N. Wana, &amp;A. Rosland.</w:t>
      </w:r>
      <w:r>
        <w:rPr>
          <w:rFonts w:ascii="Times New Roman" w:hAnsi="Times New Roman" w:eastAsia="Calibri" w:cs="Times New Roman"/>
          <w:i/>
          <w:sz w:val="24"/>
          <w:szCs w:val="24"/>
        </w:rPr>
        <w:t>Remittances and health outcomes in sub-saharan african countries: understanding the role of financial development and institutional quality</w:t>
      </w:r>
      <w:r>
        <w:rPr>
          <w:rFonts w:ascii="Times New Roman" w:hAnsi="Times New Roman" w:eastAsia="Calibri" w:cs="Times New Roman"/>
          <w:sz w:val="24"/>
          <w:szCs w:val="24"/>
        </w:rPr>
        <w:t xml:space="preserve">. </w:t>
      </w:r>
      <w:r>
        <w:rPr>
          <w:rFonts w:ascii="Times New Roman" w:hAnsi="Times New Roman" w:eastAsia="Calibri" w:cs="Times New Roman"/>
          <w:b/>
          <w:sz w:val="24"/>
          <w:szCs w:val="24"/>
        </w:rPr>
        <w:t>Economic Annals</w:t>
      </w:r>
      <w:r>
        <w:rPr>
          <w:rFonts w:ascii="Times New Roman" w:hAnsi="Times New Roman" w:eastAsia="Calibri" w:cs="Times New Roman"/>
          <w:sz w:val="24"/>
          <w:szCs w:val="24"/>
        </w:rPr>
        <w:t>, 66(229), 2021, 119-144.</w:t>
      </w:r>
    </w:p>
    <w:p>
      <w:pPr>
        <w:pStyle w:val="14"/>
        <w:numPr>
          <w:ilvl w:val="0"/>
          <w:numId w:val="3"/>
        </w:numPr>
        <w:spacing w:after="240"/>
        <w:ind w:left="714" w:hanging="357"/>
        <w:jc w:val="both"/>
        <w:rPr>
          <w:rFonts w:ascii="Times New Roman" w:hAnsi="Times New Roman" w:eastAsia="Calibri" w:cs="Times New Roman"/>
          <w:sz w:val="24"/>
          <w:szCs w:val="24"/>
        </w:rPr>
      </w:pPr>
      <w:r>
        <w:rPr>
          <w:rFonts w:ascii="Times New Roman" w:hAnsi="Times New Roman" w:eastAsia="Calibri" w:cs="Times New Roman"/>
          <w:sz w:val="24"/>
          <w:szCs w:val="24"/>
          <w:shd w:val="clear" w:color="auto" w:fill="FFFFFF"/>
        </w:rPr>
        <w:t xml:space="preserve">A. Shafiei, M. </w:t>
      </w:r>
      <w:r>
        <w:rPr>
          <w:rFonts w:ascii="Times New Roman" w:hAnsi="Times New Roman" w:cs="Times New Roman"/>
          <w:sz w:val="24"/>
          <w:szCs w:val="24"/>
          <w:shd w:val="clear" w:color="auto" w:fill="FFFFFF"/>
        </w:rPr>
        <w:t xml:space="preserve">Nonejad, H. Zare, &amp; A. Haghighat. </w:t>
      </w:r>
      <w:r>
        <w:rPr>
          <w:rFonts w:ascii="Times New Roman" w:hAnsi="Times New Roman" w:eastAsia="Calibri" w:cs="Times New Roman"/>
          <w:i/>
          <w:sz w:val="24"/>
          <w:szCs w:val="24"/>
          <w:shd w:val="clear" w:color="auto" w:fill="FFFFFF"/>
        </w:rPr>
        <w:t>The Effect of Financial Development on Human Development in Selected Development Countries Using GMM Method</w:t>
      </w:r>
      <w:r>
        <w:rPr>
          <w:rFonts w:ascii="Times New Roman" w:hAnsi="Times New Roman" w:eastAsia="Calibri" w:cs="Times New Roman"/>
          <w:sz w:val="24"/>
          <w:szCs w:val="24"/>
          <w:shd w:val="clear" w:color="auto" w:fill="FFFFFF"/>
        </w:rPr>
        <w:t>.</w:t>
      </w:r>
      <w:r>
        <w:rPr>
          <w:rFonts w:ascii="Times New Roman" w:hAnsi="Times New Roman" w:eastAsia="Calibri" w:cs="Times New Roman"/>
          <w:b/>
          <w:iCs/>
          <w:sz w:val="24"/>
          <w:szCs w:val="24"/>
          <w:shd w:val="clear" w:color="auto" w:fill="FFFFFF"/>
        </w:rPr>
        <w:t>Journal of System Management</w:t>
      </w:r>
      <w:r>
        <w:rPr>
          <w:rFonts w:ascii="Times New Roman" w:hAnsi="Times New Roman" w:eastAsia="Calibri" w:cs="Times New Roman"/>
          <w:iCs/>
          <w:sz w:val="24"/>
          <w:szCs w:val="24"/>
          <w:shd w:val="clear" w:color="auto" w:fill="FFFFFF"/>
        </w:rPr>
        <w:t>,</w:t>
      </w:r>
      <w:r>
        <w:rPr>
          <w:rFonts w:ascii="Times New Roman" w:hAnsi="Times New Roman" w:eastAsia="Calibri" w:cs="Times New Roman"/>
          <w:sz w:val="24"/>
          <w:szCs w:val="24"/>
          <w:shd w:val="clear" w:color="auto" w:fill="FFFFFF"/>
        </w:rPr>
        <w:t xml:space="preserve"> 9(2), 2023.</w:t>
      </w:r>
    </w:p>
    <w:p>
      <w:pPr>
        <w:pStyle w:val="14"/>
        <w:numPr>
          <w:ilvl w:val="0"/>
          <w:numId w:val="3"/>
        </w:numPr>
        <w:spacing w:after="240"/>
        <w:ind w:left="714" w:hanging="357"/>
        <w:jc w:val="both"/>
        <w:rPr>
          <w:rFonts w:ascii="Times New Roman" w:hAnsi="Times New Roman" w:eastAsia="Calibri" w:cs="Times New Roman"/>
          <w:sz w:val="24"/>
          <w:szCs w:val="24"/>
        </w:rPr>
      </w:pPr>
      <w:r>
        <w:rPr>
          <w:rFonts w:ascii="Times New Roman" w:hAnsi="Times New Roman" w:cs="Times New Roman"/>
          <w:sz w:val="24"/>
          <w:szCs w:val="24"/>
          <w:shd w:val="clear" w:color="auto" w:fill="FFFFFF"/>
        </w:rPr>
        <w:t xml:space="preserve">U. A. A. Bare, Y. Bani, N. W. Ismail, &amp; A. Rosland. </w:t>
      </w:r>
      <w:r>
        <w:rPr>
          <w:rFonts w:ascii="Times New Roman" w:hAnsi="Times New Roman" w:cs="Times New Roman"/>
          <w:i/>
          <w:sz w:val="24"/>
          <w:szCs w:val="24"/>
          <w:shd w:val="clear" w:color="auto" w:fill="FFFFFF"/>
        </w:rPr>
        <w:t>Remittances and health outcomes in Sub-Saharan African countries: understanding the role of financial development and institutional quality</w:t>
      </w:r>
      <w:r>
        <w:rPr>
          <w:rFonts w:ascii="Times New Roman" w:hAnsi="Times New Roman" w:cs="Times New Roman"/>
          <w:sz w:val="24"/>
          <w:szCs w:val="24"/>
          <w:shd w:val="clear" w:color="auto" w:fill="FFFFFF"/>
        </w:rPr>
        <w:t>. </w:t>
      </w:r>
      <w:r>
        <w:rPr>
          <w:rFonts w:ascii="Times New Roman" w:hAnsi="Times New Roman" w:cs="Times New Roman"/>
          <w:b/>
          <w:iCs/>
          <w:sz w:val="24"/>
          <w:szCs w:val="24"/>
          <w:shd w:val="clear" w:color="auto" w:fill="FFFFFF"/>
        </w:rPr>
        <w:t>Economic Annals</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66</w:t>
      </w:r>
      <w:r>
        <w:rPr>
          <w:rFonts w:ascii="Times New Roman" w:hAnsi="Times New Roman" w:cs="Times New Roman"/>
          <w:sz w:val="24"/>
          <w:szCs w:val="24"/>
          <w:shd w:val="clear" w:color="auto" w:fill="FFFFFF"/>
        </w:rPr>
        <w:t>(229), 2021, 119-144.</w:t>
      </w:r>
    </w:p>
    <w:p>
      <w:pPr>
        <w:pStyle w:val="14"/>
        <w:numPr>
          <w:ilvl w:val="0"/>
          <w:numId w:val="3"/>
        </w:numPr>
        <w:spacing w:after="240"/>
        <w:ind w:left="714" w:hanging="357"/>
        <w:jc w:val="both"/>
        <w:rPr>
          <w:rFonts w:ascii="Times New Roman" w:hAnsi="Times New Roman" w:eastAsia="Calibri" w:cs="Times New Roman"/>
          <w:sz w:val="24"/>
          <w:szCs w:val="24"/>
        </w:rPr>
      </w:pPr>
      <w:r>
        <w:rPr>
          <w:rFonts w:ascii="Times New Roman" w:hAnsi="Times New Roman" w:cs="Times New Roman"/>
          <w:sz w:val="24"/>
          <w:szCs w:val="24"/>
          <w:shd w:val="clear" w:color="auto" w:fill="FFFFFF"/>
        </w:rPr>
        <w:t xml:space="preserve">E. Öncü, &amp;K. Ergun. </w:t>
      </w:r>
      <w:r>
        <w:rPr>
          <w:rFonts w:ascii="Times New Roman" w:hAnsi="Times New Roman" w:cs="Times New Roman"/>
          <w:i/>
          <w:sz w:val="24"/>
          <w:szCs w:val="24"/>
          <w:shd w:val="clear" w:color="auto" w:fill="FFFFFF"/>
        </w:rPr>
        <w:t>Researching the Relationship Between Health and Financial Development: Case of Low-Income African Countries</w:t>
      </w:r>
      <w:r>
        <w:rPr>
          <w:rFonts w:ascii="Times New Roman" w:hAnsi="Times New Roman" w:cs="Times New Roman"/>
          <w:sz w:val="24"/>
          <w:szCs w:val="24"/>
          <w:shd w:val="clear" w:color="auto" w:fill="FFFFFF"/>
        </w:rPr>
        <w:t>. </w:t>
      </w:r>
      <w:r>
        <w:rPr>
          <w:rFonts w:ascii="Times New Roman" w:hAnsi="Times New Roman" w:cs="Times New Roman"/>
          <w:b/>
          <w:iCs/>
          <w:sz w:val="24"/>
          <w:szCs w:val="24"/>
          <w:shd w:val="clear" w:color="auto" w:fill="FFFFFF"/>
        </w:rPr>
        <w:t>Journal of Economics and Business Issues</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3</w:t>
      </w:r>
      <w:r>
        <w:rPr>
          <w:rFonts w:ascii="Times New Roman" w:hAnsi="Times New Roman" w:cs="Times New Roman"/>
          <w:sz w:val="24"/>
          <w:szCs w:val="24"/>
          <w:shd w:val="clear" w:color="auto" w:fill="FFFFFF"/>
        </w:rPr>
        <w:t>(1), 2023, 51-57.</w:t>
      </w:r>
    </w:p>
    <w:p>
      <w:pPr>
        <w:pStyle w:val="14"/>
        <w:numPr>
          <w:ilvl w:val="0"/>
          <w:numId w:val="3"/>
        </w:numPr>
        <w:spacing w:after="240"/>
        <w:ind w:left="714" w:hanging="357"/>
        <w:jc w:val="both"/>
        <w:rPr>
          <w:rFonts w:ascii="Times New Roman" w:hAnsi="Times New Roman" w:eastAsia="Calibri" w:cs="Times New Roman"/>
          <w:sz w:val="24"/>
          <w:szCs w:val="24"/>
        </w:rPr>
      </w:pPr>
      <w:r>
        <w:rPr>
          <w:rFonts w:ascii="Times New Roman" w:hAnsi="Times New Roman" w:cs="Times New Roman"/>
          <w:sz w:val="24"/>
          <w:szCs w:val="24"/>
        </w:rPr>
        <w:t xml:space="preserve">C. W. J. Granger, &amp;P. Newbold. </w:t>
      </w:r>
      <w:r>
        <w:rPr>
          <w:rFonts w:ascii="Times New Roman" w:hAnsi="Times New Roman" w:cs="Times New Roman"/>
          <w:bCs/>
          <w:i/>
          <w:sz w:val="24"/>
          <w:szCs w:val="24"/>
        </w:rPr>
        <w:t>Spurious regression in Econometrics</w:t>
      </w:r>
      <w:r>
        <w:rPr>
          <w:rFonts w:ascii="Times New Roman" w:hAnsi="Times New Roman" w:cs="Times New Roman"/>
          <w:sz w:val="24"/>
          <w:szCs w:val="24"/>
        </w:rPr>
        <w:t xml:space="preserve">. </w:t>
      </w:r>
      <w:r>
        <w:rPr>
          <w:rFonts w:ascii="Times New Roman" w:hAnsi="Times New Roman" w:cs="Times New Roman"/>
          <w:b/>
          <w:iCs/>
          <w:sz w:val="24"/>
          <w:szCs w:val="24"/>
        </w:rPr>
        <w:t>Journal of Econometrics</w:t>
      </w:r>
      <w:r>
        <w:rPr>
          <w:rFonts w:ascii="Times New Roman" w:hAnsi="Times New Roman" w:cs="Times New Roman"/>
          <w:sz w:val="24"/>
          <w:szCs w:val="24"/>
        </w:rPr>
        <w:t>, 2(1), 1974, 34-65.</w:t>
      </w:r>
    </w:p>
    <w:p>
      <w:pPr>
        <w:pStyle w:val="14"/>
        <w:numPr>
          <w:ilvl w:val="0"/>
          <w:numId w:val="3"/>
        </w:numPr>
        <w:spacing w:after="240"/>
        <w:ind w:left="714" w:hanging="357"/>
        <w:jc w:val="both"/>
        <w:rPr>
          <w:rFonts w:ascii="Times New Roman" w:hAnsi="Times New Roman" w:eastAsia="Calibri" w:cs="Times New Roman"/>
          <w:sz w:val="24"/>
          <w:szCs w:val="24"/>
        </w:rPr>
      </w:pPr>
      <w:r>
        <w:rPr>
          <w:rFonts w:ascii="Times New Roman" w:hAnsi="Times New Roman" w:cs="Times New Roman"/>
          <w:sz w:val="24"/>
          <w:szCs w:val="24"/>
        </w:rPr>
        <w:t xml:space="preserve">D. Dickey, &amp;W. Fuller. </w:t>
      </w:r>
      <w:r>
        <w:rPr>
          <w:rFonts w:ascii="Times New Roman" w:hAnsi="Times New Roman" w:cs="Times New Roman"/>
          <w:bCs/>
          <w:i/>
          <w:sz w:val="24"/>
          <w:szCs w:val="24"/>
        </w:rPr>
        <w:t>Distribution of the estimators for autoregressive time series with a unit root</w:t>
      </w:r>
      <w:r>
        <w:rPr>
          <w:rFonts w:ascii="Times New Roman" w:hAnsi="Times New Roman" w:cs="Times New Roman"/>
          <w:sz w:val="24"/>
          <w:szCs w:val="24"/>
        </w:rPr>
        <w:t xml:space="preserve">. </w:t>
      </w:r>
      <w:r>
        <w:rPr>
          <w:rFonts w:ascii="Times New Roman" w:hAnsi="Times New Roman" w:cs="Times New Roman"/>
          <w:b/>
          <w:iCs/>
          <w:sz w:val="24"/>
          <w:szCs w:val="24"/>
        </w:rPr>
        <w:t>Journal of the American Statistical Association</w:t>
      </w:r>
      <w:r>
        <w:rPr>
          <w:rFonts w:ascii="Times New Roman" w:hAnsi="Times New Roman" w:cs="Times New Roman"/>
          <w:sz w:val="24"/>
          <w:szCs w:val="24"/>
        </w:rPr>
        <w:t>, 45, 1979, 920-970.</w:t>
      </w:r>
    </w:p>
    <w:p>
      <w:pPr>
        <w:pStyle w:val="14"/>
        <w:numPr>
          <w:ilvl w:val="0"/>
          <w:numId w:val="3"/>
        </w:numPr>
        <w:spacing w:after="240"/>
        <w:ind w:left="714" w:hanging="357"/>
        <w:jc w:val="both"/>
        <w:rPr>
          <w:rFonts w:ascii="Times New Roman" w:hAnsi="Times New Roman" w:eastAsia="Calibri" w:cs="Times New Roman"/>
          <w:sz w:val="24"/>
          <w:szCs w:val="24"/>
        </w:rPr>
      </w:pPr>
      <w:r>
        <w:rPr>
          <w:rFonts w:ascii="Times New Roman" w:hAnsi="Times New Roman" w:cs="Times New Roman"/>
          <w:sz w:val="24"/>
          <w:szCs w:val="24"/>
        </w:rPr>
        <w:t xml:space="preserve">P. Alban. </w:t>
      </w:r>
      <w:r>
        <w:rPr>
          <w:rFonts w:ascii="Times New Roman" w:hAnsi="Times New Roman" w:cs="Times New Roman"/>
          <w:bCs/>
          <w:i/>
          <w:sz w:val="24"/>
          <w:szCs w:val="24"/>
        </w:rPr>
        <w:t>The relation between unemployment and the rate of change of money wage rates in the United Kingdom</w:t>
      </w:r>
      <w:r>
        <w:rPr>
          <w:rFonts w:ascii="Times New Roman" w:hAnsi="Times New Roman" w:cs="Times New Roman"/>
          <w:sz w:val="24"/>
          <w:szCs w:val="24"/>
        </w:rPr>
        <w:t xml:space="preserve">, </w:t>
      </w:r>
      <w:r>
        <w:rPr>
          <w:rFonts w:ascii="Times New Roman" w:hAnsi="Times New Roman" w:cs="Times New Roman"/>
          <w:i/>
          <w:sz w:val="24"/>
          <w:szCs w:val="24"/>
        </w:rPr>
        <w:t>1861-1957</w:t>
      </w:r>
      <w:r>
        <w:rPr>
          <w:rFonts w:ascii="Times New Roman" w:hAnsi="Times New Roman" w:cs="Times New Roman"/>
          <w:sz w:val="24"/>
          <w:szCs w:val="24"/>
        </w:rPr>
        <w:t xml:space="preserve">. </w:t>
      </w:r>
      <w:r>
        <w:rPr>
          <w:rFonts w:ascii="Times New Roman" w:hAnsi="Times New Roman" w:cs="Times New Roman"/>
          <w:b/>
          <w:i/>
          <w:iCs/>
          <w:sz w:val="24"/>
          <w:szCs w:val="24"/>
        </w:rPr>
        <w:t>Economica</w:t>
      </w:r>
      <w:r>
        <w:rPr>
          <w:rFonts w:ascii="Times New Roman" w:hAnsi="Times New Roman" w:cs="Times New Roman"/>
          <w:b/>
          <w:i/>
          <w:sz w:val="24"/>
          <w:szCs w:val="24"/>
        </w:rPr>
        <w:t>,</w:t>
      </w:r>
      <w:r>
        <w:rPr>
          <w:rFonts w:ascii="Times New Roman" w:hAnsi="Times New Roman" w:cs="Times New Roman"/>
          <w:sz w:val="24"/>
          <w:szCs w:val="24"/>
        </w:rPr>
        <w:t xml:space="preserve"> 25(100), 1958, 283-299.</w:t>
      </w:r>
    </w:p>
    <w:p>
      <w:pPr>
        <w:pStyle w:val="14"/>
        <w:numPr>
          <w:ilvl w:val="0"/>
          <w:numId w:val="3"/>
        </w:numPr>
        <w:spacing w:after="240"/>
        <w:ind w:left="714" w:hanging="357"/>
        <w:jc w:val="both"/>
        <w:rPr>
          <w:rFonts w:ascii="Times New Roman" w:hAnsi="Times New Roman" w:eastAsia="Calibri" w:cs="Times New Roman"/>
          <w:sz w:val="24"/>
          <w:szCs w:val="24"/>
        </w:rPr>
      </w:pPr>
      <w:r>
        <w:rPr>
          <w:rFonts w:ascii="Times New Roman" w:hAnsi="Times New Roman" w:cs="Times New Roman"/>
          <w:sz w:val="24"/>
          <w:szCs w:val="24"/>
        </w:rPr>
        <w:t xml:space="preserve">M. Shahbaz, S. A. Solarin, H. Mahmood, &amp; M. Arouri. </w:t>
      </w:r>
      <w:r>
        <w:rPr>
          <w:rFonts w:ascii="Times New Roman" w:hAnsi="Times New Roman" w:cs="Times New Roman"/>
          <w:bCs/>
          <w:i/>
          <w:sz w:val="24"/>
          <w:szCs w:val="24"/>
        </w:rPr>
        <w:t>Does financial development reduce CO2 emissions in Malaysian economy?</w:t>
      </w:r>
      <w:r>
        <w:rPr>
          <w:rFonts w:ascii="Times New Roman" w:hAnsi="Times New Roman" w:cs="Times New Roman"/>
          <w:sz w:val="24"/>
          <w:szCs w:val="24"/>
        </w:rPr>
        <w:t xml:space="preserve"> A time series analysis. </w:t>
      </w:r>
      <w:r>
        <w:rPr>
          <w:rFonts w:ascii="Times New Roman" w:hAnsi="Times New Roman" w:cs="Times New Roman"/>
          <w:b/>
          <w:iCs/>
          <w:sz w:val="24"/>
          <w:szCs w:val="24"/>
        </w:rPr>
        <w:t>Economic Modelling</w:t>
      </w:r>
      <w:r>
        <w:rPr>
          <w:rFonts w:ascii="Times New Roman" w:hAnsi="Times New Roman" w:cs="Times New Roman"/>
          <w:sz w:val="24"/>
          <w:szCs w:val="24"/>
        </w:rPr>
        <w:t>, 35, 2013, 93-108.</w:t>
      </w:r>
    </w:p>
    <w:p>
      <w:pPr>
        <w:pStyle w:val="14"/>
        <w:numPr>
          <w:ilvl w:val="0"/>
          <w:numId w:val="3"/>
        </w:numPr>
        <w:spacing w:after="240"/>
        <w:ind w:left="714" w:hanging="357"/>
        <w:jc w:val="both"/>
        <w:rPr>
          <w:rFonts w:ascii="Times New Roman" w:hAnsi="Times New Roman" w:eastAsia="Calibri" w:cs="Times New Roman"/>
          <w:sz w:val="24"/>
          <w:szCs w:val="24"/>
        </w:rPr>
      </w:pPr>
      <w:r>
        <w:rPr>
          <w:rFonts w:ascii="Times New Roman" w:hAnsi="Times New Roman" w:cs="Times New Roman"/>
          <w:sz w:val="24"/>
          <w:szCs w:val="24"/>
        </w:rPr>
        <w:t xml:space="preserve">P. Narayan. </w:t>
      </w:r>
      <w:r>
        <w:rPr>
          <w:rFonts w:ascii="Times New Roman" w:hAnsi="Times New Roman" w:cs="Times New Roman"/>
          <w:bCs/>
          <w:i/>
          <w:sz w:val="24"/>
          <w:szCs w:val="24"/>
        </w:rPr>
        <w:t>Reformulating critical values for the bounds F-statistics approach to cointegration</w:t>
      </w:r>
      <w:r>
        <w:rPr>
          <w:rFonts w:ascii="Times New Roman" w:hAnsi="Times New Roman" w:cs="Times New Roman"/>
          <w:sz w:val="24"/>
          <w:szCs w:val="24"/>
        </w:rPr>
        <w:t xml:space="preserve">: </w:t>
      </w:r>
      <w:r>
        <w:rPr>
          <w:rFonts w:ascii="Times New Roman" w:hAnsi="Times New Roman" w:cs="Times New Roman"/>
          <w:i/>
          <w:sz w:val="24"/>
          <w:szCs w:val="24"/>
        </w:rPr>
        <w:t>An application to the tourism demand model for Fiji</w:t>
      </w:r>
      <w:r>
        <w:rPr>
          <w:rFonts w:ascii="Times New Roman" w:hAnsi="Times New Roman" w:cs="Times New Roman"/>
          <w:sz w:val="24"/>
          <w:szCs w:val="24"/>
        </w:rPr>
        <w:t xml:space="preserve">. Australia: </w:t>
      </w:r>
      <w:r>
        <w:rPr>
          <w:rFonts w:ascii="Times New Roman" w:hAnsi="Times New Roman" w:cs="Times New Roman"/>
          <w:i/>
          <w:iCs/>
          <w:sz w:val="24"/>
          <w:szCs w:val="24"/>
        </w:rPr>
        <w:t>Monash University,</w:t>
      </w:r>
      <w:r>
        <w:rPr>
          <w:rFonts w:ascii="Times New Roman" w:hAnsi="Times New Roman" w:cs="Times New Roman"/>
          <w:sz w:val="24"/>
          <w:szCs w:val="24"/>
        </w:rPr>
        <w:t xml:space="preserve"> 2004.</w:t>
      </w:r>
    </w:p>
    <w:p>
      <w:pPr>
        <w:spacing w:after="0" w:line="240" w:lineRule="auto"/>
        <w:rPr>
          <w:rFonts w:ascii="Times New Roman" w:hAnsi="Times New Roman" w:eastAsia="Calibri"/>
          <w:sz w:val="24"/>
          <w:szCs w:val="24"/>
        </w:rPr>
      </w:pPr>
      <w:r>
        <w:rPr>
          <w:rFonts w:ascii="Times New Roman" w:hAnsi="Times New Roman" w:eastAsia="Calibri"/>
          <w:sz w:val="24"/>
          <w:szCs w:val="24"/>
        </w:rPr>
        <w:br w:type="page"/>
      </w:r>
    </w:p>
    <w:p>
      <w:pPr>
        <w:autoSpaceDE w:val="0"/>
        <w:autoSpaceDN w:val="0"/>
        <w:adjustRightInd w:val="0"/>
        <w:spacing w:after="120" w:line="480" w:lineRule="auto"/>
        <w:jc w:val="center"/>
        <w:rPr>
          <w:rFonts w:ascii="Times New Roman" w:hAnsi="Times New Roman" w:cs="Times New Roman"/>
          <w:b/>
          <w:sz w:val="24"/>
          <w:szCs w:val="24"/>
        </w:rPr>
      </w:pPr>
      <w:r>
        <w:rPr>
          <w:rFonts w:ascii="Times New Roman" w:hAnsi="Times New Roman" w:cs="Times New Roman"/>
          <w:b/>
          <w:sz w:val="24"/>
          <w:szCs w:val="24"/>
        </w:rPr>
        <w:t>Chapter Four</w:t>
      </w:r>
    </w:p>
    <w:p>
      <w:pPr>
        <w:tabs>
          <w:tab w:val="center" w:pos="4680"/>
        </w:tabs>
        <w:autoSpaceDE w:val="0"/>
        <w:autoSpaceDN w:val="0"/>
        <w:adjustRightInd w:val="0"/>
        <w:spacing w:after="120" w:line="480" w:lineRule="auto"/>
        <w:jc w:val="center"/>
        <w:rPr>
          <w:rFonts w:ascii="Times New Roman" w:hAnsi="Times New Roman" w:cs="Times New Roman"/>
          <w:b/>
          <w:sz w:val="24"/>
          <w:szCs w:val="24"/>
        </w:rPr>
      </w:pPr>
      <w:r>
        <w:rPr>
          <w:rFonts w:ascii="Times New Roman" w:hAnsi="Times New Roman" w:cs="Times New Roman"/>
          <w:b/>
          <w:sz w:val="24"/>
          <w:szCs w:val="24"/>
        </w:rPr>
        <w:t>Results and Discussion of Findings</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This study entails data presentation, estimation and the results of the empirical investigation of the links between financial sector development and health outcomes in Nigeria. Also, it addresses the long-run and short-run relationship between financial sector development and health outcomes in Nigeria. This is divided into descriptive analysis which include the mean, median as well measures of variation, it also takes into consideration the trend analysis which shows the trend of the time series data used from 1985 to 2022 and econometric analysis which focuses on unit root tests, co-integration test and autoregressive distributed lagged model.</w:t>
      </w:r>
    </w:p>
    <w:p>
      <w:pPr>
        <w:spacing w:after="120" w:line="480" w:lineRule="auto"/>
        <w:jc w:val="both"/>
        <w:rPr>
          <w:rFonts w:ascii="Times New Roman" w:hAnsi="Times New Roman" w:cs="Times New Roman"/>
          <w:sz w:val="24"/>
          <w:szCs w:val="24"/>
        </w:rPr>
      </w:pPr>
    </w:p>
    <w:p>
      <w:pPr>
        <w:spacing w:after="120" w:line="480" w:lineRule="auto"/>
        <w:jc w:val="both"/>
        <w:rPr>
          <w:rFonts w:ascii="Times New Roman" w:hAnsi="Times New Roman" w:cs="Times New Roman"/>
          <w:b/>
          <w:sz w:val="24"/>
          <w:szCs w:val="24"/>
        </w:rPr>
      </w:pPr>
      <w:r>
        <w:rPr>
          <w:rFonts w:ascii="Times New Roman" w:hAnsi="Times New Roman" w:cs="Times New Roman"/>
          <w:b/>
          <w:sz w:val="24"/>
          <w:szCs w:val="24"/>
        </w:rPr>
        <w:t>4.1</w:t>
      </w:r>
      <w:r>
        <w:rPr>
          <w:rFonts w:ascii="Times New Roman" w:hAnsi="Times New Roman" w:cs="Times New Roman"/>
          <w:b/>
          <w:sz w:val="24"/>
          <w:szCs w:val="24"/>
        </w:rPr>
        <w:tab/>
      </w:r>
      <w:r>
        <w:rPr>
          <w:rFonts w:ascii="Times New Roman" w:hAnsi="Times New Roman" w:cs="Times New Roman"/>
          <w:b/>
          <w:sz w:val="24"/>
          <w:szCs w:val="24"/>
        </w:rPr>
        <w:t>Data Presentation</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The data used for analyzing the relationship between financial sector development and health outcomes in Nigeria is presented in Appendix.</w:t>
      </w:r>
    </w:p>
    <w:p>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p>
    <w:p>
      <w:pPr>
        <w:spacing w:after="120" w:line="480" w:lineRule="auto"/>
        <w:rPr>
          <w:rFonts w:ascii="Times New Roman" w:hAnsi="Times New Roman" w:cs="Times New Roman"/>
          <w:sz w:val="24"/>
          <w:szCs w:val="24"/>
        </w:rPr>
      </w:pPr>
      <w:r>
        <w:rPr>
          <w:rFonts w:ascii="Times New Roman" w:hAnsi="Times New Roman" w:cs="Times New Roman"/>
          <w:b/>
          <w:bCs/>
          <w:sz w:val="24"/>
          <w:szCs w:val="24"/>
        </w:rPr>
        <w:t>4.2</w:t>
      </w:r>
      <w:r>
        <w:rPr>
          <w:rFonts w:ascii="Times New Roman" w:hAnsi="Times New Roman" w:cs="Times New Roman"/>
          <w:b/>
          <w:bCs/>
          <w:sz w:val="24"/>
          <w:szCs w:val="24"/>
        </w:rPr>
        <w:tab/>
      </w:r>
      <w:r>
        <w:rPr>
          <w:rFonts w:ascii="Times New Roman" w:hAnsi="Times New Roman" w:cs="Times New Roman"/>
          <w:b/>
          <w:bCs/>
          <w:sz w:val="24"/>
          <w:szCs w:val="24"/>
        </w:rPr>
        <w:t>Presentation of Results</w:t>
      </w:r>
    </w:p>
    <w:p>
      <w:pPr>
        <w:spacing w:after="120" w:line="480" w:lineRule="auto"/>
        <w:jc w:val="both"/>
        <w:rPr>
          <w:rFonts w:ascii="Times New Roman" w:hAnsi="Times New Roman" w:cs="Times New Roman"/>
          <w:b/>
          <w:sz w:val="24"/>
          <w:szCs w:val="24"/>
        </w:rPr>
      </w:pPr>
      <w:r>
        <w:rPr>
          <w:rFonts w:ascii="Times New Roman" w:hAnsi="Times New Roman" w:cs="Times New Roman"/>
          <w:b/>
          <w:sz w:val="24"/>
          <w:szCs w:val="24"/>
        </w:rPr>
        <w:t>4.2.1</w:t>
      </w:r>
      <w:r>
        <w:rPr>
          <w:rFonts w:ascii="Times New Roman" w:hAnsi="Times New Roman" w:cs="Times New Roman"/>
          <w:b/>
          <w:sz w:val="24"/>
          <w:szCs w:val="24"/>
        </w:rPr>
        <w:tab/>
      </w:r>
      <w:r>
        <w:rPr>
          <w:rFonts w:ascii="Times New Roman" w:hAnsi="Times New Roman" w:cs="Times New Roman"/>
          <w:b/>
          <w:sz w:val="24"/>
          <w:szCs w:val="24"/>
        </w:rPr>
        <w:t>Summary Statistics</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4.1 provides a summary of the preliminary study that details the mean, standard deviation, skewness, and peaking of the variables used to examine the connection between financial sector and health outcomes in Nigeria. According to the table, the average life expectancy and under-5 mortality rate were 48.84 years and 164.65 per 1,000 live births, respectively. The table showed that their maximum values were 52.91 years and 209.6 live births, while their minimum values were 45.49 years and 110.8/1,000 live births. This suggests that Nigeria’s health outcomes are low.The average money market instruments were13.62%, 11.81%, and 11.56% for monetary policy rate, treasury bill rate, and 12-month deposit rates, with highest values of 26%, 26.9%, and 25.65%, and lowest values of 6%, 3.17%, and 4.71%, respectively.As regards banking sector development measures, the averages of liquidity ratio, loan to deposit ratio and domestic credit to private sector to GDP were 49.16%, 65.89%, and 12.14%, respectively. Their maximumsare 104.2%, an96.82%, and 22.76%, while their minimum values are 26.39%, 37.56%, and 5.81%,correspondingly.The averages of the stock market measures are 12.45%, 0.83%, and 18,821.7 for stock marketisation to GDP ratio, total stock transaction value to GDP ratio, and all share index respectively. The highest values are 38.01%, 4.2%, and 57,990.2, and the minimum valuesare 3.09%, 0.04% and 127.3, respectively. </w:t>
      </w:r>
    </w:p>
    <w:p>
      <w:pPr>
        <w:spacing w:after="0" w:line="480" w:lineRule="auto"/>
        <w:rPr>
          <w:rFonts w:ascii="Times New Roman" w:hAnsi="Times New Roman" w:cs="Times New Roman"/>
          <w:sz w:val="24"/>
          <w:szCs w:val="24"/>
        </w:rPr>
      </w:pPr>
      <w:r>
        <w:rPr>
          <w:rFonts w:ascii="Times New Roman" w:hAnsi="Times New Roman" w:cs="Times New Roman"/>
          <w:sz w:val="24"/>
          <w:szCs w:val="24"/>
        </w:rPr>
        <w:br w:type="page"/>
      </w:r>
    </w:p>
    <w:p>
      <w:pPr>
        <w:spacing w:after="0"/>
        <w:rPr>
          <w:rFonts w:ascii="Times New Roman" w:hAnsi="Times New Roman" w:cs="Times New Roman"/>
          <w:sz w:val="24"/>
          <w:szCs w:val="24"/>
        </w:rPr>
      </w:pPr>
      <w:r>
        <w:rPr>
          <w:rFonts w:ascii="Times New Roman" w:hAnsi="Times New Roman" w:cs="Times New Roman"/>
          <w:b/>
          <w:sz w:val="24"/>
          <w:szCs w:val="24"/>
        </w:rPr>
        <w:t xml:space="preserve">Table 4.1: </w:t>
      </w:r>
      <w:r>
        <w:rPr>
          <w:rFonts w:ascii="Times New Roman" w:hAnsi="Times New Roman" w:cs="Times New Roman"/>
          <w:sz w:val="24"/>
          <w:szCs w:val="24"/>
        </w:rPr>
        <w:t xml:space="preserve">Descriptive </w:t>
      </w:r>
      <w:r>
        <w:rPr>
          <w:rFonts w:ascii="Times New Roman" w:hAnsi="Times New Roman" w:cs="Times New Roman"/>
          <w:b/>
          <w:sz w:val="24"/>
          <w:szCs w:val="24"/>
        </w:rPr>
        <w:t>s</w:t>
      </w:r>
      <w:r>
        <w:rPr>
          <w:rFonts w:ascii="Times New Roman" w:hAnsi="Times New Roman" w:cs="Times New Roman"/>
          <w:sz w:val="24"/>
          <w:szCs w:val="24"/>
        </w:rPr>
        <w:t>tatistics</w:t>
      </w:r>
    </w:p>
    <w:tbl>
      <w:tblPr>
        <w:tblStyle w:val="6"/>
        <w:tblW w:w="10916" w:type="dxa"/>
        <w:tblInd w:w="-885" w:type="dxa"/>
        <w:tblLayout w:type="autofit"/>
        <w:tblCellMar>
          <w:top w:w="0" w:type="dxa"/>
          <w:left w:w="108" w:type="dxa"/>
          <w:bottom w:w="0" w:type="dxa"/>
          <w:right w:w="108" w:type="dxa"/>
        </w:tblCellMar>
      </w:tblPr>
      <w:tblGrid>
        <w:gridCol w:w="709"/>
        <w:gridCol w:w="3403"/>
        <w:gridCol w:w="960"/>
        <w:gridCol w:w="741"/>
        <w:gridCol w:w="960"/>
        <w:gridCol w:w="741"/>
        <w:gridCol w:w="960"/>
        <w:gridCol w:w="883"/>
        <w:gridCol w:w="850"/>
        <w:gridCol w:w="709"/>
      </w:tblGrid>
      <w:tr>
        <w:tblPrEx>
          <w:tblCellMar>
            <w:top w:w="0" w:type="dxa"/>
            <w:left w:w="108" w:type="dxa"/>
            <w:bottom w:w="0" w:type="dxa"/>
            <w:right w:w="108" w:type="dxa"/>
          </w:tblCellMar>
        </w:tblPrEx>
        <w:trPr>
          <w:trHeight w:val="300" w:hRule="atLeast"/>
        </w:trPr>
        <w:tc>
          <w:tcPr>
            <w:tcW w:w="709" w:type="dxa"/>
            <w:tcBorders>
              <w:top w:val="single" w:color="auto" w:sz="4" w:space="0"/>
              <w:left w:val="nil"/>
              <w:bottom w:val="single" w:color="auto" w:sz="4" w:space="0"/>
              <w:right w:val="nil"/>
            </w:tcBorders>
            <w:shd w:val="clear" w:color="auto" w:fill="auto"/>
            <w:noWrap/>
            <w:vAlign w:val="center"/>
          </w:tcPr>
          <w:p>
            <w:pPr>
              <w:spacing w:after="0" w:line="276" w:lineRule="auto"/>
              <w:ind w:left="-108" w:right="-141"/>
              <w:jc w:val="center"/>
              <w:rPr>
                <w:rFonts w:ascii="Times New Roman" w:hAnsi="Times New Roman" w:eastAsia="Times New Roman" w:cs="Times New Roman"/>
                <w:b/>
                <w:bCs/>
              </w:rPr>
            </w:pPr>
            <w:r>
              <w:rPr>
                <w:rFonts w:ascii="Times New Roman" w:hAnsi="Times New Roman" w:eastAsia="Times New Roman" w:cs="Times New Roman"/>
                <w:b/>
                <w:bCs/>
              </w:rPr>
              <w:t>Signs</w:t>
            </w:r>
          </w:p>
        </w:tc>
        <w:tc>
          <w:tcPr>
            <w:tcW w:w="3403" w:type="dxa"/>
            <w:tcBorders>
              <w:top w:val="single" w:color="auto" w:sz="4" w:space="0"/>
              <w:left w:val="nil"/>
              <w:bottom w:val="single" w:color="auto" w:sz="4" w:space="0"/>
              <w:right w:val="nil"/>
            </w:tcBorders>
            <w:shd w:val="clear" w:color="auto" w:fill="auto"/>
            <w:noWrap/>
            <w:vAlign w:val="center"/>
          </w:tcPr>
          <w:p>
            <w:pPr>
              <w:spacing w:after="0" w:line="276" w:lineRule="auto"/>
              <w:ind w:left="-108" w:right="-141"/>
              <w:rPr>
                <w:rFonts w:ascii="Times New Roman" w:hAnsi="Times New Roman" w:eastAsia="Times New Roman" w:cs="Times New Roman"/>
                <w:b/>
                <w:bCs/>
              </w:rPr>
            </w:pPr>
            <w:r>
              <w:rPr>
                <w:rFonts w:ascii="Times New Roman" w:hAnsi="Times New Roman" w:eastAsia="Times New Roman" w:cs="Times New Roman"/>
                <w:b/>
                <w:bCs/>
              </w:rPr>
              <w:t>Variable measurements</w:t>
            </w:r>
          </w:p>
        </w:tc>
        <w:tc>
          <w:tcPr>
            <w:tcW w:w="960" w:type="dxa"/>
            <w:tcBorders>
              <w:top w:val="single" w:color="auto" w:sz="4" w:space="0"/>
              <w:left w:val="nil"/>
              <w:bottom w:val="single" w:color="auto" w:sz="4" w:space="0"/>
              <w:right w:val="nil"/>
            </w:tcBorders>
            <w:shd w:val="clear" w:color="auto" w:fill="auto"/>
            <w:noWrap/>
            <w:vAlign w:val="center"/>
          </w:tcPr>
          <w:p>
            <w:pPr>
              <w:spacing w:after="0" w:line="276" w:lineRule="auto"/>
              <w:ind w:left="-108" w:right="-141"/>
              <w:jc w:val="center"/>
              <w:rPr>
                <w:rFonts w:ascii="Times New Roman" w:hAnsi="Times New Roman" w:eastAsia="Times New Roman" w:cs="Times New Roman"/>
                <w:b/>
                <w:bCs/>
              </w:rPr>
            </w:pPr>
            <w:r>
              <w:rPr>
                <w:rFonts w:ascii="Times New Roman" w:hAnsi="Times New Roman" w:eastAsia="Times New Roman" w:cs="Times New Roman"/>
                <w:b/>
                <w:bCs/>
              </w:rPr>
              <w:t>Mean</w:t>
            </w:r>
          </w:p>
        </w:tc>
        <w:tc>
          <w:tcPr>
            <w:tcW w:w="741" w:type="dxa"/>
            <w:tcBorders>
              <w:top w:val="single" w:color="auto" w:sz="4" w:space="0"/>
              <w:left w:val="nil"/>
              <w:bottom w:val="single" w:color="auto" w:sz="4" w:space="0"/>
              <w:right w:val="nil"/>
            </w:tcBorders>
            <w:shd w:val="clear" w:color="auto" w:fill="auto"/>
            <w:noWrap/>
            <w:vAlign w:val="center"/>
          </w:tcPr>
          <w:p>
            <w:pPr>
              <w:spacing w:after="0" w:line="276" w:lineRule="auto"/>
              <w:ind w:left="-108" w:right="-141"/>
              <w:jc w:val="center"/>
              <w:rPr>
                <w:rFonts w:ascii="Times New Roman" w:hAnsi="Times New Roman" w:eastAsia="Times New Roman" w:cs="Times New Roman"/>
                <w:b/>
                <w:bCs/>
              </w:rPr>
            </w:pPr>
            <w:r>
              <w:rPr>
                <w:rFonts w:ascii="Times New Roman" w:hAnsi="Times New Roman" w:eastAsia="Times New Roman" w:cs="Times New Roman"/>
                <w:b/>
                <w:bCs/>
              </w:rPr>
              <w:t>Std Dev.</w:t>
            </w:r>
          </w:p>
        </w:tc>
        <w:tc>
          <w:tcPr>
            <w:tcW w:w="960" w:type="dxa"/>
            <w:tcBorders>
              <w:top w:val="single" w:color="auto" w:sz="4" w:space="0"/>
              <w:left w:val="nil"/>
              <w:bottom w:val="single" w:color="auto" w:sz="4" w:space="0"/>
              <w:right w:val="nil"/>
            </w:tcBorders>
            <w:shd w:val="clear" w:color="auto" w:fill="auto"/>
            <w:noWrap/>
            <w:vAlign w:val="center"/>
          </w:tcPr>
          <w:p>
            <w:pPr>
              <w:spacing w:after="0" w:line="276" w:lineRule="auto"/>
              <w:ind w:left="-108" w:right="-141"/>
              <w:jc w:val="center"/>
              <w:rPr>
                <w:rFonts w:ascii="Times New Roman" w:hAnsi="Times New Roman" w:eastAsia="Times New Roman" w:cs="Times New Roman"/>
                <w:b/>
                <w:bCs/>
              </w:rPr>
            </w:pPr>
            <w:r>
              <w:rPr>
                <w:rFonts w:ascii="Times New Roman" w:hAnsi="Times New Roman" w:eastAsia="Times New Roman" w:cs="Times New Roman"/>
                <w:b/>
                <w:bCs/>
              </w:rPr>
              <w:t>Max.</w:t>
            </w:r>
          </w:p>
        </w:tc>
        <w:tc>
          <w:tcPr>
            <w:tcW w:w="741" w:type="dxa"/>
            <w:tcBorders>
              <w:top w:val="single" w:color="auto" w:sz="4" w:space="0"/>
              <w:left w:val="nil"/>
              <w:bottom w:val="single" w:color="auto" w:sz="4" w:space="0"/>
              <w:right w:val="nil"/>
            </w:tcBorders>
            <w:shd w:val="clear" w:color="auto" w:fill="auto"/>
            <w:noWrap/>
            <w:vAlign w:val="center"/>
          </w:tcPr>
          <w:p>
            <w:pPr>
              <w:spacing w:after="0" w:line="276" w:lineRule="auto"/>
              <w:ind w:left="-108" w:right="-141"/>
              <w:jc w:val="center"/>
              <w:rPr>
                <w:rFonts w:ascii="Times New Roman" w:hAnsi="Times New Roman" w:eastAsia="Times New Roman" w:cs="Times New Roman"/>
                <w:b/>
                <w:bCs/>
              </w:rPr>
            </w:pPr>
            <w:r>
              <w:rPr>
                <w:rFonts w:ascii="Times New Roman" w:hAnsi="Times New Roman" w:eastAsia="Times New Roman" w:cs="Times New Roman"/>
                <w:b/>
                <w:bCs/>
              </w:rPr>
              <w:t>Min.</w:t>
            </w:r>
          </w:p>
        </w:tc>
        <w:tc>
          <w:tcPr>
            <w:tcW w:w="960" w:type="dxa"/>
            <w:tcBorders>
              <w:top w:val="single" w:color="auto" w:sz="4" w:space="0"/>
              <w:left w:val="nil"/>
              <w:bottom w:val="single" w:color="auto" w:sz="4" w:space="0"/>
              <w:right w:val="nil"/>
            </w:tcBorders>
            <w:shd w:val="clear" w:color="auto" w:fill="auto"/>
            <w:noWrap/>
            <w:vAlign w:val="center"/>
          </w:tcPr>
          <w:p>
            <w:pPr>
              <w:spacing w:after="0" w:line="276" w:lineRule="auto"/>
              <w:ind w:left="-108" w:right="-141"/>
              <w:jc w:val="center"/>
              <w:rPr>
                <w:rFonts w:ascii="Times New Roman" w:hAnsi="Times New Roman" w:eastAsia="Times New Roman" w:cs="Times New Roman"/>
                <w:b/>
                <w:bCs/>
              </w:rPr>
            </w:pPr>
            <w:r>
              <w:rPr>
                <w:rFonts w:ascii="Times New Roman" w:hAnsi="Times New Roman" w:eastAsia="Times New Roman" w:cs="Times New Roman"/>
                <w:b/>
                <w:bCs/>
              </w:rPr>
              <w:t>Kurtosis</w:t>
            </w:r>
          </w:p>
        </w:tc>
        <w:tc>
          <w:tcPr>
            <w:tcW w:w="883" w:type="dxa"/>
            <w:tcBorders>
              <w:top w:val="single" w:color="auto" w:sz="4" w:space="0"/>
              <w:left w:val="nil"/>
              <w:bottom w:val="single" w:color="auto" w:sz="4" w:space="0"/>
              <w:right w:val="nil"/>
            </w:tcBorders>
            <w:shd w:val="clear" w:color="auto" w:fill="auto"/>
            <w:noWrap/>
            <w:vAlign w:val="center"/>
          </w:tcPr>
          <w:p>
            <w:pPr>
              <w:spacing w:after="0" w:line="276" w:lineRule="auto"/>
              <w:ind w:left="-108" w:right="-141"/>
              <w:jc w:val="center"/>
              <w:rPr>
                <w:rFonts w:ascii="Times New Roman" w:hAnsi="Times New Roman" w:eastAsia="Times New Roman" w:cs="Times New Roman"/>
                <w:b/>
                <w:bCs/>
              </w:rPr>
            </w:pPr>
            <w:r>
              <w:rPr>
                <w:rFonts w:ascii="Times New Roman" w:hAnsi="Times New Roman" w:eastAsia="Times New Roman" w:cs="Times New Roman"/>
                <w:b/>
                <w:bCs/>
              </w:rPr>
              <w:t>Skewness</w:t>
            </w:r>
          </w:p>
        </w:tc>
        <w:tc>
          <w:tcPr>
            <w:tcW w:w="850" w:type="dxa"/>
            <w:tcBorders>
              <w:top w:val="single" w:color="auto" w:sz="4" w:space="0"/>
              <w:left w:val="nil"/>
              <w:bottom w:val="single" w:color="auto" w:sz="4" w:space="0"/>
              <w:right w:val="nil"/>
            </w:tcBorders>
            <w:vAlign w:val="center"/>
          </w:tcPr>
          <w:p>
            <w:pPr>
              <w:spacing w:after="0" w:line="276" w:lineRule="auto"/>
              <w:ind w:left="-108" w:right="-141"/>
              <w:jc w:val="center"/>
              <w:rPr>
                <w:rFonts w:ascii="Times New Roman" w:hAnsi="Times New Roman" w:eastAsia="Times New Roman" w:cs="Times New Roman"/>
                <w:b/>
              </w:rPr>
            </w:pPr>
            <w:r>
              <w:rPr>
                <w:rFonts w:ascii="Times New Roman" w:hAnsi="Times New Roman" w:eastAsia="Times New Roman" w:cs="Times New Roman"/>
                <w:b/>
              </w:rPr>
              <w:t>Jarque-Bera</w:t>
            </w:r>
          </w:p>
        </w:tc>
        <w:tc>
          <w:tcPr>
            <w:tcW w:w="709" w:type="dxa"/>
            <w:tcBorders>
              <w:top w:val="single" w:color="auto" w:sz="4" w:space="0"/>
              <w:left w:val="nil"/>
              <w:bottom w:val="single" w:color="auto" w:sz="4" w:space="0"/>
              <w:right w:val="nil"/>
            </w:tcBorders>
            <w:shd w:val="clear" w:color="auto" w:fill="auto"/>
            <w:noWrap/>
            <w:vAlign w:val="center"/>
          </w:tcPr>
          <w:p>
            <w:pPr>
              <w:spacing w:after="0" w:line="276" w:lineRule="auto"/>
              <w:ind w:left="-108" w:right="-141"/>
              <w:jc w:val="center"/>
              <w:rPr>
                <w:rFonts w:ascii="Times New Roman" w:hAnsi="Times New Roman" w:eastAsia="Times New Roman" w:cs="Times New Roman"/>
                <w:b/>
              </w:rPr>
            </w:pPr>
            <w:r>
              <w:rPr>
                <w:rFonts w:ascii="Times New Roman" w:hAnsi="Times New Roman" w:eastAsia="Times New Roman" w:cs="Times New Roman"/>
                <w:b/>
              </w:rPr>
              <w:t>Prob.</w:t>
            </w:r>
          </w:p>
        </w:tc>
      </w:tr>
      <w:tr>
        <w:tblPrEx>
          <w:tblCellMar>
            <w:top w:w="0" w:type="dxa"/>
            <w:left w:w="108" w:type="dxa"/>
            <w:bottom w:w="0" w:type="dxa"/>
            <w:right w:w="108" w:type="dxa"/>
          </w:tblCellMar>
        </w:tblPrEx>
        <w:trPr>
          <w:trHeight w:val="300" w:hRule="atLeast"/>
        </w:trPr>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lexp</w:t>
            </w:r>
          </w:p>
        </w:tc>
        <w:tc>
          <w:tcPr>
            <w:tcW w:w="3403" w:type="dxa"/>
            <w:tcBorders>
              <w:top w:val="nil"/>
              <w:left w:val="nil"/>
              <w:bottom w:val="nil"/>
              <w:right w:val="nil"/>
            </w:tcBorders>
            <w:shd w:val="clear" w:color="auto" w:fill="auto"/>
            <w:noWrap/>
            <w:vAlign w:val="center"/>
          </w:tcPr>
          <w:p>
            <w:pPr>
              <w:spacing w:after="0" w:line="360" w:lineRule="auto"/>
              <w:ind w:left="-108" w:right="-141"/>
              <w:rPr>
                <w:rFonts w:ascii="Times New Roman" w:hAnsi="Times New Roman" w:eastAsia="Times New Roman" w:cs="Times New Roman"/>
              </w:rPr>
            </w:pPr>
            <w:r>
              <w:rPr>
                <w:rFonts w:ascii="Times New Roman" w:hAnsi="Times New Roman" w:eastAsia="Times New Roman" w:cs="Times New Roman"/>
              </w:rPr>
              <w:t>Life expectancy at birth, total (years)</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48.839</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2.774</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52.91</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45.487</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-1.680</w:t>
            </w:r>
          </w:p>
        </w:tc>
        <w:tc>
          <w:tcPr>
            <w:tcW w:w="883"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0.149</w:t>
            </w:r>
          </w:p>
        </w:tc>
        <w:tc>
          <w:tcPr>
            <w:tcW w:w="850" w:type="dxa"/>
            <w:tcBorders>
              <w:top w:val="single" w:color="auto" w:sz="4" w:space="0"/>
              <w:left w:val="nil"/>
              <w:bottom w:val="nil"/>
              <w:right w:val="nil"/>
            </w:tcBorders>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4.289</w:t>
            </w:r>
          </w:p>
        </w:tc>
        <w:tc>
          <w:tcPr>
            <w:tcW w:w="709" w:type="dxa"/>
            <w:tcBorders>
              <w:top w:val="single" w:color="auto" w:sz="4" w:space="0"/>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0.117</w:t>
            </w:r>
          </w:p>
        </w:tc>
      </w:tr>
      <w:tr>
        <w:tblPrEx>
          <w:tblCellMar>
            <w:top w:w="0" w:type="dxa"/>
            <w:left w:w="108" w:type="dxa"/>
            <w:bottom w:w="0" w:type="dxa"/>
            <w:right w:w="108" w:type="dxa"/>
          </w:tblCellMar>
        </w:tblPrEx>
        <w:trPr>
          <w:trHeight w:val="300" w:hRule="atLeast"/>
        </w:trPr>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un5m</w:t>
            </w:r>
          </w:p>
        </w:tc>
        <w:tc>
          <w:tcPr>
            <w:tcW w:w="3403" w:type="dxa"/>
            <w:tcBorders>
              <w:top w:val="nil"/>
              <w:left w:val="nil"/>
              <w:bottom w:val="nil"/>
              <w:right w:val="nil"/>
            </w:tcBorders>
            <w:shd w:val="clear" w:color="auto" w:fill="auto"/>
            <w:noWrap/>
            <w:vAlign w:val="center"/>
          </w:tcPr>
          <w:p>
            <w:pPr>
              <w:spacing w:after="0" w:line="360" w:lineRule="auto"/>
              <w:ind w:left="-108" w:right="-141"/>
              <w:rPr>
                <w:rFonts w:ascii="Times New Roman" w:hAnsi="Times New Roman" w:eastAsia="Times New Roman" w:cs="Times New Roman"/>
              </w:rPr>
            </w:pPr>
            <w:r>
              <w:rPr>
                <w:rFonts w:ascii="Times New Roman" w:hAnsi="Times New Roman" w:eastAsia="Times New Roman" w:cs="Times New Roman"/>
              </w:rPr>
              <w:t>Mortality rate, under-5 (per 1,000 live births)</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164.65</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36.641</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209.6</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110.8</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-1.666</w:t>
            </w:r>
          </w:p>
        </w:tc>
        <w:tc>
          <w:tcPr>
            <w:tcW w:w="883"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-0.029</w:t>
            </w:r>
          </w:p>
        </w:tc>
        <w:tc>
          <w:tcPr>
            <w:tcW w:w="850" w:type="dxa"/>
            <w:tcBorders>
              <w:top w:val="nil"/>
              <w:left w:val="nil"/>
              <w:bottom w:val="nil"/>
              <w:right w:val="nil"/>
            </w:tcBorders>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4.103</w:t>
            </w:r>
          </w:p>
        </w:tc>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0.129</w:t>
            </w:r>
          </w:p>
        </w:tc>
      </w:tr>
      <w:tr>
        <w:tblPrEx>
          <w:tblCellMar>
            <w:top w:w="0" w:type="dxa"/>
            <w:left w:w="108" w:type="dxa"/>
            <w:bottom w:w="0" w:type="dxa"/>
            <w:right w:w="108" w:type="dxa"/>
          </w:tblCellMar>
        </w:tblPrEx>
        <w:trPr>
          <w:trHeight w:val="300" w:hRule="atLeast"/>
        </w:trPr>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mpr</w:t>
            </w:r>
          </w:p>
        </w:tc>
        <w:tc>
          <w:tcPr>
            <w:tcW w:w="3403" w:type="dxa"/>
            <w:tcBorders>
              <w:top w:val="nil"/>
              <w:left w:val="nil"/>
              <w:bottom w:val="nil"/>
              <w:right w:val="nil"/>
            </w:tcBorders>
            <w:shd w:val="clear" w:color="auto" w:fill="auto"/>
            <w:noWrap/>
            <w:vAlign w:val="center"/>
          </w:tcPr>
          <w:p>
            <w:pPr>
              <w:spacing w:after="0" w:line="360" w:lineRule="auto"/>
              <w:ind w:left="-108" w:right="-141"/>
              <w:rPr>
                <w:rFonts w:ascii="Times New Roman" w:hAnsi="Times New Roman" w:eastAsia="Times New Roman" w:cs="Times New Roman"/>
              </w:rPr>
            </w:pPr>
            <w:r>
              <w:rPr>
                <w:rFonts w:ascii="Times New Roman" w:hAnsi="Times New Roman" w:eastAsia="Times New Roman" w:cs="Times New Roman"/>
              </w:rPr>
              <w:t>Monetary policy rate</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13.618</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3.737</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26</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6</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2.459</w:t>
            </w:r>
          </w:p>
        </w:tc>
        <w:tc>
          <w:tcPr>
            <w:tcW w:w="883"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0.818</w:t>
            </w:r>
          </w:p>
        </w:tc>
        <w:tc>
          <w:tcPr>
            <w:tcW w:w="850" w:type="dxa"/>
            <w:tcBorders>
              <w:top w:val="nil"/>
              <w:left w:val="nil"/>
              <w:bottom w:val="nil"/>
              <w:right w:val="nil"/>
            </w:tcBorders>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10.195</w:t>
            </w:r>
          </w:p>
        </w:tc>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0.006</w:t>
            </w:r>
          </w:p>
        </w:tc>
      </w:tr>
      <w:tr>
        <w:tblPrEx>
          <w:tblCellMar>
            <w:top w:w="0" w:type="dxa"/>
            <w:left w:w="108" w:type="dxa"/>
            <w:bottom w:w="0" w:type="dxa"/>
            <w:right w:w="108" w:type="dxa"/>
          </w:tblCellMar>
        </w:tblPrEx>
        <w:trPr>
          <w:trHeight w:val="300" w:hRule="atLeast"/>
        </w:trPr>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tbr</w:t>
            </w:r>
          </w:p>
        </w:tc>
        <w:tc>
          <w:tcPr>
            <w:tcW w:w="3403" w:type="dxa"/>
            <w:tcBorders>
              <w:top w:val="nil"/>
              <w:left w:val="nil"/>
              <w:bottom w:val="nil"/>
              <w:right w:val="nil"/>
            </w:tcBorders>
            <w:shd w:val="clear" w:color="auto" w:fill="auto"/>
            <w:noWrap/>
            <w:vAlign w:val="center"/>
          </w:tcPr>
          <w:p>
            <w:pPr>
              <w:spacing w:after="0" w:line="360" w:lineRule="auto"/>
              <w:ind w:left="-108" w:right="-141"/>
              <w:rPr>
                <w:rFonts w:ascii="Times New Roman" w:hAnsi="Times New Roman" w:eastAsia="Times New Roman" w:cs="Times New Roman"/>
              </w:rPr>
            </w:pPr>
            <w:r>
              <w:rPr>
                <w:rFonts w:ascii="Times New Roman" w:hAnsi="Times New Roman" w:eastAsia="Times New Roman" w:cs="Times New Roman"/>
              </w:rPr>
              <w:t>Treasury bill rate</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11.810</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4.785</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26.9</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3.17</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1.610</w:t>
            </w:r>
          </w:p>
        </w:tc>
        <w:tc>
          <w:tcPr>
            <w:tcW w:w="883"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0.760</w:t>
            </w:r>
          </w:p>
        </w:tc>
        <w:tc>
          <w:tcPr>
            <w:tcW w:w="850" w:type="dxa"/>
            <w:tcBorders>
              <w:top w:val="nil"/>
              <w:left w:val="nil"/>
              <w:bottom w:val="nil"/>
              <w:right w:val="nil"/>
            </w:tcBorders>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5.857</w:t>
            </w:r>
          </w:p>
        </w:tc>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0.053</w:t>
            </w:r>
          </w:p>
        </w:tc>
      </w:tr>
      <w:tr>
        <w:tblPrEx>
          <w:tblCellMar>
            <w:top w:w="0" w:type="dxa"/>
            <w:left w:w="108" w:type="dxa"/>
            <w:bottom w:w="0" w:type="dxa"/>
            <w:right w:w="108" w:type="dxa"/>
          </w:tblCellMar>
        </w:tblPrEx>
        <w:trPr>
          <w:trHeight w:val="300" w:hRule="atLeast"/>
        </w:trPr>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mdr</w:t>
            </w:r>
          </w:p>
        </w:tc>
        <w:tc>
          <w:tcPr>
            <w:tcW w:w="3403" w:type="dxa"/>
            <w:tcBorders>
              <w:top w:val="nil"/>
              <w:left w:val="nil"/>
              <w:bottom w:val="nil"/>
              <w:right w:val="nil"/>
            </w:tcBorders>
            <w:shd w:val="clear" w:color="auto" w:fill="auto"/>
            <w:noWrap/>
            <w:vAlign w:val="center"/>
          </w:tcPr>
          <w:p>
            <w:pPr>
              <w:spacing w:after="0" w:line="360" w:lineRule="auto"/>
              <w:ind w:left="-108" w:right="-141"/>
              <w:rPr>
                <w:rFonts w:ascii="Times New Roman" w:hAnsi="Times New Roman" w:eastAsia="Times New Roman" w:cs="Times New Roman"/>
              </w:rPr>
            </w:pPr>
            <w:r>
              <w:rPr>
                <w:rFonts w:ascii="Times New Roman" w:hAnsi="Times New Roman" w:eastAsia="Times New Roman" w:cs="Times New Roman"/>
              </w:rPr>
              <w:t>12 months deposit rate</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11.562</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4.652</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25.645</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4.705</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1.165</w:t>
            </w:r>
          </w:p>
        </w:tc>
        <w:tc>
          <w:tcPr>
            <w:tcW w:w="883"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0.945</w:t>
            </w:r>
          </w:p>
        </w:tc>
        <w:tc>
          <w:tcPr>
            <w:tcW w:w="850" w:type="dxa"/>
            <w:tcBorders>
              <w:top w:val="nil"/>
              <w:left w:val="nil"/>
              <w:bottom w:val="nil"/>
              <w:right w:val="nil"/>
            </w:tcBorders>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6.392</w:t>
            </w:r>
          </w:p>
        </w:tc>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0.041</w:t>
            </w:r>
          </w:p>
        </w:tc>
      </w:tr>
      <w:tr>
        <w:tblPrEx>
          <w:tblCellMar>
            <w:top w:w="0" w:type="dxa"/>
            <w:left w:w="108" w:type="dxa"/>
            <w:bottom w:w="0" w:type="dxa"/>
            <w:right w:w="108" w:type="dxa"/>
          </w:tblCellMar>
        </w:tblPrEx>
        <w:trPr>
          <w:trHeight w:val="300" w:hRule="atLeast"/>
        </w:trPr>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lr</w:t>
            </w:r>
          </w:p>
        </w:tc>
        <w:tc>
          <w:tcPr>
            <w:tcW w:w="3403" w:type="dxa"/>
            <w:tcBorders>
              <w:top w:val="nil"/>
              <w:left w:val="nil"/>
              <w:bottom w:val="nil"/>
              <w:right w:val="nil"/>
            </w:tcBorders>
            <w:shd w:val="clear" w:color="auto" w:fill="auto"/>
            <w:noWrap/>
            <w:vAlign w:val="center"/>
          </w:tcPr>
          <w:p>
            <w:pPr>
              <w:spacing w:after="0" w:line="360" w:lineRule="auto"/>
              <w:ind w:left="-108" w:right="-141"/>
              <w:rPr>
                <w:rFonts w:ascii="Times New Roman" w:hAnsi="Times New Roman" w:eastAsia="Times New Roman" w:cs="Times New Roman"/>
              </w:rPr>
            </w:pPr>
            <w:r>
              <w:rPr>
                <w:rFonts w:ascii="Times New Roman" w:hAnsi="Times New Roman" w:eastAsia="Times New Roman" w:cs="Times New Roman"/>
              </w:rPr>
              <w:t xml:space="preserve"> Liquidity Ratio</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49.155</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14.856</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104.20</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26.393</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4.192</w:t>
            </w:r>
          </w:p>
        </w:tc>
        <w:tc>
          <w:tcPr>
            <w:tcW w:w="883"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1.550</w:t>
            </w:r>
          </w:p>
        </w:tc>
        <w:tc>
          <w:tcPr>
            <w:tcW w:w="850" w:type="dxa"/>
            <w:tcBorders>
              <w:top w:val="nil"/>
              <w:left w:val="nil"/>
              <w:bottom w:val="nil"/>
              <w:right w:val="nil"/>
            </w:tcBorders>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33.492</w:t>
            </w:r>
          </w:p>
        </w:tc>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0.000</w:t>
            </w:r>
          </w:p>
        </w:tc>
      </w:tr>
      <w:tr>
        <w:tblPrEx>
          <w:tblCellMar>
            <w:top w:w="0" w:type="dxa"/>
            <w:left w:w="108" w:type="dxa"/>
            <w:bottom w:w="0" w:type="dxa"/>
            <w:right w:w="108" w:type="dxa"/>
          </w:tblCellMar>
        </w:tblPrEx>
        <w:trPr>
          <w:trHeight w:val="300" w:hRule="atLeast"/>
        </w:trPr>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ldr</w:t>
            </w:r>
          </w:p>
        </w:tc>
        <w:tc>
          <w:tcPr>
            <w:tcW w:w="3403" w:type="dxa"/>
            <w:tcBorders>
              <w:top w:val="nil"/>
              <w:left w:val="nil"/>
              <w:bottom w:val="nil"/>
              <w:right w:val="nil"/>
            </w:tcBorders>
            <w:shd w:val="clear" w:color="auto" w:fill="auto"/>
            <w:noWrap/>
            <w:vAlign w:val="center"/>
          </w:tcPr>
          <w:p>
            <w:pPr>
              <w:spacing w:after="0" w:line="360" w:lineRule="auto"/>
              <w:ind w:left="-108" w:right="-141"/>
              <w:rPr>
                <w:rFonts w:ascii="Times New Roman" w:hAnsi="Times New Roman" w:eastAsia="Times New Roman" w:cs="Times New Roman"/>
              </w:rPr>
            </w:pPr>
            <w:r>
              <w:rPr>
                <w:rFonts w:ascii="Times New Roman" w:hAnsi="Times New Roman" w:eastAsia="Times New Roman" w:cs="Times New Roman"/>
              </w:rPr>
              <w:t>Loan to Deposit Ratio</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65.886</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13.172</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96.817</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37.559</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-0.017</w:t>
            </w:r>
          </w:p>
        </w:tc>
        <w:tc>
          <w:tcPr>
            <w:tcW w:w="883"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-0.030</w:t>
            </w:r>
          </w:p>
        </w:tc>
        <w:tc>
          <w:tcPr>
            <w:tcW w:w="850" w:type="dxa"/>
            <w:tcBorders>
              <w:top w:val="nil"/>
              <w:left w:val="nil"/>
              <w:bottom w:val="nil"/>
              <w:right w:val="nil"/>
            </w:tcBorders>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0.050</w:t>
            </w:r>
          </w:p>
        </w:tc>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0.975</w:t>
            </w:r>
          </w:p>
        </w:tc>
      </w:tr>
      <w:tr>
        <w:tblPrEx>
          <w:tblCellMar>
            <w:top w:w="0" w:type="dxa"/>
            <w:left w:w="108" w:type="dxa"/>
            <w:bottom w:w="0" w:type="dxa"/>
            <w:right w:w="108" w:type="dxa"/>
          </w:tblCellMar>
        </w:tblPrEx>
        <w:trPr>
          <w:trHeight w:val="300" w:hRule="atLeast"/>
        </w:trPr>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dcps</w:t>
            </w:r>
          </w:p>
        </w:tc>
        <w:tc>
          <w:tcPr>
            <w:tcW w:w="3403" w:type="dxa"/>
            <w:tcBorders>
              <w:top w:val="nil"/>
              <w:left w:val="nil"/>
              <w:bottom w:val="nil"/>
              <w:right w:val="nil"/>
            </w:tcBorders>
            <w:shd w:val="clear" w:color="auto" w:fill="auto"/>
            <w:noWrap/>
            <w:vAlign w:val="center"/>
          </w:tcPr>
          <w:p>
            <w:pPr>
              <w:spacing w:after="0" w:line="360" w:lineRule="auto"/>
              <w:ind w:left="-108" w:right="-141"/>
              <w:rPr>
                <w:rFonts w:ascii="Times New Roman" w:hAnsi="Times New Roman" w:eastAsia="Times New Roman" w:cs="Times New Roman"/>
              </w:rPr>
            </w:pPr>
            <w:r>
              <w:rPr>
                <w:rFonts w:ascii="Times New Roman" w:hAnsi="Times New Roman" w:eastAsia="Times New Roman" w:cs="Times New Roman"/>
              </w:rPr>
              <w:t>Domestic credit to private sector to GDP</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12.143</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5.663</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22.755</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5.806</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-1.611</w:t>
            </w:r>
          </w:p>
        </w:tc>
        <w:tc>
          <w:tcPr>
            <w:tcW w:w="883"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0.475</w:t>
            </w:r>
          </w:p>
        </w:tc>
        <w:tc>
          <w:tcPr>
            <w:tcW w:w="850" w:type="dxa"/>
            <w:tcBorders>
              <w:top w:val="nil"/>
              <w:left w:val="nil"/>
              <w:bottom w:val="nil"/>
              <w:right w:val="nil"/>
            </w:tcBorders>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5.176</w:t>
            </w:r>
          </w:p>
        </w:tc>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0.075</w:t>
            </w:r>
          </w:p>
        </w:tc>
      </w:tr>
      <w:tr>
        <w:tblPrEx>
          <w:tblCellMar>
            <w:top w:w="0" w:type="dxa"/>
            <w:left w:w="108" w:type="dxa"/>
            <w:bottom w:w="0" w:type="dxa"/>
            <w:right w:w="108" w:type="dxa"/>
          </w:tblCellMar>
        </w:tblPrEx>
        <w:trPr>
          <w:trHeight w:val="300" w:hRule="atLeast"/>
        </w:trPr>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smk</w:t>
            </w:r>
          </w:p>
        </w:tc>
        <w:tc>
          <w:tcPr>
            <w:tcW w:w="3403" w:type="dxa"/>
            <w:tcBorders>
              <w:top w:val="nil"/>
              <w:left w:val="nil"/>
              <w:bottom w:val="nil"/>
              <w:right w:val="nil"/>
            </w:tcBorders>
            <w:shd w:val="clear" w:color="auto" w:fill="auto"/>
            <w:noWrap/>
            <w:vAlign w:val="center"/>
          </w:tcPr>
          <w:p>
            <w:pPr>
              <w:spacing w:after="0" w:line="360" w:lineRule="auto"/>
              <w:ind w:left="-108" w:right="-141"/>
              <w:rPr>
                <w:rFonts w:ascii="Times New Roman" w:hAnsi="Times New Roman" w:eastAsia="Times New Roman" w:cs="Times New Roman"/>
              </w:rPr>
            </w:pPr>
            <w:r>
              <w:rPr>
                <w:rFonts w:ascii="Times New Roman" w:hAnsi="Times New Roman" w:eastAsia="Times New Roman" w:cs="Times New Roman"/>
              </w:rPr>
              <w:t>Stock marketisation to GDP</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12.450</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8.657</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38.014</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3.085</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0.229</w:t>
            </w:r>
          </w:p>
        </w:tc>
        <w:tc>
          <w:tcPr>
            <w:tcW w:w="883"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0.784</w:t>
            </w:r>
          </w:p>
        </w:tc>
        <w:tc>
          <w:tcPr>
            <w:tcW w:w="850" w:type="dxa"/>
            <w:tcBorders>
              <w:top w:val="nil"/>
              <w:left w:val="nil"/>
              <w:bottom w:val="nil"/>
              <w:right w:val="nil"/>
            </w:tcBorders>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3.595</w:t>
            </w:r>
          </w:p>
        </w:tc>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0.166</w:t>
            </w:r>
          </w:p>
        </w:tc>
      </w:tr>
      <w:tr>
        <w:tblPrEx>
          <w:tblCellMar>
            <w:top w:w="0" w:type="dxa"/>
            <w:left w:w="108" w:type="dxa"/>
            <w:bottom w:w="0" w:type="dxa"/>
            <w:right w:w="108" w:type="dxa"/>
          </w:tblCellMar>
        </w:tblPrEx>
        <w:trPr>
          <w:trHeight w:val="300" w:hRule="atLeast"/>
        </w:trPr>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tstv</w:t>
            </w:r>
          </w:p>
        </w:tc>
        <w:tc>
          <w:tcPr>
            <w:tcW w:w="3403" w:type="dxa"/>
            <w:tcBorders>
              <w:top w:val="nil"/>
              <w:left w:val="nil"/>
              <w:bottom w:val="nil"/>
              <w:right w:val="nil"/>
            </w:tcBorders>
            <w:shd w:val="clear" w:color="auto" w:fill="auto"/>
            <w:noWrap/>
            <w:vAlign w:val="center"/>
          </w:tcPr>
          <w:p>
            <w:pPr>
              <w:spacing w:after="0" w:line="360" w:lineRule="auto"/>
              <w:ind w:left="-108" w:right="-141"/>
              <w:rPr>
                <w:rFonts w:ascii="Times New Roman" w:hAnsi="Times New Roman" w:eastAsia="Times New Roman" w:cs="Times New Roman"/>
              </w:rPr>
            </w:pPr>
            <w:r>
              <w:rPr>
                <w:rFonts w:ascii="Times New Roman" w:hAnsi="Times New Roman" w:eastAsia="Times New Roman" w:cs="Times New Roman"/>
              </w:rPr>
              <w:t>Total stock transaction value to GDP</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0.828</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0.912</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4.203</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0.041</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4.995</w:t>
            </w:r>
          </w:p>
        </w:tc>
        <w:tc>
          <w:tcPr>
            <w:tcW w:w="883"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2.089</w:t>
            </w:r>
          </w:p>
        </w:tc>
        <w:tc>
          <w:tcPr>
            <w:tcW w:w="850" w:type="dxa"/>
            <w:tcBorders>
              <w:top w:val="nil"/>
              <w:left w:val="nil"/>
              <w:bottom w:val="nil"/>
              <w:right w:val="nil"/>
            </w:tcBorders>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53.506</w:t>
            </w:r>
          </w:p>
        </w:tc>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0.000</w:t>
            </w:r>
          </w:p>
        </w:tc>
      </w:tr>
      <w:tr>
        <w:tblPrEx>
          <w:tblCellMar>
            <w:top w:w="0" w:type="dxa"/>
            <w:left w:w="108" w:type="dxa"/>
            <w:bottom w:w="0" w:type="dxa"/>
            <w:right w:w="108" w:type="dxa"/>
          </w:tblCellMar>
        </w:tblPrEx>
        <w:trPr>
          <w:trHeight w:val="300" w:hRule="atLeast"/>
        </w:trPr>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asi</w:t>
            </w:r>
          </w:p>
        </w:tc>
        <w:tc>
          <w:tcPr>
            <w:tcW w:w="3403" w:type="dxa"/>
            <w:tcBorders>
              <w:top w:val="nil"/>
              <w:left w:val="nil"/>
              <w:bottom w:val="nil"/>
              <w:right w:val="nil"/>
            </w:tcBorders>
            <w:shd w:val="clear" w:color="auto" w:fill="auto"/>
            <w:noWrap/>
            <w:vAlign w:val="center"/>
          </w:tcPr>
          <w:p>
            <w:pPr>
              <w:spacing w:after="0" w:line="360" w:lineRule="auto"/>
              <w:ind w:left="-108" w:right="-141"/>
              <w:rPr>
                <w:rFonts w:ascii="Times New Roman" w:hAnsi="Times New Roman" w:eastAsia="Times New Roman" w:cs="Times New Roman"/>
              </w:rPr>
            </w:pPr>
            <w:r>
              <w:rPr>
                <w:rFonts w:ascii="Times New Roman" w:hAnsi="Times New Roman" w:eastAsia="Times New Roman" w:cs="Times New Roman"/>
              </w:rPr>
              <w:t>All share index</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18821.7</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16461.4</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57990.2</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127.3</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-0.738</w:t>
            </w:r>
          </w:p>
        </w:tc>
        <w:tc>
          <w:tcPr>
            <w:tcW w:w="883"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0.500</w:t>
            </w:r>
          </w:p>
        </w:tc>
        <w:tc>
          <w:tcPr>
            <w:tcW w:w="850" w:type="dxa"/>
            <w:tcBorders>
              <w:top w:val="nil"/>
              <w:left w:val="nil"/>
              <w:bottom w:val="nil"/>
              <w:right w:val="nil"/>
            </w:tcBorders>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2.470</w:t>
            </w:r>
          </w:p>
        </w:tc>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0.291</w:t>
            </w:r>
          </w:p>
        </w:tc>
      </w:tr>
      <w:tr>
        <w:tblPrEx>
          <w:tblCellMar>
            <w:top w:w="0" w:type="dxa"/>
            <w:left w:w="108" w:type="dxa"/>
            <w:bottom w:w="0" w:type="dxa"/>
            <w:right w:w="108" w:type="dxa"/>
          </w:tblCellMar>
        </w:tblPrEx>
        <w:trPr>
          <w:trHeight w:val="300" w:hRule="atLeast"/>
        </w:trPr>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inf</w:t>
            </w:r>
          </w:p>
        </w:tc>
        <w:tc>
          <w:tcPr>
            <w:tcW w:w="3403" w:type="dxa"/>
            <w:tcBorders>
              <w:top w:val="nil"/>
              <w:left w:val="nil"/>
              <w:bottom w:val="nil"/>
              <w:right w:val="nil"/>
            </w:tcBorders>
            <w:shd w:val="clear" w:color="auto" w:fill="auto"/>
            <w:noWrap/>
            <w:vAlign w:val="center"/>
          </w:tcPr>
          <w:p>
            <w:pPr>
              <w:spacing w:after="0" w:line="360" w:lineRule="auto"/>
              <w:ind w:left="-108" w:right="-141"/>
              <w:rPr>
                <w:rFonts w:ascii="Times New Roman" w:hAnsi="Times New Roman" w:eastAsia="Times New Roman" w:cs="Times New Roman"/>
              </w:rPr>
            </w:pPr>
            <w:r>
              <w:rPr>
                <w:rFonts w:ascii="Times New Roman" w:hAnsi="Times New Roman" w:eastAsia="Times New Roman" w:cs="Times New Roman"/>
              </w:rPr>
              <w:t>Inflation, consumer prices (annual %)</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19.111</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17.204</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72.836</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5.388</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2.444</w:t>
            </w:r>
          </w:p>
        </w:tc>
        <w:tc>
          <w:tcPr>
            <w:tcW w:w="883"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1.875</w:t>
            </w:r>
          </w:p>
        </w:tc>
        <w:tc>
          <w:tcPr>
            <w:tcW w:w="850" w:type="dxa"/>
            <w:tcBorders>
              <w:top w:val="nil"/>
              <w:left w:val="nil"/>
              <w:bottom w:val="nil"/>
              <w:right w:val="nil"/>
            </w:tcBorders>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26.740</w:t>
            </w:r>
          </w:p>
        </w:tc>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0.000</w:t>
            </w:r>
          </w:p>
        </w:tc>
      </w:tr>
      <w:tr>
        <w:tblPrEx>
          <w:tblCellMar>
            <w:top w:w="0" w:type="dxa"/>
            <w:left w:w="108" w:type="dxa"/>
            <w:bottom w:w="0" w:type="dxa"/>
            <w:right w:w="108" w:type="dxa"/>
          </w:tblCellMar>
        </w:tblPrEx>
        <w:trPr>
          <w:trHeight w:val="300" w:hRule="atLeast"/>
        </w:trPr>
        <w:tc>
          <w:tcPr>
            <w:tcW w:w="709"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topen</w:t>
            </w:r>
          </w:p>
        </w:tc>
        <w:tc>
          <w:tcPr>
            <w:tcW w:w="3403" w:type="dxa"/>
            <w:tcBorders>
              <w:top w:val="nil"/>
              <w:left w:val="nil"/>
              <w:bottom w:val="nil"/>
              <w:right w:val="nil"/>
            </w:tcBorders>
            <w:shd w:val="clear" w:color="auto" w:fill="auto"/>
            <w:noWrap/>
            <w:vAlign w:val="center"/>
          </w:tcPr>
          <w:p>
            <w:pPr>
              <w:spacing w:after="0" w:line="360" w:lineRule="auto"/>
              <w:ind w:left="-108" w:right="-141"/>
              <w:rPr>
                <w:rFonts w:ascii="Times New Roman" w:hAnsi="Times New Roman" w:eastAsia="Times New Roman" w:cs="Times New Roman"/>
              </w:rPr>
            </w:pPr>
            <w:r>
              <w:rPr>
                <w:rFonts w:ascii="Times New Roman" w:hAnsi="Times New Roman" w:eastAsia="Times New Roman" w:cs="Times New Roman"/>
              </w:rPr>
              <w:t>Trade (% of GDP)</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33.417</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11.246</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53.278</w:t>
            </w:r>
          </w:p>
        </w:tc>
        <w:tc>
          <w:tcPr>
            <w:tcW w:w="741"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9.136</w:t>
            </w:r>
          </w:p>
        </w:tc>
        <w:tc>
          <w:tcPr>
            <w:tcW w:w="960"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-0.453</w:t>
            </w:r>
          </w:p>
        </w:tc>
        <w:tc>
          <w:tcPr>
            <w:tcW w:w="883" w:type="dxa"/>
            <w:tcBorders>
              <w:top w:val="nil"/>
              <w:left w:val="nil"/>
              <w:bottom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-0.316</w:t>
            </w:r>
          </w:p>
        </w:tc>
        <w:tc>
          <w:tcPr>
            <w:tcW w:w="850" w:type="dxa"/>
            <w:tcBorders>
              <w:top w:val="nil"/>
              <w:left w:val="nil"/>
              <w:right w:val="nil"/>
            </w:tcBorders>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1.063</w:t>
            </w:r>
          </w:p>
        </w:tc>
        <w:tc>
          <w:tcPr>
            <w:tcW w:w="709" w:type="dxa"/>
            <w:tcBorders>
              <w:top w:val="nil"/>
              <w:left w:val="nil"/>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0.588</w:t>
            </w:r>
          </w:p>
        </w:tc>
      </w:tr>
      <w:tr>
        <w:tblPrEx>
          <w:tblCellMar>
            <w:top w:w="0" w:type="dxa"/>
            <w:left w:w="108" w:type="dxa"/>
            <w:bottom w:w="0" w:type="dxa"/>
            <w:right w:w="108" w:type="dxa"/>
          </w:tblCellMar>
        </w:tblPrEx>
        <w:trPr>
          <w:trHeight w:val="300" w:hRule="atLeast"/>
        </w:trPr>
        <w:tc>
          <w:tcPr>
            <w:tcW w:w="709" w:type="dxa"/>
            <w:tcBorders>
              <w:top w:val="nil"/>
              <w:left w:val="nil"/>
              <w:bottom w:val="single" w:color="auto" w:sz="4" w:space="0"/>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gfcf</w:t>
            </w:r>
          </w:p>
        </w:tc>
        <w:tc>
          <w:tcPr>
            <w:tcW w:w="3403" w:type="dxa"/>
            <w:tcBorders>
              <w:top w:val="nil"/>
              <w:left w:val="nil"/>
              <w:bottom w:val="single" w:color="auto" w:sz="4" w:space="0"/>
              <w:right w:val="nil"/>
            </w:tcBorders>
            <w:shd w:val="clear" w:color="auto" w:fill="auto"/>
            <w:noWrap/>
            <w:vAlign w:val="center"/>
          </w:tcPr>
          <w:p>
            <w:pPr>
              <w:spacing w:after="0" w:line="360" w:lineRule="auto"/>
              <w:ind w:left="-108" w:right="-141"/>
              <w:rPr>
                <w:rFonts w:ascii="Times New Roman" w:hAnsi="Times New Roman" w:eastAsia="Times New Roman" w:cs="Times New Roman"/>
              </w:rPr>
            </w:pPr>
            <w:r>
              <w:rPr>
                <w:rFonts w:ascii="Times New Roman" w:hAnsi="Times New Roman" w:eastAsia="Times New Roman" w:cs="Times New Roman"/>
              </w:rPr>
              <w:t>Gross fixed capital formation (% of GDP)</w:t>
            </w:r>
          </w:p>
        </w:tc>
        <w:tc>
          <w:tcPr>
            <w:tcW w:w="960" w:type="dxa"/>
            <w:tcBorders>
              <w:top w:val="nil"/>
              <w:left w:val="nil"/>
              <w:bottom w:val="single" w:color="auto" w:sz="4" w:space="0"/>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31.156</w:t>
            </w:r>
          </w:p>
        </w:tc>
        <w:tc>
          <w:tcPr>
            <w:tcW w:w="741" w:type="dxa"/>
            <w:tcBorders>
              <w:top w:val="nil"/>
              <w:left w:val="nil"/>
              <w:bottom w:val="single" w:color="auto" w:sz="4" w:space="0"/>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12.802</w:t>
            </w:r>
          </w:p>
        </w:tc>
        <w:tc>
          <w:tcPr>
            <w:tcW w:w="960" w:type="dxa"/>
            <w:tcBorders>
              <w:top w:val="nil"/>
              <w:left w:val="nil"/>
              <w:bottom w:val="single" w:color="auto" w:sz="4" w:space="0"/>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54.948</w:t>
            </w:r>
          </w:p>
        </w:tc>
        <w:tc>
          <w:tcPr>
            <w:tcW w:w="741" w:type="dxa"/>
            <w:tcBorders>
              <w:top w:val="nil"/>
              <w:left w:val="nil"/>
              <w:bottom w:val="single" w:color="auto" w:sz="4" w:space="0"/>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14.169</w:t>
            </w:r>
          </w:p>
        </w:tc>
        <w:tc>
          <w:tcPr>
            <w:tcW w:w="960" w:type="dxa"/>
            <w:tcBorders>
              <w:top w:val="nil"/>
              <w:left w:val="nil"/>
              <w:bottom w:val="single" w:color="auto" w:sz="4" w:space="0"/>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-1.170</w:t>
            </w:r>
          </w:p>
        </w:tc>
        <w:tc>
          <w:tcPr>
            <w:tcW w:w="883" w:type="dxa"/>
            <w:tcBorders>
              <w:top w:val="nil"/>
              <w:left w:val="nil"/>
              <w:bottom w:val="single" w:color="auto" w:sz="4" w:space="0"/>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0.246</w:t>
            </w:r>
          </w:p>
        </w:tc>
        <w:tc>
          <w:tcPr>
            <w:tcW w:w="850" w:type="dxa"/>
            <w:tcBorders>
              <w:top w:val="nil"/>
              <w:left w:val="nil"/>
              <w:bottom w:val="single" w:color="auto" w:sz="4" w:space="0"/>
              <w:right w:val="nil"/>
            </w:tcBorders>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2.541</w:t>
            </w:r>
          </w:p>
        </w:tc>
        <w:tc>
          <w:tcPr>
            <w:tcW w:w="709" w:type="dxa"/>
            <w:tcBorders>
              <w:top w:val="nil"/>
              <w:left w:val="nil"/>
              <w:bottom w:val="single" w:color="auto" w:sz="4" w:space="0"/>
              <w:right w:val="nil"/>
            </w:tcBorders>
            <w:shd w:val="clear" w:color="auto" w:fill="auto"/>
            <w:noWrap/>
            <w:vAlign w:val="center"/>
          </w:tcPr>
          <w:p>
            <w:pPr>
              <w:spacing w:after="0" w:line="360" w:lineRule="auto"/>
              <w:ind w:left="-108" w:right="-141"/>
              <w:jc w:val="center"/>
              <w:rPr>
                <w:rFonts w:ascii="Times New Roman" w:hAnsi="Times New Roman" w:eastAsia="Times New Roman" w:cs="Times New Roman"/>
              </w:rPr>
            </w:pPr>
            <w:r>
              <w:rPr>
                <w:rFonts w:ascii="Times New Roman" w:hAnsi="Times New Roman" w:eastAsia="Times New Roman" w:cs="Times New Roman"/>
              </w:rPr>
              <w:t>0.281</w:t>
            </w:r>
          </w:p>
        </w:tc>
      </w:tr>
    </w:tbl>
    <w:p>
      <w:pPr>
        <w:spacing w:after="0"/>
        <w:rPr>
          <w:rFonts w:ascii="Times New Roman" w:hAnsi="Times New Roman" w:cs="Times New Roman"/>
          <w:sz w:val="20"/>
          <w:szCs w:val="20"/>
        </w:rPr>
      </w:pPr>
      <w:r>
        <w:rPr>
          <w:rFonts w:ascii="Times New Roman" w:hAnsi="Times New Roman" w:cs="Times New Roman"/>
          <w:b/>
          <w:sz w:val="20"/>
          <w:szCs w:val="20"/>
        </w:rPr>
        <w:t xml:space="preserve">Note: </w:t>
      </w:r>
      <w:r>
        <w:rPr>
          <w:rFonts w:ascii="Times New Roman" w:hAnsi="Times New Roman" w:cs="Times New Roman"/>
          <w:sz w:val="20"/>
          <w:szCs w:val="20"/>
        </w:rPr>
        <w:t>Std. Dev. - standard deviation; Max. - maximum; Min. - minimum; Prob. - probability; Observation is 38.</w:t>
      </w:r>
    </w:p>
    <w:p>
      <w:pPr>
        <w:spacing w:after="120" w:line="480" w:lineRule="auto"/>
        <w:rPr>
          <w:rFonts w:ascii="Times New Roman" w:hAnsi="Times New Roman" w:cs="Times New Roman"/>
          <w:sz w:val="20"/>
          <w:szCs w:val="20"/>
        </w:rPr>
      </w:pPr>
      <w:r>
        <w:rPr>
          <w:rFonts w:ascii="Times New Roman" w:hAnsi="Times New Roman" w:cs="Times New Roman"/>
          <w:b/>
          <w:sz w:val="20"/>
          <w:szCs w:val="20"/>
        </w:rPr>
        <w:t>Source:</w:t>
      </w:r>
      <w:r>
        <w:rPr>
          <w:rFonts w:ascii="Times New Roman" w:hAnsi="Times New Roman" w:cs="Times New Roman"/>
          <w:sz w:val="20"/>
          <w:szCs w:val="20"/>
        </w:rPr>
        <w:t xml:space="preserve"> Author’s computation (2023).</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Additionally, the average figures for trade openness measured by total trade to GDP ratio, and gross fixed capital formation to GDP ratio are 33.42%, and 31.16% respectively. Additionally, their maximum rates are 53.28%, and 54.95%, respectively, while their minimum rates are 9.14%, and 14.17%.The average rate of inflation is 19.11%, with highest and minimum values of 72.84% and 5.39%, respectively.</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Furthermore, a normal distribution always exists at 0 for the skewness, which quantifies the asymmetry of the distribution of the series around its mean. A distribution is said to have a long right tail if the skewness is positive, and a long left tail if the skewness is negative. The findingsin Table 4.1 revealed that all the variables are positively skewed, with the exception ofunder-5 mortality rate, loan to deposit ratio, and trade openness (which are negatively skewed), suggesting that the right tails of the distributions are long. Kurtosis gauges the series’ distribution’s peaking or flattening as well. The distribution is peaked or leptokurtic in relation to the normal if the kurtosis is greater than three, and flat or platykurtic in relation to the normal if it is less than three. According to the table’s outcome, only the values for liquidity ratio and total stock transaction value to GDP ratio are greater than three, which suggests that they have peaked or are leptokurtic. The values of the other variables are below three, indicating flatness or platykurtic behavior. According to their Jarque-Bera statistics, this suggests that the variables are not normally distributed.</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Figures 4.1, 4.2, 4.3 and 4.4 show the trend analysis of the variables used to analyze how financial sector development and health outcomes interact in Nigeria. The trend series for Nigeria’s money market development indices, life expectancy, and infant mortality rates are shown in Figure 4.1. From 1985 to 2022, Nigeria has witnessed a gradual improvement in life expectancy at birth. The values have consistently increased, reflecting advancements in healthcare, nutrition, and overall living conditions. In 1985, life expectancy stood at 46.317 years, and by 2022, it reached 52.676 years. This upward trend suggests a positive trajectory in the overall health of the population, indicating a potential improvement in healthcare infrastructure, disease prevention, and other contributing factors.The under-5 mortality rate, representing the number of deaths per 1,000 live births for children under five years of age, has also shown notable improvement. In 1985, the mortality rate was 207.2, indicating a relatively high risk of child mortality. Over the subsequent years, there has been a consistent decline in this rate. By 2022, the under-5 mortality rate reduced significantly to 110.8, highlighting substantial progress in child health and survival. This decline may be attributed to various factors such as improved access to healthcare, vaccination programs, and socio-economic development.The consistency in the improvement of these health outcomes suggests sustained efforts in public health interventions and healthcare infrastructure development. The decrease in the under-5 mortality rate indicates a successful focus on maternal and child health, while the increase in life expectancy suggests broader improvements in health systems and overall living standards.</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drawing>
          <wp:inline distT="0" distB="0" distL="0" distR="0">
            <wp:extent cx="5724525" cy="3714750"/>
            <wp:effectExtent l="19050" t="0" r="9525" b="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In Figure 4.1, it also shows a historical perspective on Nigeria’s money market instruments, highlighting the dynamic nature of monetary policy over the years.The monetary policy rate (MPR) being the benchmark interest rate set by the Central Bank of Nigeria (CBN) to guide monetary policy decisionsfluctuates over the years. Notably, there have been periods of significant adjustments, reflecting the CBN’s response to economic conditions. For instance, the MPR increased from 10% in 1986 to a peak of 26% in 1993, indicating a tightening of monetary policy. Subsequent years saw various adjustments, with the rate reaching 16.5% in 2022. These changes in the MPR have implications for interest rates in the broader economy.Treasury bills are short-term debt instruments issued by the government to control money supply and raise funds. Like the MPR, there are periods of volatility, reflecting shifts in monetary policy. For example, the Treasury bill rate increased from 8.5% in 1986 to 26.9% in 1993, aligning with a period of high MPR. Subsequently, there were adjustments, and by 2022, the rate stood at 8.22%.The 12-Months Deposit Rate represents interest rates on fixed-term deposits. Notably, there was a significant increase in the early 1990s, reaching 21.745% in 1990. Subsequent years witnessed fluctuations, and by 2022, the rate was 6.620%. The deposit rate movements reflect not only monetary policy decisions but also the dynamics of the banking sector and the broader financial market.The trends in these money market instruments have implications for economic activities. High-interest rates, as seen in the early 1990s, attract foreign capital but also stifle domestic investment. Conversely, lower rates, as observed in recent years, could stimulate improved health outcomes.</w:t>
      </w:r>
    </w:p>
    <w:p>
      <w:pPr>
        <w:spacing w:after="120" w:line="480" w:lineRule="auto"/>
        <w:jc w:val="both"/>
        <w:rPr>
          <w:rFonts w:ascii="Times New Roman" w:hAnsi="Times New Roman" w:cs="Times New Roman"/>
          <w:sz w:val="24"/>
          <w:szCs w:val="24"/>
        </w:rPr>
      </w:pPr>
      <w:bookmarkStart w:id="3" w:name="_Hlk151001780"/>
      <w:r>
        <w:rPr>
          <w:rFonts w:ascii="Times New Roman" w:hAnsi="Times New Roman" w:cs="Times New Roman"/>
          <w:sz w:val="24"/>
          <w:szCs w:val="24"/>
        </w:rPr>
        <w:drawing>
          <wp:inline distT="0" distB="0" distL="0" distR="0">
            <wp:extent cx="5724525" cy="3714750"/>
            <wp:effectExtent l="19050" t="0" r="9525" b="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bookmarkEnd w:id="3"/>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Figure 4.2 shows the series movement for banking sector development measures, life expectancy, and under-5 mortality.The liquidity ratio measures the proportion of a bank’s assets held in cash or assets that can be quickly converted to cash. In 1986, the liquidity ratio was notably low at 36.4%, indicating a potential vulnerability in the banking sector. Over the years, there were fluctuations, with the ratio reaching a peak of 104.202% in 2019, suggesting a significant increase in banks' liquidity positions. However, the ratio decreased to 54.934% in 2022, reflecting changes in liquidity management strategies or economic conditions.The loan to deposit ratio reflects the proportion of a bank's total loans to its total deposits. In 1986, the LDR was high at 83.2%, suggesting an aggressive lending strategy. Subsequent years saw variations, with the ratio fluctuating between 37.559% in 2013 to 96.817% in 2006. The LDR in 2022 stands at 61.696%, indicating a moderate level of loans relative to deposits. An optimal LDR is crucial for banks to balance risk and profitability, and regulatory authorities often use it as a tool to influence credit creation.This indicator represents the credit extended to the private sector by domestic banks relative to the GDP. The trend shows an increasing pattern, reaching 22.755% in 2009 and subsequently fluctuating between 15.068% in 2011 to 19.249% in 2022. This variability reflects changes in lending practices, economic conditions, and regulatory policies. A higher credit-to-GDP ratio can indicate robust economic activity but may pose risks if not managed prudently. Intuitively, a high liquidity ratio, while indicating financial stability, may also suggest underutilization of resources that could be deployed for income-generating activities. A moderate loan to deposit ratio reflects a balance between risk and lending activities, contributing to sustainable banking practices. The rising trend in domestic credit to the private sector implies increased access to credit for businesses, potentially driving economic growth.</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drawing>
          <wp:inline distT="0" distB="0" distL="0" distR="0">
            <wp:extent cx="5731510" cy="3703320"/>
            <wp:effectExtent l="19050" t="0" r="21590" b="0"/>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Figure 4.3 shows the patterns in stock market development measures and health outcome variables (life expectancy and child mortality). Stock market capitalization to GDP is a measure of the stock market's size relative to the country’s overall economic output. The values fluctuate over the years, starting at 3.514 in the base year (1985) and reaching 25.295 in 2022. This indicates a significant expansion of the stock market relative to the economy, suggesting increased market capitalization and potential attractiveness to investors. However, the year-to-year variations underscore the influence of economic conditions, regulatory changes, and investor sentiment on the stock market’s relative size.Total stock transaction value to GDP measures the value of stock transactions in relation to the country’s economic output. The ratio increases from 0.169 in 1986 to 0.577 in 2022. This indicates a substantial rise in the value of stock transactions concerning the overall economy, reflecting increased market activity. The peak values in the late 2000s and early 2010s suggest a period of heightened market participation, possibly influenced by economic factors and changes in investor behaviour.The all share index is a broad measure reflecting the performance of the entire stock market. The index values escalate from 127.3 in the base year to 51,251.06 in 2022. This remarkable growth implies significant appreciation in the value of listed stocks over the years. The sharp rise in the index, particularly in the 2000s, aligns with the periods of increased market transaction values, suggesting a correlation between market activity and stock prices.The trends in these indicators suggest a dynamic and evolving stock market in Nigeria. The rising stock market capitalization to GDP and total stock transaction value to GDP ratios indicate an increasing role of the stock market in the economy. This can have positive implications for capital formation, corporate financing, and investor wealth creation. The growth in all share index reflects the overall bullish trend in the market, which may attract both domestic and foreign investors.</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drawing>
          <wp:inline distT="0" distB="0" distL="0" distR="0">
            <wp:extent cx="5724525" cy="3714750"/>
            <wp:effectExtent l="19050" t="0" r="9525" b="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Figure 4.4 provides valuable insights into the evolution of Nigeria’s inflation, investment, trade and health outcomes over the past few decades.Inflation rates fluctuated significantly over the years, with peaks observed in the early 1990s and mid-2000s. Notably, inflation increased from 7.435% in the base year (1985) to 18.847% in 2022. These fluctuations reflect various macroeconomic factors, including changes in global commodity prices, monetary policy decisions, and domestic economic conditions. High inflation, particularly during specific periods, could pose challenges to price stability, affecting consumer purchasing power and overall economic stability.Trade as a percentage of GDP witnessed notable variations throughout the years. Starting at 10.392% in 1985, the trade-to-GDP ratio increased to 22.577% in 2022. The upward trend suggests an expanding role of international trade in the Nigerian economy. The diversification of exports, changes in trade policies, and globalization trends may contribute to the observed fluctuations. A higher trade-to-GDP ratio signifies increased integration into the global economy, offering potential benefits such as access to new markets and technology transfer.Gross fixed capital formation (GFCF) as a percentage of GDP provides insights into the investment climate. The values in the table fluctuate over the years, ranging from 46.395% in the base year to 33.107% in 2022. The declining trend indicates a potential decrease in the share of investment in GDP. Factors influencing GFCF include government policies, business confidence, and infrastructure development. A lower GFCF-to-GDP ratio may raise concerns about the country's ability to sustain long-term economic growth and development.The interplay among inflation, trade, and investment is crucial for understanding Nigeria’s economic dynamics. High inflation rates may impact trade competitiveness and investment decisions, affecting both domestic and foreign investors. The increasing trade-to-GDP ratio signals a growing reliance on international markets, offering opportunities for economic diversification but also exposing the economy to global uncertainties. The declining trend in GFCF as a percentage of GDP raises concerns about the capacity for sustained economic development without adequate investment.</w:t>
      </w:r>
    </w:p>
    <w:p>
      <w:pPr>
        <w:spacing w:after="120" w:line="480" w:lineRule="auto"/>
        <w:jc w:val="both"/>
        <w:rPr>
          <w:rFonts w:ascii="Times New Roman" w:hAnsi="Times New Roman" w:cs="Times New Roman"/>
          <w:sz w:val="24"/>
          <w:szCs w:val="24"/>
        </w:rPr>
      </w:pPr>
    </w:p>
    <w:p>
      <w:pPr>
        <w:spacing w:after="120" w:line="480" w:lineRule="auto"/>
        <w:jc w:val="both"/>
        <w:rPr>
          <w:rFonts w:ascii="Times New Roman" w:hAnsi="Times New Roman" w:cs="Times New Roman"/>
          <w:sz w:val="24"/>
          <w:szCs w:val="24"/>
        </w:rPr>
      </w:pPr>
    </w:p>
    <w:p>
      <w:pPr>
        <w:spacing w:after="120" w:line="480" w:lineRule="auto"/>
        <w:rPr>
          <w:rFonts w:ascii="Times New Roman" w:hAnsi="Times New Roman" w:cs="Times New Roman"/>
          <w:b/>
          <w:sz w:val="24"/>
          <w:szCs w:val="24"/>
        </w:rPr>
      </w:pPr>
      <w:r>
        <w:rPr>
          <w:rFonts w:ascii="Times New Roman" w:hAnsi="Times New Roman" w:cs="Times New Roman"/>
          <w:b/>
          <w:sz w:val="24"/>
          <w:szCs w:val="24"/>
        </w:rPr>
        <w:t>4.2.2</w:t>
      </w:r>
      <w:r>
        <w:rPr>
          <w:rFonts w:ascii="Times New Roman" w:hAnsi="Times New Roman" w:cs="Times New Roman"/>
          <w:b/>
          <w:sz w:val="24"/>
          <w:szCs w:val="24"/>
        </w:rPr>
        <w:tab/>
      </w:r>
      <w:r>
        <w:rPr>
          <w:rFonts w:ascii="Times New Roman" w:hAnsi="Times New Roman" w:cs="Times New Roman"/>
          <w:b/>
          <w:sz w:val="24"/>
          <w:szCs w:val="24"/>
        </w:rPr>
        <w:t>Correlation Analysis</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Table 4.2 presents the correlation analysis of the variables. The coefficients demonstrate the degree to which the variables are related and help to understand the relationship among financial sector development and health outcomes in Nigeria. Following Table 4.2, all the measures of money market development (monetary policy rate, treasury bill rate and 12-month deposit rate) negatively correlate with life expectancy and positively associated with under-5 mortality rate. As to bank sector development instruments, liquidity ratio and domestic credit to private sector to GDP have positive correlation with life expectancy but negatively associated under-5 mortality rate. Loan to deposit ratio has an indirect level of association with life expectancy but directly correlate with child mortality. Concerning stock market development, the study found a positive level of association between stock market measures (stock market capitalization, total stock traded value and all share index) and life expectancy. However, they all have a negative correlation with child mortality rate.</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Furthermore, the correlation matrix revealed that inflation, gross fixed capital formation, and trade opennessare inversely related to life expectancybut directly correlated with child mortality. Table 4.2 also provides the correlation coefficients for other controlling variables. The low correlation coefficients show no evidence of a multicollinearity issue. The signs and magnitudes of the variables are subject to confirmation using appropriate estimators as the correlation coefficients are just preliminary analysis.</w:t>
      </w:r>
    </w:p>
    <w:p>
      <w:pPr>
        <w:rPr>
          <w:rFonts w:ascii="Times New Roman" w:hAnsi="Times New Roman" w:cs="Times New Roman"/>
          <w:sz w:val="24"/>
          <w:szCs w:val="24"/>
        </w:rPr>
      </w:pPr>
      <w:r>
        <w:rPr>
          <w:rFonts w:ascii="Times New Roman" w:hAnsi="Times New Roman" w:cs="Times New Roman"/>
          <w:sz w:val="24"/>
          <w:szCs w:val="24"/>
        </w:rPr>
        <w:br w:type="page"/>
      </w:r>
    </w:p>
    <w:p>
      <w:pPr>
        <w:spacing w:after="0"/>
        <w:rPr>
          <w:rFonts w:ascii="Times New Roman" w:hAnsi="Times New Roman" w:cs="Times New Roman"/>
          <w:b/>
          <w:sz w:val="24"/>
          <w:szCs w:val="24"/>
        </w:rPr>
        <w:sectPr>
          <w:footerReference r:id="rId8" w:type="default"/>
          <w:pgSz w:w="11906" w:h="16838"/>
          <w:pgMar w:top="1440" w:right="1440" w:bottom="1440" w:left="1440" w:header="708" w:footer="708" w:gutter="0"/>
          <w:pgNumType w:start="1"/>
          <w:cols w:space="708" w:num="1"/>
          <w:docGrid w:linePitch="360" w:charSpace="0"/>
        </w:sectPr>
      </w:pPr>
    </w:p>
    <w:p>
      <w:pPr>
        <w:spacing w:after="0"/>
        <w:rPr>
          <w:rFonts w:ascii="Times New Roman" w:hAnsi="Times New Roman" w:cs="Times New Roman"/>
          <w:sz w:val="24"/>
          <w:szCs w:val="24"/>
        </w:rPr>
      </w:pPr>
      <w:bookmarkStart w:id="4" w:name="_Hlk151013981"/>
      <w:r>
        <w:rPr>
          <w:rFonts w:ascii="Times New Roman" w:hAnsi="Times New Roman" w:cs="Times New Roman"/>
          <w:b/>
          <w:sz w:val="24"/>
          <w:szCs w:val="24"/>
        </w:rPr>
        <w:t xml:space="preserve">Table 4.2: </w:t>
      </w:r>
      <w:r>
        <w:rPr>
          <w:rFonts w:ascii="Times New Roman" w:hAnsi="Times New Roman" w:cs="Times New Roman"/>
          <w:sz w:val="24"/>
          <w:szCs w:val="24"/>
        </w:rPr>
        <w:t>Correlation Matrix</w:t>
      </w:r>
    </w:p>
    <w:tbl>
      <w:tblPr>
        <w:tblStyle w:val="6"/>
        <w:tblW w:w="14083" w:type="dxa"/>
        <w:tblInd w:w="91" w:type="dxa"/>
        <w:tblLayout w:type="autofit"/>
        <w:tblCellMar>
          <w:top w:w="0" w:type="dxa"/>
          <w:left w:w="108" w:type="dxa"/>
          <w:bottom w:w="0" w:type="dxa"/>
          <w:right w:w="108" w:type="dxa"/>
        </w:tblCellMar>
      </w:tblPr>
      <w:tblGrid>
        <w:gridCol w:w="960"/>
        <w:gridCol w:w="960"/>
        <w:gridCol w:w="960"/>
        <w:gridCol w:w="960"/>
        <w:gridCol w:w="960"/>
        <w:gridCol w:w="960"/>
        <w:gridCol w:w="960"/>
        <w:gridCol w:w="960"/>
        <w:gridCol w:w="960"/>
        <w:gridCol w:w="960"/>
        <w:gridCol w:w="960"/>
        <w:gridCol w:w="960"/>
        <w:gridCol w:w="960"/>
        <w:gridCol w:w="960"/>
        <w:gridCol w:w="643"/>
      </w:tblGrid>
      <w:tr>
        <w:tblPrEx>
          <w:tblCellMar>
            <w:top w:w="0" w:type="dxa"/>
            <w:left w:w="108" w:type="dxa"/>
            <w:bottom w:w="0" w:type="dxa"/>
            <w:right w:w="108" w:type="dxa"/>
          </w:tblCellMar>
        </w:tblPrEx>
        <w:trPr>
          <w:trHeight w:val="300" w:hRule="atLeast"/>
        </w:trPr>
        <w:tc>
          <w:tcPr>
            <w:tcW w:w="960" w:type="dxa"/>
            <w:tcBorders>
              <w:top w:val="single" w:color="auto" w:sz="8" w:space="0"/>
              <w:left w:val="nil"/>
              <w:bottom w:val="single" w:color="auto" w:sz="4" w:space="0"/>
              <w:right w:val="nil"/>
            </w:tcBorders>
            <w:shd w:val="clear" w:color="auto" w:fill="auto"/>
            <w:noWrap/>
            <w:vAlign w:val="bottom"/>
          </w:tcPr>
          <w:p>
            <w:pPr>
              <w:spacing w:before="60" w:after="60" w:line="276" w:lineRule="auto"/>
              <w:jc w:val="center"/>
              <w:rPr>
                <w:rFonts w:ascii="Times New Roman" w:hAnsi="Times New Roman" w:eastAsia="Times New Roman" w:cs="Times New Roman"/>
                <w:i/>
                <w:iCs/>
                <w:sz w:val="24"/>
                <w:szCs w:val="24"/>
              </w:rPr>
            </w:pPr>
            <w:r>
              <w:rPr>
                <w:rFonts w:ascii="Times New Roman" w:hAnsi="Times New Roman" w:eastAsia="Times New Roman" w:cs="Times New Roman"/>
                <w:i/>
                <w:iCs/>
                <w:sz w:val="24"/>
                <w:szCs w:val="24"/>
              </w:rPr>
              <w:t> </w:t>
            </w:r>
          </w:p>
        </w:tc>
        <w:tc>
          <w:tcPr>
            <w:tcW w:w="960" w:type="dxa"/>
            <w:tcBorders>
              <w:top w:val="single" w:color="auto" w:sz="8" w:space="0"/>
              <w:left w:val="nil"/>
              <w:bottom w:val="single" w:color="auto" w:sz="4"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i/>
                <w:iCs/>
                <w:sz w:val="24"/>
                <w:szCs w:val="24"/>
              </w:rPr>
            </w:pPr>
            <w:r>
              <w:rPr>
                <w:rFonts w:ascii="Times New Roman" w:hAnsi="Times New Roman" w:eastAsia="Times New Roman" w:cs="Times New Roman"/>
                <w:i/>
                <w:iCs/>
                <w:sz w:val="24"/>
                <w:szCs w:val="24"/>
              </w:rPr>
              <w:t>lexp</w:t>
            </w:r>
          </w:p>
        </w:tc>
        <w:tc>
          <w:tcPr>
            <w:tcW w:w="960" w:type="dxa"/>
            <w:tcBorders>
              <w:top w:val="single" w:color="auto" w:sz="8" w:space="0"/>
              <w:left w:val="nil"/>
              <w:bottom w:val="single" w:color="auto" w:sz="4"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i/>
                <w:iCs/>
                <w:sz w:val="24"/>
                <w:szCs w:val="24"/>
              </w:rPr>
            </w:pPr>
            <w:r>
              <w:rPr>
                <w:rFonts w:ascii="Times New Roman" w:hAnsi="Times New Roman" w:eastAsia="Times New Roman" w:cs="Times New Roman"/>
                <w:i/>
                <w:iCs/>
                <w:sz w:val="24"/>
                <w:szCs w:val="24"/>
              </w:rPr>
              <w:t>un5m</w:t>
            </w:r>
          </w:p>
        </w:tc>
        <w:tc>
          <w:tcPr>
            <w:tcW w:w="960" w:type="dxa"/>
            <w:tcBorders>
              <w:top w:val="single" w:color="auto" w:sz="8" w:space="0"/>
              <w:left w:val="nil"/>
              <w:bottom w:val="single" w:color="auto" w:sz="4"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i/>
                <w:iCs/>
                <w:sz w:val="24"/>
                <w:szCs w:val="24"/>
              </w:rPr>
            </w:pPr>
            <w:r>
              <w:rPr>
                <w:rFonts w:ascii="Times New Roman" w:hAnsi="Times New Roman" w:eastAsia="Times New Roman" w:cs="Times New Roman"/>
                <w:i/>
                <w:iCs/>
                <w:sz w:val="24"/>
                <w:szCs w:val="24"/>
              </w:rPr>
              <w:t>mpr</w:t>
            </w:r>
          </w:p>
        </w:tc>
        <w:tc>
          <w:tcPr>
            <w:tcW w:w="960" w:type="dxa"/>
            <w:tcBorders>
              <w:top w:val="single" w:color="auto" w:sz="8" w:space="0"/>
              <w:left w:val="nil"/>
              <w:bottom w:val="single" w:color="auto" w:sz="4"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i/>
                <w:iCs/>
                <w:sz w:val="24"/>
                <w:szCs w:val="24"/>
              </w:rPr>
            </w:pPr>
            <w:r>
              <w:rPr>
                <w:rFonts w:ascii="Times New Roman" w:hAnsi="Times New Roman" w:eastAsia="Times New Roman" w:cs="Times New Roman"/>
                <w:i/>
                <w:iCs/>
                <w:sz w:val="24"/>
                <w:szCs w:val="24"/>
              </w:rPr>
              <w:t>tbr</w:t>
            </w:r>
          </w:p>
        </w:tc>
        <w:tc>
          <w:tcPr>
            <w:tcW w:w="960" w:type="dxa"/>
            <w:tcBorders>
              <w:top w:val="single" w:color="auto" w:sz="8" w:space="0"/>
              <w:left w:val="nil"/>
              <w:bottom w:val="single" w:color="auto" w:sz="4"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i/>
                <w:iCs/>
                <w:sz w:val="24"/>
                <w:szCs w:val="24"/>
              </w:rPr>
            </w:pPr>
            <w:r>
              <w:rPr>
                <w:rFonts w:ascii="Times New Roman" w:hAnsi="Times New Roman" w:eastAsia="Times New Roman" w:cs="Times New Roman"/>
                <w:i/>
                <w:iCs/>
                <w:sz w:val="24"/>
                <w:szCs w:val="24"/>
              </w:rPr>
              <w:t>mdr</w:t>
            </w:r>
          </w:p>
        </w:tc>
        <w:tc>
          <w:tcPr>
            <w:tcW w:w="960" w:type="dxa"/>
            <w:tcBorders>
              <w:top w:val="single" w:color="auto" w:sz="8" w:space="0"/>
              <w:left w:val="nil"/>
              <w:bottom w:val="single" w:color="auto" w:sz="4"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i/>
                <w:iCs/>
                <w:sz w:val="24"/>
                <w:szCs w:val="24"/>
              </w:rPr>
            </w:pPr>
            <w:r>
              <w:rPr>
                <w:rFonts w:ascii="Times New Roman" w:hAnsi="Times New Roman" w:eastAsia="Times New Roman" w:cs="Times New Roman"/>
                <w:i/>
                <w:iCs/>
                <w:sz w:val="24"/>
                <w:szCs w:val="24"/>
              </w:rPr>
              <w:t>lr</w:t>
            </w:r>
          </w:p>
        </w:tc>
        <w:tc>
          <w:tcPr>
            <w:tcW w:w="960" w:type="dxa"/>
            <w:tcBorders>
              <w:top w:val="single" w:color="auto" w:sz="8" w:space="0"/>
              <w:left w:val="nil"/>
              <w:bottom w:val="single" w:color="auto" w:sz="4"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i/>
                <w:iCs/>
                <w:sz w:val="24"/>
                <w:szCs w:val="24"/>
              </w:rPr>
            </w:pPr>
            <w:r>
              <w:rPr>
                <w:rFonts w:ascii="Times New Roman" w:hAnsi="Times New Roman" w:eastAsia="Times New Roman" w:cs="Times New Roman"/>
                <w:i/>
                <w:iCs/>
                <w:sz w:val="24"/>
                <w:szCs w:val="24"/>
              </w:rPr>
              <w:t>ldr</w:t>
            </w:r>
          </w:p>
        </w:tc>
        <w:tc>
          <w:tcPr>
            <w:tcW w:w="960" w:type="dxa"/>
            <w:tcBorders>
              <w:top w:val="single" w:color="auto" w:sz="8" w:space="0"/>
              <w:left w:val="nil"/>
              <w:bottom w:val="single" w:color="auto" w:sz="4"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i/>
                <w:iCs/>
                <w:sz w:val="24"/>
                <w:szCs w:val="24"/>
              </w:rPr>
            </w:pPr>
            <w:r>
              <w:rPr>
                <w:rFonts w:ascii="Times New Roman" w:hAnsi="Times New Roman" w:eastAsia="Times New Roman" w:cs="Times New Roman"/>
                <w:i/>
                <w:iCs/>
                <w:sz w:val="24"/>
                <w:szCs w:val="24"/>
              </w:rPr>
              <w:t>dcps</w:t>
            </w:r>
          </w:p>
        </w:tc>
        <w:tc>
          <w:tcPr>
            <w:tcW w:w="960" w:type="dxa"/>
            <w:tcBorders>
              <w:top w:val="single" w:color="auto" w:sz="8" w:space="0"/>
              <w:left w:val="nil"/>
              <w:bottom w:val="single" w:color="auto" w:sz="4"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i/>
                <w:iCs/>
                <w:sz w:val="24"/>
                <w:szCs w:val="24"/>
              </w:rPr>
            </w:pPr>
            <w:r>
              <w:rPr>
                <w:rFonts w:ascii="Times New Roman" w:hAnsi="Times New Roman" w:eastAsia="Times New Roman" w:cs="Times New Roman"/>
                <w:i/>
                <w:iCs/>
                <w:sz w:val="24"/>
                <w:szCs w:val="24"/>
              </w:rPr>
              <w:t>smk</w:t>
            </w:r>
          </w:p>
        </w:tc>
        <w:tc>
          <w:tcPr>
            <w:tcW w:w="960" w:type="dxa"/>
            <w:tcBorders>
              <w:top w:val="single" w:color="auto" w:sz="8" w:space="0"/>
              <w:left w:val="nil"/>
              <w:bottom w:val="single" w:color="auto" w:sz="4"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i/>
                <w:iCs/>
                <w:sz w:val="24"/>
                <w:szCs w:val="24"/>
              </w:rPr>
            </w:pPr>
            <w:r>
              <w:rPr>
                <w:rFonts w:ascii="Times New Roman" w:hAnsi="Times New Roman" w:eastAsia="Times New Roman" w:cs="Times New Roman"/>
                <w:i/>
                <w:iCs/>
                <w:sz w:val="24"/>
                <w:szCs w:val="24"/>
              </w:rPr>
              <w:t>tstv</w:t>
            </w:r>
          </w:p>
        </w:tc>
        <w:tc>
          <w:tcPr>
            <w:tcW w:w="960" w:type="dxa"/>
            <w:tcBorders>
              <w:top w:val="single" w:color="auto" w:sz="8" w:space="0"/>
              <w:left w:val="nil"/>
              <w:bottom w:val="single" w:color="auto" w:sz="4"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i/>
                <w:iCs/>
                <w:sz w:val="24"/>
                <w:szCs w:val="24"/>
              </w:rPr>
            </w:pPr>
            <w:r>
              <w:rPr>
                <w:rFonts w:ascii="Times New Roman" w:hAnsi="Times New Roman" w:eastAsia="Times New Roman" w:cs="Times New Roman"/>
                <w:i/>
                <w:iCs/>
                <w:sz w:val="24"/>
                <w:szCs w:val="24"/>
              </w:rPr>
              <w:t>asi</w:t>
            </w:r>
          </w:p>
        </w:tc>
        <w:tc>
          <w:tcPr>
            <w:tcW w:w="960" w:type="dxa"/>
            <w:tcBorders>
              <w:top w:val="single" w:color="auto" w:sz="8" w:space="0"/>
              <w:left w:val="nil"/>
              <w:bottom w:val="single" w:color="auto" w:sz="4"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i/>
                <w:iCs/>
                <w:sz w:val="24"/>
                <w:szCs w:val="24"/>
              </w:rPr>
            </w:pPr>
            <w:r>
              <w:rPr>
                <w:rFonts w:ascii="Times New Roman" w:hAnsi="Times New Roman" w:eastAsia="Times New Roman" w:cs="Times New Roman"/>
                <w:i/>
                <w:iCs/>
                <w:sz w:val="24"/>
                <w:szCs w:val="24"/>
              </w:rPr>
              <w:t>inf</w:t>
            </w:r>
          </w:p>
        </w:tc>
        <w:tc>
          <w:tcPr>
            <w:tcW w:w="960" w:type="dxa"/>
            <w:tcBorders>
              <w:top w:val="single" w:color="auto" w:sz="8" w:space="0"/>
              <w:left w:val="nil"/>
              <w:bottom w:val="single" w:color="auto" w:sz="4"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i/>
                <w:iCs/>
                <w:sz w:val="24"/>
                <w:szCs w:val="24"/>
              </w:rPr>
            </w:pPr>
            <w:r>
              <w:rPr>
                <w:rFonts w:ascii="Times New Roman" w:hAnsi="Times New Roman" w:eastAsia="Times New Roman" w:cs="Times New Roman"/>
                <w:i/>
                <w:iCs/>
                <w:sz w:val="24"/>
                <w:szCs w:val="24"/>
              </w:rPr>
              <w:t>topen</w:t>
            </w:r>
          </w:p>
        </w:tc>
        <w:tc>
          <w:tcPr>
            <w:tcW w:w="643" w:type="dxa"/>
            <w:tcBorders>
              <w:top w:val="single" w:color="auto" w:sz="8" w:space="0"/>
              <w:left w:val="nil"/>
              <w:bottom w:val="single" w:color="auto" w:sz="4" w:space="0"/>
              <w:right w:val="nil"/>
            </w:tcBorders>
          </w:tcPr>
          <w:p>
            <w:pPr>
              <w:spacing w:before="60" w:after="60" w:line="276" w:lineRule="auto"/>
              <w:jc w:val="center"/>
              <w:rPr>
                <w:rFonts w:ascii="Times New Roman" w:hAnsi="Times New Roman" w:eastAsia="Times New Roman" w:cs="Times New Roman"/>
                <w:i/>
                <w:iCs/>
                <w:sz w:val="24"/>
                <w:szCs w:val="24"/>
              </w:rPr>
            </w:pPr>
            <w:r>
              <w:rPr>
                <w:rFonts w:ascii="Times New Roman" w:hAnsi="Times New Roman" w:eastAsia="Times New Roman" w:cs="Times New Roman"/>
                <w:i/>
                <w:iCs/>
                <w:sz w:val="24"/>
                <w:szCs w:val="24"/>
              </w:rPr>
              <w:t>gfcf</w:t>
            </w:r>
          </w:p>
        </w:tc>
      </w:tr>
      <w:tr>
        <w:tblPrEx>
          <w:tblCellMar>
            <w:top w:w="0" w:type="dxa"/>
            <w:left w:w="108" w:type="dxa"/>
            <w:bottom w:w="0" w:type="dxa"/>
            <w:right w:w="108" w:type="dxa"/>
          </w:tblCellMar>
        </w:tblPrEx>
        <w:trPr>
          <w:trHeight w:val="300" w:hRule="atLeast"/>
        </w:trPr>
        <w:tc>
          <w:tcPr>
            <w:tcW w:w="960" w:type="dxa"/>
            <w:tcBorders>
              <w:top w:val="nil"/>
              <w:left w:val="nil"/>
              <w:bottom w:val="nil"/>
              <w:right w:val="nil"/>
            </w:tcBorders>
            <w:shd w:val="clear" w:color="auto" w:fill="auto"/>
            <w:noWrap/>
            <w:vAlign w:val="bottom"/>
          </w:tcPr>
          <w:p>
            <w:pPr>
              <w:spacing w:before="60" w:after="60" w:line="276"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lexp</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643" w:type="dxa"/>
            <w:tcBorders>
              <w:top w:val="nil"/>
              <w:left w:val="nil"/>
              <w:bottom w:val="nil"/>
              <w:right w:val="nil"/>
            </w:tcBorders>
          </w:tcPr>
          <w:p>
            <w:pPr>
              <w:spacing w:before="60" w:after="60" w:line="276" w:lineRule="auto"/>
              <w:jc w:val="center"/>
              <w:rPr>
                <w:rFonts w:ascii="Times New Roman" w:hAnsi="Times New Roman" w:eastAsia="Times New Roman" w:cs="Times New Roman"/>
                <w:sz w:val="24"/>
                <w:szCs w:val="24"/>
              </w:rPr>
            </w:pPr>
          </w:p>
        </w:tc>
      </w:tr>
      <w:tr>
        <w:tblPrEx>
          <w:tblCellMar>
            <w:top w:w="0" w:type="dxa"/>
            <w:left w:w="108" w:type="dxa"/>
            <w:bottom w:w="0" w:type="dxa"/>
            <w:right w:w="108" w:type="dxa"/>
          </w:tblCellMar>
        </w:tblPrEx>
        <w:trPr>
          <w:trHeight w:val="300" w:hRule="atLeast"/>
        </w:trPr>
        <w:tc>
          <w:tcPr>
            <w:tcW w:w="960" w:type="dxa"/>
            <w:tcBorders>
              <w:top w:val="nil"/>
              <w:left w:val="nil"/>
              <w:bottom w:val="nil"/>
              <w:right w:val="nil"/>
            </w:tcBorders>
            <w:shd w:val="clear" w:color="auto" w:fill="auto"/>
            <w:noWrap/>
            <w:vAlign w:val="bottom"/>
          </w:tcPr>
          <w:p>
            <w:pPr>
              <w:spacing w:before="60" w:after="60" w:line="276"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un5m</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-0.991</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643" w:type="dxa"/>
            <w:tcBorders>
              <w:top w:val="nil"/>
              <w:left w:val="nil"/>
              <w:bottom w:val="nil"/>
              <w:right w:val="nil"/>
            </w:tcBorders>
          </w:tcPr>
          <w:p>
            <w:pPr>
              <w:spacing w:before="60" w:after="60" w:line="276" w:lineRule="auto"/>
              <w:jc w:val="center"/>
              <w:rPr>
                <w:rFonts w:ascii="Times New Roman" w:hAnsi="Times New Roman" w:eastAsia="Times New Roman" w:cs="Times New Roman"/>
                <w:sz w:val="24"/>
                <w:szCs w:val="24"/>
              </w:rPr>
            </w:pPr>
          </w:p>
        </w:tc>
      </w:tr>
      <w:tr>
        <w:tblPrEx>
          <w:tblCellMar>
            <w:top w:w="0" w:type="dxa"/>
            <w:left w:w="108" w:type="dxa"/>
            <w:bottom w:w="0" w:type="dxa"/>
            <w:right w:w="108" w:type="dxa"/>
          </w:tblCellMar>
        </w:tblPrEx>
        <w:trPr>
          <w:trHeight w:val="300" w:hRule="atLeast"/>
        </w:trPr>
        <w:tc>
          <w:tcPr>
            <w:tcW w:w="960" w:type="dxa"/>
            <w:tcBorders>
              <w:top w:val="nil"/>
              <w:left w:val="nil"/>
              <w:bottom w:val="nil"/>
              <w:right w:val="nil"/>
            </w:tcBorders>
            <w:shd w:val="clear" w:color="auto" w:fill="auto"/>
            <w:noWrap/>
            <w:vAlign w:val="bottom"/>
          </w:tcPr>
          <w:p>
            <w:pPr>
              <w:spacing w:before="60" w:after="60" w:line="276"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mpr</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-0.383</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0.387</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643" w:type="dxa"/>
            <w:tcBorders>
              <w:top w:val="nil"/>
              <w:left w:val="nil"/>
              <w:bottom w:val="nil"/>
              <w:right w:val="nil"/>
            </w:tcBorders>
          </w:tcPr>
          <w:p>
            <w:pPr>
              <w:spacing w:before="60" w:after="60" w:line="276" w:lineRule="auto"/>
              <w:jc w:val="center"/>
              <w:rPr>
                <w:rFonts w:ascii="Times New Roman" w:hAnsi="Times New Roman" w:eastAsia="Times New Roman" w:cs="Times New Roman"/>
                <w:sz w:val="24"/>
                <w:szCs w:val="24"/>
              </w:rPr>
            </w:pPr>
          </w:p>
        </w:tc>
      </w:tr>
      <w:tr>
        <w:tblPrEx>
          <w:tblCellMar>
            <w:top w:w="0" w:type="dxa"/>
            <w:left w:w="108" w:type="dxa"/>
            <w:bottom w:w="0" w:type="dxa"/>
            <w:right w:w="108" w:type="dxa"/>
          </w:tblCellMar>
        </w:tblPrEx>
        <w:trPr>
          <w:trHeight w:val="300" w:hRule="atLeast"/>
        </w:trPr>
        <w:tc>
          <w:tcPr>
            <w:tcW w:w="960" w:type="dxa"/>
            <w:tcBorders>
              <w:top w:val="nil"/>
              <w:left w:val="nil"/>
              <w:bottom w:val="nil"/>
              <w:right w:val="nil"/>
            </w:tcBorders>
            <w:shd w:val="clear" w:color="auto" w:fill="auto"/>
            <w:noWrap/>
            <w:vAlign w:val="bottom"/>
          </w:tcPr>
          <w:p>
            <w:pPr>
              <w:spacing w:before="60" w:after="60" w:line="276"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tbr</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-0.533</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0.543</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0.742</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643" w:type="dxa"/>
            <w:tcBorders>
              <w:top w:val="nil"/>
              <w:left w:val="nil"/>
              <w:bottom w:val="nil"/>
              <w:right w:val="nil"/>
            </w:tcBorders>
          </w:tcPr>
          <w:p>
            <w:pPr>
              <w:spacing w:before="60" w:after="60" w:line="276" w:lineRule="auto"/>
              <w:jc w:val="center"/>
              <w:rPr>
                <w:rFonts w:ascii="Times New Roman" w:hAnsi="Times New Roman" w:eastAsia="Times New Roman" w:cs="Times New Roman"/>
                <w:sz w:val="24"/>
                <w:szCs w:val="24"/>
              </w:rPr>
            </w:pPr>
          </w:p>
        </w:tc>
      </w:tr>
      <w:tr>
        <w:tblPrEx>
          <w:tblCellMar>
            <w:top w:w="0" w:type="dxa"/>
            <w:left w:w="108" w:type="dxa"/>
            <w:bottom w:w="0" w:type="dxa"/>
            <w:right w:w="108" w:type="dxa"/>
          </w:tblCellMar>
        </w:tblPrEx>
        <w:trPr>
          <w:trHeight w:val="300" w:hRule="atLeast"/>
        </w:trPr>
        <w:tc>
          <w:tcPr>
            <w:tcW w:w="960" w:type="dxa"/>
            <w:tcBorders>
              <w:top w:val="nil"/>
              <w:left w:val="nil"/>
              <w:bottom w:val="nil"/>
              <w:right w:val="nil"/>
            </w:tcBorders>
            <w:shd w:val="clear" w:color="auto" w:fill="auto"/>
            <w:noWrap/>
            <w:vAlign w:val="bottom"/>
          </w:tcPr>
          <w:p>
            <w:pPr>
              <w:spacing w:before="60" w:after="60" w:line="276"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mdr</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-0.663</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0.679</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0.703</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0.760</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643" w:type="dxa"/>
            <w:tcBorders>
              <w:top w:val="nil"/>
              <w:left w:val="nil"/>
              <w:bottom w:val="nil"/>
              <w:right w:val="nil"/>
            </w:tcBorders>
          </w:tcPr>
          <w:p>
            <w:pPr>
              <w:spacing w:before="60" w:after="60" w:line="276" w:lineRule="auto"/>
              <w:jc w:val="center"/>
              <w:rPr>
                <w:rFonts w:ascii="Times New Roman" w:hAnsi="Times New Roman" w:eastAsia="Times New Roman" w:cs="Times New Roman"/>
                <w:sz w:val="24"/>
                <w:szCs w:val="24"/>
              </w:rPr>
            </w:pPr>
          </w:p>
        </w:tc>
      </w:tr>
      <w:tr>
        <w:tblPrEx>
          <w:tblCellMar>
            <w:top w:w="0" w:type="dxa"/>
            <w:left w:w="108" w:type="dxa"/>
            <w:bottom w:w="0" w:type="dxa"/>
            <w:right w:w="108" w:type="dxa"/>
          </w:tblCellMar>
        </w:tblPrEx>
        <w:trPr>
          <w:trHeight w:val="300" w:hRule="atLeast"/>
        </w:trPr>
        <w:tc>
          <w:tcPr>
            <w:tcW w:w="960" w:type="dxa"/>
            <w:tcBorders>
              <w:top w:val="nil"/>
              <w:left w:val="nil"/>
              <w:bottom w:val="nil"/>
              <w:right w:val="nil"/>
            </w:tcBorders>
            <w:shd w:val="clear" w:color="auto" w:fill="auto"/>
            <w:noWrap/>
            <w:vAlign w:val="bottom"/>
          </w:tcPr>
          <w:p>
            <w:pPr>
              <w:spacing w:before="60" w:after="60" w:line="276"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lr</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0.325</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-0.313</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0.063</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-0.137</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-0.207</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643" w:type="dxa"/>
            <w:tcBorders>
              <w:top w:val="nil"/>
              <w:left w:val="nil"/>
              <w:bottom w:val="nil"/>
              <w:right w:val="nil"/>
            </w:tcBorders>
          </w:tcPr>
          <w:p>
            <w:pPr>
              <w:spacing w:before="60" w:after="60" w:line="276" w:lineRule="auto"/>
              <w:jc w:val="center"/>
              <w:rPr>
                <w:rFonts w:ascii="Times New Roman" w:hAnsi="Times New Roman" w:eastAsia="Times New Roman" w:cs="Times New Roman"/>
                <w:sz w:val="24"/>
                <w:szCs w:val="24"/>
              </w:rPr>
            </w:pPr>
          </w:p>
        </w:tc>
      </w:tr>
      <w:tr>
        <w:tblPrEx>
          <w:tblCellMar>
            <w:top w:w="0" w:type="dxa"/>
            <w:left w:w="108" w:type="dxa"/>
            <w:bottom w:w="0" w:type="dxa"/>
            <w:right w:w="108" w:type="dxa"/>
          </w:tblCellMar>
        </w:tblPrEx>
        <w:trPr>
          <w:trHeight w:val="300" w:hRule="atLeast"/>
        </w:trPr>
        <w:tc>
          <w:tcPr>
            <w:tcW w:w="960" w:type="dxa"/>
            <w:tcBorders>
              <w:top w:val="nil"/>
              <w:left w:val="nil"/>
              <w:bottom w:val="nil"/>
              <w:right w:val="nil"/>
            </w:tcBorders>
            <w:shd w:val="clear" w:color="auto" w:fill="auto"/>
            <w:noWrap/>
            <w:vAlign w:val="bottom"/>
          </w:tcPr>
          <w:p>
            <w:pPr>
              <w:spacing w:before="60" w:after="60" w:line="276"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ldr</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-0.128</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0.113</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-0.323</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-0.328</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-0.030</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-0.072</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643" w:type="dxa"/>
            <w:tcBorders>
              <w:top w:val="nil"/>
              <w:left w:val="nil"/>
              <w:bottom w:val="nil"/>
              <w:right w:val="nil"/>
            </w:tcBorders>
          </w:tcPr>
          <w:p>
            <w:pPr>
              <w:spacing w:before="60" w:after="60" w:line="276" w:lineRule="auto"/>
              <w:jc w:val="center"/>
              <w:rPr>
                <w:rFonts w:ascii="Times New Roman" w:hAnsi="Times New Roman" w:eastAsia="Times New Roman" w:cs="Times New Roman"/>
                <w:sz w:val="24"/>
                <w:szCs w:val="24"/>
              </w:rPr>
            </w:pPr>
          </w:p>
        </w:tc>
      </w:tr>
      <w:tr>
        <w:tblPrEx>
          <w:tblCellMar>
            <w:top w:w="0" w:type="dxa"/>
            <w:left w:w="108" w:type="dxa"/>
            <w:bottom w:w="0" w:type="dxa"/>
            <w:right w:w="108" w:type="dxa"/>
          </w:tblCellMar>
        </w:tblPrEx>
        <w:trPr>
          <w:trHeight w:val="300" w:hRule="atLeast"/>
        </w:trPr>
        <w:tc>
          <w:tcPr>
            <w:tcW w:w="960" w:type="dxa"/>
            <w:tcBorders>
              <w:top w:val="nil"/>
              <w:left w:val="nil"/>
              <w:bottom w:val="nil"/>
              <w:right w:val="nil"/>
            </w:tcBorders>
            <w:shd w:val="clear" w:color="auto" w:fill="auto"/>
            <w:noWrap/>
            <w:vAlign w:val="bottom"/>
          </w:tcPr>
          <w:p>
            <w:pPr>
              <w:spacing w:before="60" w:after="60" w:line="276"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dcps</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0.789</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-0.769</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-0.394</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-0.490</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-0.541</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0.053</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-0.131</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643" w:type="dxa"/>
            <w:tcBorders>
              <w:top w:val="nil"/>
              <w:left w:val="nil"/>
              <w:bottom w:val="nil"/>
              <w:right w:val="nil"/>
            </w:tcBorders>
          </w:tcPr>
          <w:p>
            <w:pPr>
              <w:spacing w:before="60" w:after="60" w:line="276" w:lineRule="auto"/>
              <w:jc w:val="center"/>
              <w:rPr>
                <w:rFonts w:ascii="Times New Roman" w:hAnsi="Times New Roman" w:eastAsia="Times New Roman" w:cs="Times New Roman"/>
                <w:sz w:val="24"/>
                <w:szCs w:val="24"/>
              </w:rPr>
            </w:pPr>
          </w:p>
        </w:tc>
      </w:tr>
      <w:tr>
        <w:tblPrEx>
          <w:tblCellMar>
            <w:top w:w="0" w:type="dxa"/>
            <w:left w:w="108" w:type="dxa"/>
            <w:bottom w:w="0" w:type="dxa"/>
            <w:right w:w="108" w:type="dxa"/>
          </w:tblCellMar>
        </w:tblPrEx>
        <w:trPr>
          <w:trHeight w:val="300" w:hRule="atLeast"/>
        </w:trPr>
        <w:tc>
          <w:tcPr>
            <w:tcW w:w="960" w:type="dxa"/>
            <w:tcBorders>
              <w:top w:val="nil"/>
              <w:left w:val="nil"/>
              <w:bottom w:val="nil"/>
              <w:right w:val="nil"/>
            </w:tcBorders>
            <w:shd w:val="clear" w:color="auto" w:fill="auto"/>
            <w:noWrap/>
            <w:vAlign w:val="bottom"/>
          </w:tcPr>
          <w:p>
            <w:pPr>
              <w:spacing w:before="60" w:after="60" w:line="276"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smk</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0.750</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-0.767</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-0.456</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-0.593</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-0.649</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0.165</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0.017</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0.729</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643" w:type="dxa"/>
            <w:tcBorders>
              <w:top w:val="nil"/>
              <w:left w:val="nil"/>
              <w:bottom w:val="nil"/>
              <w:right w:val="nil"/>
            </w:tcBorders>
          </w:tcPr>
          <w:p>
            <w:pPr>
              <w:spacing w:before="60" w:after="60" w:line="276" w:lineRule="auto"/>
              <w:jc w:val="center"/>
              <w:rPr>
                <w:rFonts w:ascii="Times New Roman" w:hAnsi="Times New Roman" w:eastAsia="Times New Roman" w:cs="Times New Roman"/>
                <w:sz w:val="24"/>
                <w:szCs w:val="24"/>
              </w:rPr>
            </w:pPr>
          </w:p>
        </w:tc>
      </w:tr>
      <w:tr>
        <w:tblPrEx>
          <w:tblCellMar>
            <w:top w:w="0" w:type="dxa"/>
            <w:left w:w="108" w:type="dxa"/>
            <w:bottom w:w="0" w:type="dxa"/>
            <w:right w:w="108" w:type="dxa"/>
          </w:tblCellMar>
        </w:tblPrEx>
        <w:trPr>
          <w:trHeight w:val="300" w:hRule="atLeast"/>
        </w:trPr>
        <w:tc>
          <w:tcPr>
            <w:tcW w:w="960" w:type="dxa"/>
            <w:tcBorders>
              <w:top w:val="nil"/>
              <w:left w:val="nil"/>
              <w:bottom w:val="nil"/>
              <w:right w:val="nil"/>
            </w:tcBorders>
            <w:shd w:val="clear" w:color="auto" w:fill="auto"/>
            <w:noWrap/>
            <w:vAlign w:val="bottom"/>
          </w:tcPr>
          <w:p>
            <w:pPr>
              <w:spacing w:before="60" w:after="60" w:line="276"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tstv</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0.515</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-0.538</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-0.470</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-0.436</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-0.388</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-0.087</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0.163</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0.485</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0.739</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643" w:type="dxa"/>
            <w:tcBorders>
              <w:top w:val="nil"/>
              <w:left w:val="nil"/>
              <w:bottom w:val="nil"/>
              <w:right w:val="nil"/>
            </w:tcBorders>
          </w:tcPr>
          <w:p>
            <w:pPr>
              <w:spacing w:before="60" w:after="60" w:line="276" w:lineRule="auto"/>
              <w:jc w:val="center"/>
              <w:rPr>
                <w:rFonts w:ascii="Times New Roman" w:hAnsi="Times New Roman" w:eastAsia="Times New Roman" w:cs="Times New Roman"/>
                <w:sz w:val="24"/>
                <w:szCs w:val="24"/>
              </w:rPr>
            </w:pPr>
          </w:p>
        </w:tc>
      </w:tr>
      <w:tr>
        <w:tblPrEx>
          <w:tblCellMar>
            <w:top w:w="0" w:type="dxa"/>
            <w:left w:w="108" w:type="dxa"/>
            <w:bottom w:w="0" w:type="dxa"/>
            <w:right w:w="108" w:type="dxa"/>
          </w:tblCellMar>
        </w:tblPrEx>
        <w:trPr>
          <w:trHeight w:val="300" w:hRule="atLeast"/>
        </w:trPr>
        <w:tc>
          <w:tcPr>
            <w:tcW w:w="960" w:type="dxa"/>
            <w:tcBorders>
              <w:top w:val="nil"/>
              <w:left w:val="nil"/>
              <w:bottom w:val="nil"/>
              <w:right w:val="nil"/>
            </w:tcBorders>
            <w:shd w:val="clear" w:color="auto" w:fill="auto"/>
            <w:noWrap/>
            <w:vAlign w:val="bottom"/>
          </w:tcPr>
          <w:p>
            <w:pPr>
              <w:spacing w:before="60" w:after="60" w:line="276"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asi</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0.781</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-0.702</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-0.374</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-0.542</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-0.642</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0.243</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0.017</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0.707</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0.768</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0.667</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643" w:type="dxa"/>
            <w:tcBorders>
              <w:top w:val="nil"/>
              <w:left w:val="nil"/>
              <w:bottom w:val="nil"/>
              <w:right w:val="nil"/>
            </w:tcBorders>
          </w:tcPr>
          <w:p>
            <w:pPr>
              <w:spacing w:before="60" w:after="60" w:line="276" w:lineRule="auto"/>
              <w:jc w:val="center"/>
              <w:rPr>
                <w:rFonts w:ascii="Times New Roman" w:hAnsi="Times New Roman" w:eastAsia="Times New Roman" w:cs="Times New Roman"/>
                <w:sz w:val="24"/>
                <w:szCs w:val="24"/>
              </w:rPr>
            </w:pPr>
          </w:p>
        </w:tc>
      </w:tr>
      <w:tr>
        <w:tblPrEx>
          <w:tblCellMar>
            <w:top w:w="0" w:type="dxa"/>
            <w:left w:w="108" w:type="dxa"/>
            <w:bottom w:w="0" w:type="dxa"/>
            <w:right w:w="108" w:type="dxa"/>
          </w:tblCellMar>
        </w:tblPrEx>
        <w:trPr>
          <w:trHeight w:val="300" w:hRule="atLeast"/>
        </w:trPr>
        <w:tc>
          <w:tcPr>
            <w:tcW w:w="960" w:type="dxa"/>
            <w:tcBorders>
              <w:top w:val="nil"/>
              <w:left w:val="nil"/>
              <w:bottom w:val="nil"/>
              <w:right w:val="nil"/>
            </w:tcBorders>
            <w:shd w:val="clear" w:color="auto" w:fill="auto"/>
            <w:noWrap/>
            <w:vAlign w:val="bottom"/>
          </w:tcPr>
          <w:p>
            <w:pPr>
              <w:spacing w:before="60" w:after="60" w:line="276"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inf</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-0.433</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0.443</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0.388</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0.407</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0.497</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-0.271</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-0.068</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-0.301</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-0.399</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-0.369</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-0.399</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p>
        </w:tc>
        <w:tc>
          <w:tcPr>
            <w:tcW w:w="643" w:type="dxa"/>
            <w:tcBorders>
              <w:top w:val="nil"/>
              <w:left w:val="nil"/>
              <w:bottom w:val="nil"/>
              <w:right w:val="nil"/>
            </w:tcBorders>
          </w:tcPr>
          <w:p>
            <w:pPr>
              <w:spacing w:before="60" w:after="60" w:line="276" w:lineRule="auto"/>
              <w:jc w:val="center"/>
              <w:rPr>
                <w:rFonts w:ascii="Times New Roman" w:hAnsi="Times New Roman" w:eastAsia="Times New Roman" w:cs="Times New Roman"/>
                <w:sz w:val="24"/>
                <w:szCs w:val="24"/>
              </w:rPr>
            </w:pPr>
          </w:p>
        </w:tc>
      </w:tr>
      <w:tr>
        <w:tblPrEx>
          <w:tblCellMar>
            <w:top w:w="0" w:type="dxa"/>
            <w:left w:w="108" w:type="dxa"/>
            <w:bottom w:w="0" w:type="dxa"/>
            <w:right w:w="108" w:type="dxa"/>
          </w:tblCellMar>
        </w:tblPrEx>
        <w:trPr>
          <w:trHeight w:val="300" w:hRule="atLeast"/>
        </w:trPr>
        <w:tc>
          <w:tcPr>
            <w:tcW w:w="960" w:type="dxa"/>
            <w:tcBorders>
              <w:top w:val="nil"/>
              <w:left w:val="nil"/>
              <w:bottom w:val="nil"/>
              <w:right w:val="nil"/>
            </w:tcBorders>
            <w:shd w:val="clear" w:color="auto" w:fill="auto"/>
            <w:noWrap/>
            <w:vAlign w:val="bottom"/>
          </w:tcPr>
          <w:p>
            <w:pPr>
              <w:spacing w:before="60" w:after="60" w:line="276"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topen</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-0.075</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0.001</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0.132</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0.234</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0.083</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-0.104</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-0.147</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-0.161</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0.026</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0.203</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-0.011</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-0.065</w:t>
            </w:r>
          </w:p>
        </w:tc>
        <w:tc>
          <w:tcPr>
            <w:tcW w:w="960" w:type="dxa"/>
            <w:tcBorders>
              <w:top w:val="nil"/>
              <w:left w:val="nil"/>
              <w:bottom w:val="nil"/>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643" w:type="dxa"/>
            <w:tcBorders>
              <w:top w:val="nil"/>
              <w:left w:val="nil"/>
              <w:bottom w:val="nil"/>
              <w:right w:val="nil"/>
            </w:tcBorders>
          </w:tcPr>
          <w:p>
            <w:pPr>
              <w:spacing w:before="60" w:after="60" w:line="276" w:lineRule="auto"/>
              <w:jc w:val="center"/>
              <w:rPr>
                <w:rFonts w:ascii="Times New Roman" w:hAnsi="Times New Roman" w:eastAsia="Times New Roman" w:cs="Times New Roman"/>
                <w:sz w:val="24"/>
                <w:szCs w:val="24"/>
              </w:rPr>
            </w:pPr>
          </w:p>
        </w:tc>
      </w:tr>
      <w:tr>
        <w:tblPrEx>
          <w:tblCellMar>
            <w:top w:w="0" w:type="dxa"/>
            <w:left w:w="108" w:type="dxa"/>
            <w:bottom w:w="0" w:type="dxa"/>
            <w:right w:w="108" w:type="dxa"/>
          </w:tblCellMar>
        </w:tblPrEx>
        <w:trPr>
          <w:trHeight w:val="315" w:hRule="atLeast"/>
        </w:trPr>
        <w:tc>
          <w:tcPr>
            <w:tcW w:w="960" w:type="dxa"/>
            <w:tcBorders>
              <w:top w:val="nil"/>
              <w:left w:val="nil"/>
              <w:bottom w:val="single" w:color="auto" w:sz="8" w:space="0"/>
              <w:right w:val="nil"/>
            </w:tcBorders>
            <w:shd w:val="clear" w:color="auto" w:fill="auto"/>
            <w:noWrap/>
            <w:vAlign w:val="bottom"/>
          </w:tcPr>
          <w:p>
            <w:pPr>
              <w:spacing w:before="60" w:after="60" w:line="276"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gfcf</w:t>
            </w:r>
          </w:p>
        </w:tc>
        <w:tc>
          <w:tcPr>
            <w:tcW w:w="960" w:type="dxa"/>
            <w:tcBorders>
              <w:top w:val="nil"/>
              <w:left w:val="nil"/>
              <w:bottom w:val="single" w:color="auto" w:sz="8"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-0.725</w:t>
            </w:r>
          </w:p>
        </w:tc>
        <w:tc>
          <w:tcPr>
            <w:tcW w:w="960" w:type="dxa"/>
            <w:tcBorders>
              <w:top w:val="nil"/>
              <w:left w:val="nil"/>
              <w:bottom w:val="single" w:color="auto" w:sz="8"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0.756</w:t>
            </w:r>
          </w:p>
        </w:tc>
        <w:tc>
          <w:tcPr>
            <w:tcW w:w="960" w:type="dxa"/>
            <w:tcBorders>
              <w:top w:val="nil"/>
              <w:left w:val="nil"/>
              <w:bottom w:val="single" w:color="auto" w:sz="8"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0.401</w:t>
            </w:r>
          </w:p>
        </w:tc>
        <w:tc>
          <w:tcPr>
            <w:tcW w:w="960" w:type="dxa"/>
            <w:tcBorders>
              <w:top w:val="nil"/>
              <w:left w:val="nil"/>
              <w:bottom w:val="single" w:color="auto" w:sz="8"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0.388</w:t>
            </w:r>
          </w:p>
        </w:tc>
        <w:tc>
          <w:tcPr>
            <w:tcW w:w="960" w:type="dxa"/>
            <w:tcBorders>
              <w:top w:val="nil"/>
              <w:left w:val="nil"/>
              <w:bottom w:val="single" w:color="auto" w:sz="8"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0.589</w:t>
            </w:r>
          </w:p>
        </w:tc>
        <w:tc>
          <w:tcPr>
            <w:tcW w:w="960" w:type="dxa"/>
            <w:tcBorders>
              <w:top w:val="nil"/>
              <w:left w:val="nil"/>
              <w:bottom w:val="single" w:color="auto" w:sz="8"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-0.102</w:t>
            </w:r>
          </w:p>
        </w:tc>
        <w:tc>
          <w:tcPr>
            <w:tcW w:w="960" w:type="dxa"/>
            <w:tcBorders>
              <w:top w:val="nil"/>
              <w:left w:val="nil"/>
              <w:bottom w:val="single" w:color="auto" w:sz="8"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0.122</w:t>
            </w:r>
          </w:p>
        </w:tc>
        <w:tc>
          <w:tcPr>
            <w:tcW w:w="960" w:type="dxa"/>
            <w:tcBorders>
              <w:top w:val="nil"/>
              <w:left w:val="nil"/>
              <w:bottom w:val="single" w:color="auto" w:sz="8"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-0.730</w:t>
            </w:r>
          </w:p>
        </w:tc>
        <w:tc>
          <w:tcPr>
            <w:tcW w:w="960" w:type="dxa"/>
            <w:tcBorders>
              <w:top w:val="nil"/>
              <w:left w:val="nil"/>
              <w:bottom w:val="single" w:color="auto" w:sz="8"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-0.755</w:t>
            </w:r>
          </w:p>
        </w:tc>
        <w:tc>
          <w:tcPr>
            <w:tcW w:w="960" w:type="dxa"/>
            <w:tcBorders>
              <w:top w:val="nil"/>
              <w:left w:val="nil"/>
              <w:bottom w:val="single" w:color="auto" w:sz="8"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-0.657</w:t>
            </w:r>
          </w:p>
        </w:tc>
        <w:tc>
          <w:tcPr>
            <w:tcW w:w="960" w:type="dxa"/>
            <w:tcBorders>
              <w:top w:val="nil"/>
              <w:left w:val="nil"/>
              <w:bottom w:val="single" w:color="auto" w:sz="8"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-0.764</w:t>
            </w:r>
          </w:p>
        </w:tc>
        <w:tc>
          <w:tcPr>
            <w:tcW w:w="960" w:type="dxa"/>
            <w:tcBorders>
              <w:top w:val="nil"/>
              <w:left w:val="nil"/>
              <w:bottom w:val="single" w:color="auto" w:sz="8"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960" w:type="dxa"/>
            <w:tcBorders>
              <w:top w:val="nil"/>
              <w:left w:val="nil"/>
              <w:bottom w:val="single" w:color="auto" w:sz="8" w:space="0"/>
              <w:right w:val="nil"/>
            </w:tcBorders>
            <w:shd w:val="clear" w:color="auto" w:fill="auto"/>
            <w:noWrap/>
            <w:vAlign w:val="center"/>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-0.267</w:t>
            </w:r>
          </w:p>
        </w:tc>
        <w:tc>
          <w:tcPr>
            <w:tcW w:w="643" w:type="dxa"/>
            <w:tcBorders>
              <w:top w:val="nil"/>
              <w:left w:val="nil"/>
              <w:bottom w:val="single" w:color="auto" w:sz="8" w:space="0"/>
              <w:right w:val="nil"/>
            </w:tcBorders>
          </w:tcPr>
          <w:p>
            <w:pPr>
              <w:spacing w:before="60" w:after="60" w:line="276"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r>
    </w:tbl>
    <w:p>
      <w:pPr>
        <w:spacing w:after="120" w:line="480" w:lineRule="auto"/>
        <w:rPr>
          <w:rFonts w:ascii="Times New Roman" w:hAnsi="Times New Roman" w:cs="Times New Roman"/>
          <w:sz w:val="24"/>
          <w:szCs w:val="24"/>
        </w:rPr>
      </w:pPr>
      <w:r>
        <w:rPr>
          <w:rFonts w:ascii="Times New Roman" w:hAnsi="Times New Roman" w:cs="Times New Roman"/>
          <w:b/>
          <w:sz w:val="24"/>
          <w:szCs w:val="24"/>
        </w:rPr>
        <w:t>Source:</w:t>
      </w:r>
      <w:r>
        <w:rPr>
          <w:rFonts w:ascii="Times New Roman" w:hAnsi="Times New Roman" w:cs="Times New Roman"/>
          <w:sz w:val="24"/>
          <w:szCs w:val="24"/>
        </w:rPr>
        <w:t xml:space="preserve"> Author’s computation (2023).</w:t>
      </w:r>
    </w:p>
    <w:bookmarkEnd w:id="4"/>
    <w:p>
      <w:pPr>
        <w:rPr>
          <w:rFonts w:ascii="Times New Roman" w:hAnsi="Times New Roman" w:cs="Times New Roman"/>
          <w:sz w:val="24"/>
          <w:szCs w:val="24"/>
        </w:rPr>
      </w:pPr>
      <w:r>
        <w:rPr>
          <w:rFonts w:ascii="Times New Roman" w:hAnsi="Times New Roman" w:cs="Times New Roman"/>
          <w:sz w:val="24"/>
          <w:szCs w:val="24"/>
        </w:rPr>
        <w:br w:type="page"/>
      </w:r>
    </w:p>
    <w:p>
      <w:pPr>
        <w:spacing w:after="120" w:line="480" w:lineRule="auto"/>
        <w:jc w:val="both"/>
        <w:rPr>
          <w:rFonts w:ascii="Times New Roman" w:hAnsi="Times New Roman" w:cs="Times New Roman"/>
          <w:b/>
          <w:sz w:val="24"/>
          <w:szCs w:val="24"/>
        </w:rPr>
        <w:sectPr>
          <w:pgSz w:w="16838" w:h="11906" w:orient="landscape"/>
          <w:pgMar w:top="1440" w:right="1440" w:bottom="1440" w:left="1440" w:header="709" w:footer="709" w:gutter="0"/>
          <w:cols w:space="708" w:num="1"/>
          <w:docGrid w:linePitch="360" w:charSpace="0"/>
        </w:sectPr>
      </w:pPr>
    </w:p>
    <w:p>
      <w:pPr>
        <w:spacing w:after="120" w:line="480" w:lineRule="auto"/>
        <w:jc w:val="both"/>
        <w:rPr>
          <w:rFonts w:ascii="Times New Roman" w:hAnsi="Times New Roman" w:cs="Times New Roman"/>
          <w:b/>
          <w:sz w:val="24"/>
          <w:szCs w:val="24"/>
        </w:rPr>
      </w:pPr>
      <w:r>
        <w:rPr>
          <w:rFonts w:ascii="Times New Roman" w:hAnsi="Times New Roman" w:cs="Times New Roman"/>
          <w:b/>
          <w:sz w:val="24"/>
          <w:szCs w:val="24"/>
        </w:rPr>
        <w:t>4.3</w:t>
      </w:r>
      <w:r>
        <w:rPr>
          <w:rFonts w:ascii="Times New Roman" w:hAnsi="Times New Roman" w:cs="Times New Roman"/>
          <w:b/>
          <w:sz w:val="24"/>
          <w:szCs w:val="24"/>
        </w:rPr>
        <w:tab/>
      </w:r>
      <w:r>
        <w:rPr>
          <w:rFonts w:ascii="Times New Roman" w:hAnsi="Times New Roman" w:cs="Times New Roman"/>
          <w:b/>
          <w:sz w:val="24"/>
          <w:szCs w:val="24"/>
        </w:rPr>
        <w:t>Pre-Estimation Tests (Unit Root Test)</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This section evaluates the stationarity level of the variables and also presents the results of the unit root test. It is used to determine whether a unit root exists, that is, whether the variables are not stationary at levels. The Augmented Dickey Fuller (ADF) and Phillips-Perron (PP) tests are employed in conducting the unit root tests. The pre-estimation test is the initial test conducted before the co-integration analysis. The E-views statistical package is used to conduct the ADF and PP, and Table 4.3 shows the test's outcomes.</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When applying the ADF and PP tests, the a’priori expectation is that a variable is stationary when the ADF and PP test statistics are greater than the critical values at 5%.From the test result reported in Table 4.3, monetary policy rate, treasury bill rate, 12-month deposit rate, liquidity ratio, loan to deposit ratio, and inflation rate were found not to accept the null hypothesis “they have unit root test” at 5% level. This suggests that the series (i.e., monetary policy rate, treasury bill rate, 12-month deposit rate, liquidity ratio, loan to deposit ratio, and inflation rate) are stationary at levels. Thus, these six series are integrated at order 0. Life expectancy, infant mortality rate, domestic credit to private sector by banks, stock market capitalization, total stock trade value, all share index, gross fixed capital formation and trade openness, however, are not stationary at levels but they are integrated of order one i.e. I(1). As a result, they were discovered not to reject the null hypothesis “no stationary” at level, but after multiple rounds depending on the quantity of lag length and differencing, the series were discovered to reject the null hypothesis at first difference. This suggests that these series’first-difference was stationary.</w:t>
      </w:r>
    </w:p>
    <w:p>
      <w:pPr>
        <w:rPr>
          <w:rFonts w:ascii="Times New Roman" w:hAnsi="Times New Roman" w:cs="Times New Roman"/>
          <w:sz w:val="24"/>
          <w:szCs w:val="24"/>
        </w:rPr>
      </w:pPr>
      <w:r>
        <w:rPr>
          <w:rFonts w:ascii="Times New Roman" w:hAnsi="Times New Roman" w:cs="Times New Roman"/>
          <w:sz w:val="24"/>
          <w:szCs w:val="24"/>
        </w:rPr>
        <w:br w:type="page"/>
      </w:r>
    </w:p>
    <w:p>
      <w:pPr>
        <w:spacing w:after="0"/>
        <w:jc w:val="both"/>
        <w:rPr>
          <w:rFonts w:ascii="Times New Roman" w:hAnsi="Times New Roman" w:cs="Times New Roman"/>
          <w:sz w:val="24"/>
          <w:szCs w:val="24"/>
        </w:rPr>
      </w:pPr>
      <w:r>
        <w:rPr>
          <w:rFonts w:ascii="Times New Roman" w:hAnsi="Times New Roman" w:cs="Times New Roman"/>
          <w:b/>
          <w:sz w:val="24"/>
          <w:szCs w:val="24"/>
        </w:rPr>
        <w:t xml:space="preserve">Table 4.3: </w:t>
      </w:r>
      <w:r>
        <w:rPr>
          <w:rFonts w:ascii="Times New Roman" w:hAnsi="Times New Roman" w:cs="Times New Roman"/>
          <w:sz w:val="24"/>
          <w:szCs w:val="24"/>
        </w:rPr>
        <w:t>ADF and PP Test Results [Trend and Intercept]</w:t>
      </w:r>
    </w:p>
    <w:tbl>
      <w:tblPr>
        <w:tblStyle w:val="6"/>
        <w:tblW w:w="11194" w:type="dxa"/>
        <w:tblInd w:w="-885"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03"/>
        <w:gridCol w:w="2100"/>
        <w:gridCol w:w="2229"/>
        <w:gridCol w:w="2093"/>
        <w:gridCol w:w="2399"/>
        <w:gridCol w:w="1170"/>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203" w:type="dxa"/>
            <w:vMerge w:val="restart"/>
            <w:tcBorders>
              <w:top w:val="single" w:color="auto" w:sz="4" w:space="0"/>
              <w:bottom w:val="single" w:color="auto" w:sz="4" w:space="0"/>
            </w:tcBorders>
            <w:vAlign w:val="center"/>
          </w:tcPr>
          <w:p>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Variables</w:t>
            </w:r>
          </w:p>
        </w:tc>
        <w:tc>
          <w:tcPr>
            <w:tcW w:w="4329" w:type="dxa"/>
            <w:gridSpan w:val="2"/>
            <w:tcBorders>
              <w:top w:val="single" w:color="auto" w:sz="4" w:space="0"/>
              <w:bottom w:val="single" w:color="auto" w:sz="4" w:space="0"/>
            </w:tcBorders>
            <w:vAlign w:val="center"/>
          </w:tcPr>
          <w:p>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Augmented Dickey Fuller Test</w:t>
            </w:r>
          </w:p>
        </w:tc>
        <w:tc>
          <w:tcPr>
            <w:tcW w:w="4492" w:type="dxa"/>
            <w:gridSpan w:val="2"/>
            <w:tcBorders>
              <w:top w:val="single" w:color="auto" w:sz="4" w:space="0"/>
              <w:bottom w:val="single" w:color="auto" w:sz="4" w:space="0"/>
            </w:tcBorders>
            <w:vAlign w:val="center"/>
          </w:tcPr>
          <w:p>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Phillip-Perron Test</w:t>
            </w:r>
          </w:p>
        </w:tc>
        <w:tc>
          <w:tcPr>
            <w:tcW w:w="1170" w:type="dxa"/>
            <w:vMerge w:val="restart"/>
            <w:tcBorders>
              <w:top w:val="single" w:color="auto" w:sz="4" w:space="0"/>
            </w:tcBorders>
            <w:vAlign w:val="center"/>
          </w:tcPr>
          <w:p>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Remarks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203" w:type="dxa"/>
            <w:vMerge w:val="continue"/>
            <w:tcBorders>
              <w:top w:val="single" w:color="auto" w:sz="4" w:space="0"/>
              <w:bottom w:val="single" w:color="auto" w:sz="4" w:space="0"/>
            </w:tcBorders>
            <w:vAlign w:val="center"/>
          </w:tcPr>
          <w:p>
            <w:pPr>
              <w:spacing w:before="120" w:after="120" w:line="360" w:lineRule="auto"/>
              <w:jc w:val="center"/>
              <w:rPr>
                <w:rFonts w:ascii="Times New Roman" w:hAnsi="Times New Roman" w:cs="Times New Roman"/>
                <w:b/>
                <w:sz w:val="24"/>
                <w:szCs w:val="24"/>
              </w:rPr>
            </w:pPr>
          </w:p>
        </w:tc>
        <w:tc>
          <w:tcPr>
            <w:tcW w:w="2100" w:type="dxa"/>
            <w:tcBorders>
              <w:top w:val="single" w:color="auto" w:sz="4" w:space="0"/>
              <w:bottom w:val="single" w:color="auto" w:sz="4" w:space="0"/>
            </w:tcBorders>
            <w:vAlign w:val="center"/>
          </w:tcPr>
          <w:p>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Stat at level</w:t>
            </w:r>
          </w:p>
        </w:tc>
        <w:tc>
          <w:tcPr>
            <w:tcW w:w="2229" w:type="dxa"/>
            <w:tcBorders>
              <w:top w:val="single" w:color="auto" w:sz="4" w:space="0"/>
              <w:bottom w:val="single" w:color="auto" w:sz="4" w:space="0"/>
            </w:tcBorders>
            <w:vAlign w:val="center"/>
          </w:tcPr>
          <w:p>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Stat at first diff.</w:t>
            </w:r>
          </w:p>
        </w:tc>
        <w:tc>
          <w:tcPr>
            <w:tcW w:w="2093" w:type="dxa"/>
            <w:tcBorders>
              <w:top w:val="single" w:color="auto" w:sz="4" w:space="0"/>
              <w:bottom w:val="single" w:color="auto" w:sz="4" w:space="0"/>
            </w:tcBorders>
            <w:vAlign w:val="center"/>
          </w:tcPr>
          <w:p>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Stat at level</w:t>
            </w:r>
          </w:p>
        </w:tc>
        <w:tc>
          <w:tcPr>
            <w:tcW w:w="2399" w:type="dxa"/>
            <w:tcBorders>
              <w:top w:val="single" w:color="auto" w:sz="4" w:space="0"/>
              <w:bottom w:val="single" w:color="auto" w:sz="4" w:space="0"/>
            </w:tcBorders>
            <w:vAlign w:val="center"/>
          </w:tcPr>
          <w:p>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Stat at first diff.</w:t>
            </w:r>
          </w:p>
        </w:tc>
        <w:tc>
          <w:tcPr>
            <w:tcW w:w="1170" w:type="dxa"/>
            <w:vMerge w:val="continue"/>
            <w:tcBorders>
              <w:bottom w:val="single" w:color="auto" w:sz="4" w:space="0"/>
            </w:tcBorders>
            <w:vAlign w:val="center"/>
          </w:tcPr>
          <w:p>
            <w:pPr>
              <w:spacing w:before="120" w:after="120" w:line="360" w:lineRule="auto"/>
              <w:jc w:val="center"/>
              <w:rPr>
                <w:rFonts w:ascii="Times New Roman" w:hAnsi="Times New Roman" w:cs="Times New Roman"/>
                <w:b/>
                <w:sz w:val="24"/>
                <w:szCs w:val="24"/>
              </w:rPr>
            </w:pP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203" w:type="dxa"/>
            <w:tcBorders>
              <w:top w:val="single" w:color="auto" w:sz="4" w:space="0"/>
            </w:tcBorders>
            <w:vAlign w:val="center"/>
          </w:tcPr>
          <w:p>
            <w:pPr>
              <w:spacing w:before="120" w:after="120" w:line="360" w:lineRule="auto"/>
              <w:jc w:val="center"/>
              <w:rPr>
                <w:rFonts w:ascii="Times New Roman" w:hAnsi="Times New Roman" w:cs="Times New Roman"/>
                <w:i/>
                <w:sz w:val="24"/>
                <w:szCs w:val="24"/>
              </w:rPr>
            </w:pPr>
            <w:r>
              <w:rPr>
                <w:rFonts w:ascii="Times New Roman" w:hAnsi="Times New Roman" w:cs="Times New Roman"/>
                <w:i/>
                <w:sz w:val="24"/>
                <w:szCs w:val="24"/>
              </w:rPr>
              <w:t>lexp</w:t>
            </w:r>
          </w:p>
        </w:tc>
        <w:tc>
          <w:tcPr>
            <w:tcW w:w="2100" w:type="dxa"/>
            <w:tcBorders>
              <w:top w:val="single" w:color="auto" w:sz="4" w:space="0"/>
            </w:tcBorders>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-1.693(1)[-3.540]</w:t>
            </w:r>
          </w:p>
        </w:tc>
        <w:tc>
          <w:tcPr>
            <w:tcW w:w="2229" w:type="dxa"/>
            <w:tcBorders>
              <w:top w:val="single" w:color="auto" w:sz="4" w:space="0"/>
            </w:tcBorders>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-3.967**(0)[-4.235]</w:t>
            </w:r>
          </w:p>
        </w:tc>
        <w:tc>
          <w:tcPr>
            <w:tcW w:w="2093" w:type="dxa"/>
            <w:tcBorders>
              <w:top w:val="single" w:color="auto" w:sz="4" w:space="0"/>
            </w:tcBorders>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-2.404(4)[-3.537]</w:t>
            </w:r>
          </w:p>
        </w:tc>
        <w:tc>
          <w:tcPr>
            <w:tcW w:w="2399" w:type="dxa"/>
            <w:tcBorders>
              <w:top w:val="single" w:color="auto" w:sz="4" w:space="0"/>
            </w:tcBorders>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-3.933**(1)[-3.540]</w:t>
            </w:r>
          </w:p>
        </w:tc>
        <w:tc>
          <w:tcPr>
            <w:tcW w:w="1170" w:type="dxa"/>
            <w:tcBorders>
              <w:top w:val="single" w:color="auto" w:sz="4" w:space="0"/>
            </w:tcBorders>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I(1)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203" w:type="dxa"/>
            <w:vAlign w:val="center"/>
          </w:tcPr>
          <w:p>
            <w:pPr>
              <w:spacing w:before="120" w:after="120" w:line="360" w:lineRule="auto"/>
              <w:jc w:val="center"/>
              <w:rPr>
                <w:rFonts w:ascii="Times New Roman" w:hAnsi="Times New Roman" w:cs="Times New Roman"/>
                <w:i/>
                <w:sz w:val="24"/>
                <w:szCs w:val="24"/>
              </w:rPr>
            </w:pPr>
            <w:r>
              <w:rPr>
                <w:rFonts w:ascii="Times New Roman" w:hAnsi="Times New Roman" w:cs="Times New Roman"/>
                <w:i/>
                <w:sz w:val="24"/>
                <w:szCs w:val="24"/>
              </w:rPr>
              <w:t>un5m</w:t>
            </w:r>
          </w:p>
        </w:tc>
        <w:tc>
          <w:tcPr>
            <w:tcW w:w="210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0.067(4)[-3.553]</w:t>
            </w:r>
          </w:p>
        </w:tc>
        <w:tc>
          <w:tcPr>
            <w:tcW w:w="222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-4.699***(1)[-4.244]</w:t>
            </w:r>
          </w:p>
        </w:tc>
        <w:tc>
          <w:tcPr>
            <w:tcW w:w="2093"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-2.461(5)[-3.537]</w:t>
            </w:r>
          </w:p>
        </w:tc>
        <w:tc>
          <w:tcPr>
            <w:tcW w:w="239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-4.605***(1)[-4.235]</w:t>
            </w:r>
          </w:p>
        </w:tc>
        <w:tc>
          <w:tcPr>
            <w:tcW w:w="117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I(1)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203" w:type="dxa"/>
            <w:vAlign w:val="center"/>
          </w:tcPr>
          <w:p>
            <w:pPr>
              <w:spacing w:before="120" w:after="120" w:line="360" w:lineRule="auto"/>
              <w:jc w:val="center"/>
              <w:rPr>
                <w:rFonts w:ascii="Times New Roman" w:hAnsi="Times New Roman" w:cs="Times New Roman"/>
                <w:i/>
                <w:sz w:val="24"/>
                <w:szCs w:val="24"/>
              </w:rPr>
            </w:pPr>
            <w:r>
              <w:rPr>
                <w:rFonts w:ascii="Times New Roman" w:hAnsi="Times New Roman" w:cs="Times New Roman"/>
                <w:i/>
                <w:sz w:val="24"/>
                <w:szCs w:val="24"/>
              </w:rPr>
              <w:t>mpr</w:t>
            </w:r>
          </w:p>
        </w:tc>
        <w:tc>
          <w:tcPr>
            <w:tcW w:w="210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-3.592**(0)[-3.537]</w:t>
            </w:r>
          </w:p>
        </w:tc>
        <w:tc>
          <w:tcPr>
            <w:tcW w:w="222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w:t>
            </w:r>
          </w:p>
        </w:tc>
        <w:tc>
          <w:tcPr>
            <w:tcW w:w="2093"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-3.548**(3)[-3.537]</w:t>
            </w:r>
          </w:p>
        </w:tc>
        <w:tc>
          <w:tcPr>
            <w:tcW w:w="239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w:t>
            </w:r>
          </w:p>
        </w:tc>
        <w:tc>
          <w:tcPr>
            <w:tcW w:w="117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I(0)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203" w:type="dxa"/>
            <w:vAlign w:val="center"/>
          </w:tcPr>
          <w:p>
            <w:pPr>
              <w:spacing w:before="120" w:after="120" w:line="360" w:lineRule="auto"/>
              <w:jc w:val="center"/>
              <w:rPr>
                <w:rFonts w:ascii="Times New Roman" w:hAnsi="Times New Roman" w:cs="Times New Roman"/>
                <w:i/>
                <w:sz w:val="24"/>
                <w:szCs w:val="24"/>
              </w:rPr>
            </w:pPr>
            <w:r>
              <w:rPr>
                <w:rFonts w:ascii="Times New Roman" w:hAnsi="Times New Roman" w:cs="Times New Roman"/>
                <w:i/>
                <w:sz w:val="24"/>
                <w:szCs w:val="24"/>
              </w:rPr>
              <w:t>tbr</w:t>
            </w:r>
          </w:p>
        </w:tc>
        <w:tc>
          <w:tcPr>
            <w:tcW w:w="210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-3.628**(0) [-3.537]</w:t>
            </w:r>
          </w:p>
        </w:tc>
        <w:tc>
          <w:tcPr>
            <w:tcW w:w="222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w:t>
            </w:r>
          </w:p>
        </w:tc>
        <w:tc>
          <w:tcPr>
            <w:tcW w:w="2093"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-3.632**(1)[-3.537]</w:t>
            </w:r>
          </w:p>
        </w:tc>
        <w:tc>
          <w:tcPr>
            <w:tcW w:w="239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w:t>
            </w:r>
          </w:p>
        </w:tc>
        <w:tc>
          <w:tcPr>
            <w:tcW w:w="117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I(0)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203" w:type="dxa"/>
            <w:vAlign w:val="center"/>
          </w:tcPr>
          <w:p>
            <w:pPr>
              <w:spacing w:before="120" w:after="120" w:line="360" w:lineRule="auto"/>
              <w:jc w:val="center"/>
              <w:rPr>
                <w:rFonts w:ascii="Times New Roman" w:hAnsi="Times New Roman" w:cs="Times New Roman"/>
                <w:i/>
                <w:sz w:val="24"/>
                <w:szCs w:val="24"/>
              </w:rPr>
            </w:pPr>
            <w:r>
              <w:rPr>
                <w:rFonts w:ascii="Times New Roman" w:hAnsi="Times New Roman" w:cs="Times New Roman"/>
                <w:i/>
                <w:sz w:val="24"/>
                <w:szCs w:val="24"/>
              </w:rPr>
              <w:t>mdr</w:t>
            </w:r>
          </w:p>
        </w:tc>
        <w:tc>
          <w:tcPr>
            <w:tcW w:w="210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-3.816**(0)[-3.537]</w:t>
            </w:r>
          </w:p>
        </w:tc>
        <w:tc>
          <w:tcPr>
            <w:tcW w:w="222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w:t>
            </w:r>
          </w:p>
        </w:tc>
        <w:tc>
          <w:tcPr>
            <w:tcW w:w="2093"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-3.777**(3)[-3.537]</w:t>
            </w:r>
          </w:p>
        </w:tc>
        <w:tc>
          <w:tcPr>
            <w:tcW w:w="239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w:t>
            </w:r>
          </w:p>
        </w:tc>
        <w:tc>
          <w:tcPr>
            <w:tcW w:w="117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I(0)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203" w:type="dxa"/>
            <w:vAlign w:val="center"/>
          </w:tcPr>
          <w:p>
            <w:pPr>
              <w:spacing w:before="120" w:after="120" w:line="360" w:lineRule="auto"/>
              <w:jc w:val="center"/>
              <w:rPr>
                <w:rFonts w:ascii="Times New Roman" w:hAnsi="Times New Roman" w:cs="Times New Roman"/>
                <w:i/>
                <w:sz w:val="24"/>
                <w:szCs w:val="24"/>
              </w:rPr>
            </w:pPr>
            <w:r>
              <w:rPr>
                <w:rFonts w:ascii="Times New Roman" w:hAnsi="Times New Roman" w:cs="Times New Roman"/>
                <w:i/>
                <w:sz w:val="24"/>
                <w:szCs w:val="24"/>
              </w:rPr>
              <w:t>lr</w:t>
            </w:r>
          </w:p>
        </w:tc>
        <w:tc>
          <w:tcPr>
            <w:tcW w:w="210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-4.069**(0)[-3.537]</w:t>
            </w:r>
          </w:p>
        </w:tc>
        <w:tc>
          <w:tcPr>
            <w:tcW w:w="222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w:t>
            </w:r>
          </w:p>
        </w:tc>
        <w:tc>
          <w:tcPr>
            <w:tcW w:w="2093"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-4.099**(1)[-3.537]</w:t>
            </w:r>
          </w:p>
        </w:tc>
        <w:tc>
          <w:tcPr>
            <w:tcW w:w="239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w:t>
            </w:r>
          </w:p>
        </w:tc>
        <w:tc>
          <w:tcPr>
            <w:tcW w:w="117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I(0)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203" w:type="dxa"/>
            <w:vAlign w:val="center"/>
          </w:tcPr>
          <w:p>
            <w:pPr>
              <w:spacing w:before="120" w:after="120" w:line="360" w:lineRule="auto"/>
              <w:jc w:val="center"/>
              <w:rPr>
                <w:rFonts w:ascii="Times New Roman" w:hAnsi="Times New Roman" w:cs="Times New Roman"/>
                <w:i/>
                <w:sz w:val="24"/>
                <w:szCs w:val="24"/>
              </w:rPr>
            </w:pPr>
            <w:r>
              <w:rPr>
                <w:rFonts w:ascii="Times New Roman" w:hAnsi="Times New Roman" w:cs="Times New Roman"/>
                <w:i/>
                <w:sz w:val="24"/>
                <w:szCs w:val="24"/>
              </w:rPr>
              <w:t>ldr</w:t>
            </w:r>
          </w:p>
        </w:tc>
        <w:tc>
          <w:tcPr>
            <w:tcW w:w="210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-5.211***(3)[-3.549]</w:t>
            </w:r>
          </w:p>
        </w:tc>
        <w:tc>
          <w:tcPr>
            <w:tcW w:w="222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w:t>
            </w:r>
          </w:p>
        </w:tc>
        <w:tc>
          <w:tcPr>
            <w:tcW w:w="2093"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-5.178***(2)[-3.537]</w:t>
            </w:r>
          </w:p>
        </w:tc>
        <w:tc>
          <w:tcPr>
            <w:tcW w:w="239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w:t>
            </w:r>
          </w:p>
        </w:tc>
        <w:tc>
          <w:tcPr>
            <w:tcW w:w="117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I(0)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203" w:type="dxa"/>
            <w:vAlign w:val="center"/>
          </w:tcPr>
          <w:p>
            <w:pPr>
              <w:spacing w:before="120" w:after="120" w:line="360" w:lineRule="auto"/>
              <w:jc w:val="center"/>
              <w:rPr>
                <w:rFonts w:ascii="Times New Roman" w:hAnsi="Times New Roman" w:cs="Times New Roman"/>
                <w:i/>
                <w:sz w:val="24"/>
                <w:szCs w:val="24"/>
              </w:rPr>
            </w:pPr>
            <w:r>
              <w:rPr>
                <w:rFonts w:ascii="Times New Roman" w:hAnsi="Times New Roman" w:cs="Times New Roman"/>
                <w:i/>
                <w:sz w:val="24"/>
                <w:szCs w:val="24"/>
              </w:rPr>
              <w:t>dcps</w:t>
            </w:r>
          </w:p>
        </w:tc>
        <w:tc>
          <w:tcPr>
            <w:tcW w:w="210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-3.159(1)[-3.540]</w:t>
            </w:r>
          </w:p>
        </w:tc>
        <w:tc>
          <w:tcPr>
            <w:tcW w:w="222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-5.532***(1)[-4.235]</w:t>
            </w:r>
          </w:p>
        </w:tc>
        <w:tc>
          <w:tcPr>
            <w:tcW w:w="2093"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-2.184(8)[-3.537]</w:t>
            </w:r>
          </w:p>
        </w:tc>
        <w:tc>
          <w:tcPr>
            <w:tcW w:w="239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-4.595***(3)[-3.5403]</w:t>
            </w:r>
          </w:p>
        </w:tc>
        <w:tc>
          <w:tcPr>
            <w:tcW w:w="117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I(1)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203" w:type="dxa"/>
            <w:vAlign w:val="center"/>
          </w:tcPr>
          <w:p>
            <w:pPr>
              <w:spacing w:before="120" w:after="120" w:line="360" w:lineRule="auto"/>
              <w:jc w:val="center"/>
              <w:rPr>
                <w:rFonts w:ascii="Times New Roman" w:hAnsi="Times New Roman" w:cs="Times New Roman"/>
                <w:i/>
                <w:sz w:val="24"/>
                <w:szCs w:val="24"/>
              </w:rPr>
            </w:pPr>
            <w:r>
              <w:rPr>
                <w:rFonts w:ascii="Times New Roman" w:hAnsi="Times New Roman" w:cs="Times New Roman"/>
                <w:i/>
                <w:sz w:val="24"/>
                <w:szCs w:val="24"/>
              </w:rPr>
              <w:t>smk</w:t>
            </w:r>
          </w:p>
        </w:tc>
        <w:tc>
          <w:tcPr>
            <w:tcW w:w="210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-3.445*(0)[-3.537]</w:t>
            </w:r>
          </w:p>
        </w:tc>
        <w:tc>
          <w:tcPr>
            <w:tcW w:w="222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-6.736***(0)[-4.227]</w:t>
            </w:r>
          </w:p>
        </w:tc>
        <w:tc>
          <w:tcPr>
            <w:tcW w:w="2093"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-3.499*(1)[-3.527]</w:t>
            </w:r>
          </w:p>
        </w:tc>
        <w:tc>
          <w:tcPr>
            <w:tcW w:w="239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-8.929***(1)[-3.540]</w:t>
            </w:r>
          </w:p>
        </w:tc>
        <w:tc>
          <w:tcPr>
            <w:tcW w:w="117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I(1)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203" w:type="dxa"/>
            <w:vAlign w:val="center"/>
          </w:tcPr>
          <w:p>
            <w:pPr>
              <w:spacing w:before="120" w:after="120" w:line="360" w:lineRule="auto"/>
              <w:jc w:val="center"/>
              <w:rPr>
                <w:rFonts w:ascii="Times New Roman" w:hAnsi="Times New Roman" w:cs="Times New Roman"/>
                <w:i/>
                <w:sz w:val="24"/>
                <w:szCs w:val="24"/>
              </w:rPr>
            </w:pPr>
            <w:r>
              <w:rPr>
                <w:rFonts w:ascii="Times New Roman" w:hAnsi="Times New Roman" w:cs="Times New Roman"/>
                <w:i/>
                <w:sz w:val="24"/>
                <w:szCs w:val="24"/>
              </w:rPr>
              <w:t>tstv</w:t>
            </w:r>
          </w:p>
        </w:tc>
        <w:tc>
          <w:tcPr>
            <w:tcW w:w="210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-2.579(0)[-3.537]</w:t>
            </w:r>
          </w:p>
        </w:tc>
        <w:tc>
          <w:tcPr>
            <w:tcW w:w="222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-6.445***(0)[-4.235]</w:t>
            </w:r>
          </w:p>
        </w:tc>
        <w:tc>
          <w:tcPr>
            <w:tcW w:w="2093"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-2.586(2)[-3.537]</w:t>
            </w:r>
          </w:p>
        </w:tc>
        <w:tc>
          <w:tcPr>
            <w:tcW w:w="239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-6.793***(3)[-4.235]</w:t>
            </w:r>
          </w:p>
        </w:tc>
        <w:tc>
          <w:tcPr>
            <w:tcW w:w="117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I(1)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203" w:type="dxa"/>
            <w:vAlign w:val="center"/>
          </w:tcPr>
          <w:p>
            <w:pPr>
              <w:spacing w:before="120" w:after="120" w:line="360" w:lineRule="auto"/>
              <w:jc w:val="center"/>
              <w:rPr>
                <w:rFonts w:ascii="Times New Roman" w:hAnsi="Times New Roman" w:cs="Times New Roman"/>
                <w:i/>
                <w:sz w:val="24"/>
                <w:szCs w:val="24"/>
              </w:rPr>
            </w:pPr>
            <w:r>
              <w:rPr>
                <w:rFonts w:ascii="Times New Roman" w:hAnsi="Times New Roman" w:cs="Times New Roman"/>
                <w:i/>
                <w:sz w:val="24"/>
                <w:szCs w:val="24"/>
              </w:rPr>
              <w:t>asi</w:t>
            </w:r>
          </w:p>
        </w:tc>
        <w:tc>
          <w:tcPr>
            <w:tcW w:w="210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-3.432*(0)[-3.537]</w:t>
            </w:r>
          </w:p>
        </w:tc>
        <w:tc>
          <w:tcPr>
            <w:tcW w:w="222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-6.035***(1)[-4.244]</w:t>
            </w:r>
          </w:p>
        </w:tc>
        <w:tc>
          <w:tcPr>
            <w:tcW w:w="2093"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-3.388*(3)[-3.537]</w:t>
            </w:r>
          </w:p>
        </w:tc>
        <w:tc>
          <w:tcPr>
            <w:tcW w:w="239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-6.653***(3)[-4.235]</w:t>
            </w:r>
          </w:p>
        </w:tc>
        <w:tc>
          <w:tcPr>
            <w:tcW w:w="117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I(1)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203" w:type="dxa"/>
            <w:vAlign w:val="center"/>
          </w:tcPr>
          <w:p>
            <w:pPr>
              <w:spacing w:before="120" w:after="120" w:line="360" w:lineRule="auto"/>
              <w:jc w:val="center"/>
              <w:rPr>
                <w:rFonts w:ascii="Times New Roman" w:hAnsi="Times New Roman" w:cs="Times New Roman"/>
                <w:i/>
                <w:sz w:val="24"/>
                <w:szCs w:val="24"/>
              </w:rPr>
            </w:pPr>
            <w:r>
              <w:rPr>
                <w:rFonts w:ascii="Times New Roman" w:hAnsi="Times New Roman" w:cs="Times New Roman"/>
                <w:i/>
                <w:sz w:val="24"/>
                <w:szCs w:val="24"/>
              </w:rPr>
              <w:t xml:space="preserve"> inf</w:t>
            </w:r>
          </w:p>
        </w:tc>
        <w:tc>
          <w:tcPr>
            <w:tcW w:w="210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-4.431***(1)[-4.235]</w:t>
            </w:r>
          </w:p>
        </w:tc>
        <w:tc>
          <w:tcPr>
            <w:tcW w:w="222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w:t>
            </w:r>
          </w:p>
        </w:tc>
        <w:tc>
          <w:tcPr>
            <w:tcW w:w="2093"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-4.410***(1)[-4.227]</w:t>
            </w:r>
          </w:p>
        </w:tc>
        <w:tc>
          <w:tcPr>
            <w:tcW w:w="239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w:t>
            </w:r>
          </w:p>
        </w:tc>
        <w:tc>
          <w:tcPr>
            <w:tcW w:w="117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I(0)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203" w:type="dxa"/>
            <w:vAlign w:val="center"/>
          </w:tcPr>
          <w:p>
            <w:pPr>
              <w:spacing w:before="120" w:after="120" w:line="360" w:lineRule="auto"/>
              <w:jc w:val="center"/>
              <w:rPr>
                <w:rFonts w:ascii="Times New Roman" w:hAnsi="Times New Roman" w:cs="Times New Roman"/>
                <w:i/>
                <w:sz w:val="24"/>
                <w:szCs w:val="24"/>
              </w:rPr>
            </w:pPr>
            <w:r>
              <w:rPr>
                <w:rFonts w:ascii="Times New Roman" w:hAnsi="Times New Roman" w:cs="Times New Roman"/>
                <w:i/>
                <w:sz w:val="24"/>
                <w:szCs w:val="24"/>
              </w:rPr>
              <w:t>topen</w:t>
            </w:r>
          </w:p>
        </w:tc>
        <w:tc>
          <w:tcPr>
            <w:tcW w:w="210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-2.923(0)[-3.537]</w:t>
            </w:r>
          </w:p>
        </w:tc>
        <w:tc>
          <w:tcPr>
            <w:tcW w:w="222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-7.833***(0)[-4.235]</w:t>
            </w:r>
          </w:p>
        </w:tc>
        <w:tc>
          <w:tcPr>
            <w:tcW w:w="2093"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-2.674(5)[-3.537]</w:t>
            </w:r>
          </w:p>
        </w:tc>
        <w:tc>
          <w:tcPr>
            <w:tcW w:w="239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-8.741***(3)[-4.235]</w:t>
            </w:r>
          </w:p>
        </w:tc>
        <w:tc>
          <w:tcPr>
            <w:tcW w:w="117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I(1)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203" w:type="dxa"/>
            <w:vAlign w:val="center"/>
          </w:tcPr>
          <w:p>
            <w:pPr>
              <w:spacing w:before="120" w:after="120" w:line="360" w:lineRule="auto"/>
              <w:jc w:val="center"/>
              <w:rPr>
                <w:rFonts w:ascii="Times New Roman" w:hAnsi="Times New Roman" w:cs="Times New Roman"/>
                <w:i/>
                <w:sz w:val="24"/>
                <w:szCs w:val="24"/>
              </w:rPr>
            </w:pPr>
            <w:r>
              <w:rPr>
                <w:rFonts w:ascii="Times New Roman" w:hAnsi="Times New Roman" w:cs="Times New Roman"/>
                <w:i/>
                <w:sz w:val="24"/>
                <w:szCs w:val="24"/>
              </w:rPr>
              <w:t>gfcf</w:t>
            </w:r>
          </w:p>
        </w:tc>
        <w:tc>
          <w:tcPr>
            <w:tcW w:w="210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-0.213(0)[-3.537]</w:t>
            </w:r>
          </w:p>
        </w:tc>
        <w:tc>
          <w:tcPr>
            <w:tcW w:w="222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-6.689***(0)[-4.235]</w:t>
            </w:r>
          </w:p>
        </w:tc>
        <w:tc>
          <w:tcPr>
            <w:tcW w:w="2093"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-0.071(2)[-3.537]</w:t>
            </w:r>
          </w:p>
        </w:tc>
        <w:tc>
          <w:tcPr>
            <w:tcW w:w="2399"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-6.819***(3)[-4.235]</w:t>
            </w:r>
          </w:p>
        </w:tc>
        <w:tc>
          <w:tcPr>
            <w:tcW w:w="1170" w:type="dxa"/>
            <w:vAlign w:val="center"/>
          </w:tcPr>
          <w:p>
            <w:pPr>
              <w:spacing w:before="120" w:after="120" w:line="360" w:lineRule="auto"/>
              <w:ind w:left="-108" w:right="-108"/>
              <w:jc w:val="center"/>
              <w:rPr>
                <w:rFonts w:ascii="Times New Roman" w:hAnsi="Times New Roman" w:cs="Times New Roman"/>
                <w:sz w:val="24"/>
                <w:szCs w:val="24"/>
              </w:rPr>
            </w:pPr>
            <w:r>
              <w:rPr>
                <w:rFonts w:ascii="Times New Roman" w:hAnsi="Times New Roman" w:cs="Times New Roman"/>
                <w:sz w:val="24"/>
                <w:szCs w:val="24"/>
              </w:rPr>
              <w:t>I(1)</w:t>
            </w:r>
          </w:p>
        </w:tc>
      </w:tr>
    </w:tbl>
    <w:p>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Note: </w:t>
      </w:r>
      <w:r>
        <w:rPr>
          <w:rFonts w:ascii="Times New Roman" w:hAnsi="Times New Roman" w:cs="Times New Roman"/>
          <w:sz w:val="24"/>
          <w:szCs w:val="24"/>
        </w:rPr>
        <w:t>***, ** and * signify significance level at 1%, 5% and 10% respectively.</w:t>
      </w:r>
    </w:p>
    <w:p>
      <w:pPr>
        <w:spacing w:line="480" w:lineRule="auto"/>
        <w:rPr>
          <w:rFonts w:ascii="Times New Roman" w:hAnsi="Times New Roman" w:cs="Times New Roman"/>
          <w:sz w:val="24"/>
          <w:szCs w:val="24"/>
        </w:rPr>
      </w:pPr>
      <w:r>
        <w:rPr>
          <w:rFonts w:ascii="Times New Roman" w:hAnsi="Times New Roman" w:cs="Times New Roman"/>
          <w:b/>
          <w:sz w:val="24"/>
          <w:szCs w:val="24"/>
        </w:rPr>
        <w:t>Sources:</w:t>
      </w:r>
      <w:r>
        <w:rPr>
          <w:rFonts w:ascii="Times New Roman" w:hAnsi="Times New Roman" w:cs="Times New Roman"/>
          <w:sz w:val="24"/>
          <w:szCs w:val="24"/>
        </w:rPr>
        <w:t xml:space="preserve"> Author’s computation (2023).</w:t>
      </w:r>
    </w:p>
    <w:p>
      <w:pPr>
        <w:rPr>
          <w:rFonts w:ascii="Times New Roman" w:hAnsi="Times New Roman" w:cs="Times New Roman"/>
          <w:sz w:val="24"/>
          <w:szCs w:val="24"/>
        </w:rPr>
      </w:pPr>
      <w:r>
        <w:rPr>
          <w:rFonts w:ascii="Times New Roman" w:hAnsi="Times New Roman" w:cs="Times New Roman"/>
          <w:sz w:val="24"/>
          <w:szCs w:val="24"/>
        </w:rPr>
        <w:br w:type="page"/>
      </w:r>
    </w:p>
    <w:p>
      <w:pPr>
        <w:spacing w:after="120" w:line="480" w:lineRule="auto"/>
        <w:jc w:val="both"/>
        <w:rPr>
          <w:rFonts w:ascii="Times New Roman" w:hAnsi="Times New Roman" w:cs="Times New Roman"/>
          <w:b/>
          <w:sz w:val="24"/>
          <w:szCs w:val="24"/>
        </w:rPr>
      </w:pPr>
      <w:r>
        <w:rPr>
          <w:rFonts w:ascii="Times New Roman" w:hAnsi="Times New Roman" w:cs="Times New Roman"/>
          <w:b/>
          <w:sz w:val="24"/>
          <w:szCs w:val="24"/>
        </w:rPr>
        <w:t>4.4</w:t>
      </w:r>
      <w:r>
        <w:rPr>
          <w:rFonts w:ascii="Times New Roman" w:hAnsi="Times New Roman" w:cs="Times New Roman"/>
          <w:b/>
          <w:sz w:val="24"/>
          <w:szCs w:val="24"/>
        </w:rPr>
        <w:tab/>
      </w:r>
      <w:r>
        <w:rPr>
          <w:rFonts w:ascii="Times New Roman" w:hAnsi="Times New Roman" w:cs="Times New Roman"/>
          <w:b/>
          <w:sz w:val="24"/>
          <w:szCs w:val="24"/>
        </w:rPr>
        <w:t>Presentation of Empirical Results</w:t>
      </w:r>
    </w:p>
    <w:p>
      <w:pPr>
        <w:spacing w:after="120" w:line="480" w:lineRule="auto"/>
        <w:ind w:left="709" w:hanging="709"/>
        <w:jc w:val="both"/>
        <w:rPr>
          <w:rFonts w:ascii="Times New Roman" w:hAnsi="Times New Roman" w:cs="Times New Roman"/>
          <w:b/>
          <w:sz w:val="24"/>
          <w:szCs w:val="24"/>
        </w:rPr>
      </w:pPr>
      <w:r>
        <w:rPr>
          <w:rFonts w:ascii="Times New Roman" w:hAnsi="Times New Roman" w:cs="Times New Roman"/>
          <w:b/>
          <w:sz w:val="24"/>
          <w:szCs w:val="24"/>
        </w:rPr>
        <w:t>4.4.1</w:t>
      </w:r>
      <w:r>
        <w:rPr>
          <w:rFonts w:ascii="Times New Roman" w:hAnsi="Times New Roman" w:cs="Times New Roman"/>
          <w:b/>
          <w:sz w:val="24"/>
          <w:szCs w:val="24"/>
        </w:rPr>
        <w:tab/>
      </w:r>
      <w:r>
        <w:rPr>
          <w:rFonts w:ascii="Times New Roman" w:hAnsi="Times New Roman" w:cs="Times New Roman"/>
          <w:b/>
          <w:sz w:val="24"/>
          <w:szCs w:val="24"/>
        </w:rPr>
        <w:t>Empirical Results of the Impact of Money Market Development on Health Outcomes</w:t>
      </w:r>
    </w:p>
    <w:p>
      <w:pPr>
        <w:spacing w:after="120" w:line="480" w:lineRule="auto"/>
        <w:rPr>
          <w:rFonts w:ascii="Times New Roman" w:hAnsi="Times New Roman" w:cs="Times New Roman"/>
          <w:b/>
          <w:sz w:val="24"/>
          <w:szCs w:val="24"/>
        </w:rPr>
      </w:pPr>
      <w:r>
        <w:rPr>
          <w:rFonts w:ascii="Times New Roman" w:hAnsi="Times New Roman" w:cs="Times New Roman"/>
          <w:b/>
          <w:sz w:val="24"/>
          <w:szCs w:val="24"/>
        </w:rPr>
        <w:t>A) Cointegration Test Result</w:t>
      </w:r>
    </w:p>
    <w:p>
      <w:pPr>
        <w:spacing w:after="120" w:line="480" w:lineRule="auto"/>
        <w:jc w:val="both"/>
        <w:rPr>
          <w:rFonts w:ascii="Times New Roman" w:hAnsi="Times New Roman"/>
          <w:sz w:val="24"/>
          <w:szCs w:val="24"/>
        </w:rPr>
      </w:pPr>
      <w:r>
        <w:rPr>
          <w:rFonts w:ascii="Times New Roman" w:hAnsi="Times New Roman"/>
          <w:sz w:val="24"/>
          <w:szCs w:val="24"/>
        </w:rPr>
        <w:t>Before estimating the short-run and long-run parameters, the study uses the autoregressive distributed lag (ARDL) bound cointegration tests to examine the long-run relationships among money market development, health outcomes and other controllable variables in the context of the proposed hypotheses. The ARDL bound test is used for the model illustrating the relationship among money market development, health outcomes, and other controllable variables since it is appropriate for variables at various orders of integration. Table 4.4 provides the F-statistics estimate for examining the possibility of a long-term relationship among money market development, health outcomes, and other confounding factors in Nigeria.</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According to the table, the normalized estimated F-statistics (Farb = 5.2176 and 9.3183) of the equations exceed both the lower and upper critical bounds at a 5% level of significance. This suggests that at a 5% significance level, the null hypothesis that there is no long-term association is rejected. In accordance with the estimation above, money market instruments, control variables (including gross fixed capital creation, trade openness, and inflation rate), and health outcomes all have equilibrium conditions that maintain them together throughout time. As a result, in Nigeria, there is a long-term connection between money market development and health outcomes.</w:t>
      </w:r>
    </w:p>
    <w:p>
      <w:pPr>
        <w:rPr>
          <w:rFonts w:ascii="Times New Roman" w:hAnsi="Times New Roman"/>
          <w:sz w:val="24"/>
          <w:szCs w:val="24"/>
        </w:rPr>
      </w:pPr>
      <w:r>
        <w:rPr>
          <w:rFonts w:ascii="Times New Roman" w:hAnsi="Times New Roman"/>
          <w:sz w:val="24"/>
          <w:szCs w:val="24"/>
        </w:rPr>
        <w:br w:type="page"/>
      </w:r>
    </w:p>
    <w:p>
      <w:pPr>
        <w:spacing w:after="0" w:line="240" w:lineRule="auto"/>
        <w:rPr>
          <w:rFonts w:ascii="Times New Roman" w:hAnsi="Times New Roman"/>
          <w:sz w:val="24"/>
          <w:szCs w:val="24"/>
        </w:rPr>
      </w:pPr>
      <w:r>
        <w:rPr>
          <w:rFonts w:ascii="Times New Roman" w:hAnsi="Times New Roman" w:cs="Times New Roman"/>
          <w:b/>
          <w:sz w:val="24"/>
          <w:szCs w:val="24"/>
        </w:rPr>
        <w:t xml:space="preserve">Table 4.4: </w:t>
      </w:r>
      <w:r>
        <w:rPr>
          <w:rFonts w:ascii="Times New Roman" w:hAnsi="Times New Roman" w:cs="Times New Roman"/>
          <w:sz w:val="24"/>
          <w:szCs w:val="24"/>
        </w:rPr>
        <w:t>Existence of long-run between money market development and health outcomes</w:t>
      </w:r>
    </w:p>
    <w:tbl>
      <w:tblPr>
        <w:tblStyle w:val="6"/>
        <w:tblW w:w="9352" w:type="dxa"/>
        <w:tblInd w:w="-137"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6800"/>
        <w:gridCol w:w="1276"/>
        <w:gridCol w:w="1276"/>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6800" w:type="dxa"/>
            <w:tcBorders>
              <w:top w:val="single" w:color="auto" w:sz="4" w:space="0"/>
              <w:bottom w:val="single" w:color="auto" w:sz="4" w:space="0"/>
            </w:tcBorders>
            <w:vAlign w:val="bottom"/>
          </w:tcPr>
          <w:p>
            <w:pPr>
              <w:autoSpaceDE w:val="0"/>
              <w:autoSpaceDN w:val="0"/>
              <w:adjustRightInd w:val="0"/>
              <w:spacing w:before="60" w:after="60" w:line="360" w:lineRule="auto"/>
              <w:ind w:left="11" w:hanging="11"/>
              <w:rPr>
                <w:rFonts w:ascii="Times New Roman" w:hAnsi="Times New Roman" w:cs="Times New Roman"/>
                <w:b/>
                <w:sz w:val="24"/>
                <w:szCs w:val="24"/>
              </w:rPr>
            </w:pPr>
            <w:r>
              <w:rPr>
                <w:rFonts w:ascii="Times New Roman" w:hAnsi="Times New Roman" w:cs="Times New Roman"/>
                <w:b/>
                <w:sz w:val="24"/>
                <w:szCs w:val="24"/>
              </w:rPr>
              <w:t>Test Statistics</w:t>
            </w:r>
          </w:p>
        </w:tc>
        <w:tc>
          <w:tcPr>
            <w:tcW w:w="1276" w:type="dxa"/>
            <w:tcBorders>
              <w:top w:val="single" w:color="auto" w:sz="4" w:space="0"/>
              <w:bottom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b/>
                <w:sz w:val="24"/>
                <w:szCs w:val="24"/>
              </w:rPr>
            </w:pPr>
            <w:r>
              <w:rPr>
                <w:rFonts w:ascii="Times New Roman" w:hAnsi="Times New Roman" w:cs="Times New Roman"/>
                <w:b/>
                <w:sz w:val="24"/>
                <w:szCs w:val="24"/>
              </w:rPr>
              <w:t>Value</w:t>
            </w:r>
          </w:p>
        </w:tc>
        <w:tc>
          <w:tcPr>
            <w:tcW w:w="1276" w:type="dxa"/>
            <w:tcBorders>
              <w:top w:val="single" w:color="auto" w:sz="4" w:space="0"/>
              <w:bottom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b/>
                <w:sz w:val="24"/>
                <w:szCs w:val="24"/>
              </w:rPr>
            </w:pPr>
            <w:r>
              <w:rPr>
                <w:rFonts w:ascii="Times New Roman" w:hAnsi="Times New Roman" w:cs="Times New Roman"/>
                <w:b/>
                <w:sz w:val="24"/>
                <w:szCs w:val="24"/>
              </w:rPr>
              <w:t>K</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6800" w:type="dxa"/>
            <w:tcBorders>
              <w:top w:val="single" w:color="auto" w:sz="4" w:space="0"/>
            </w:tcBorders>
            <w:vAlign w:val="bottom"/>
          </w:tcPr>
          <w:p>
            <w:pPr>
              <w:autoSpaceDE w:val="0"/>
              <w:autoSpaceDN w:val="0"/>
              <w:adjustRightInd w:val="0"/>
              <w:spacing w:before="60" w:after="60" w:line="360" w:lineRule="auto"/>
              <w:ind w:left="11" w:hanging="11"/>
              <w:rPr>
                <w:rFonts w:ascii="Times New Roman" w:hAnsi="Times New Roman" w:cs="Times New Roman"/>
                <w:sz w:val="24"/>
                <w:szCs w:val="24"/>
              </w:rPr>
            </w:pPr>
            <w:r>
              <w:rPr>
                <w:rFonts w:ascii="Times New Roman" w:hAnsi="Times New Roman" w:cs="Times New Roman"/>
                <w:sz w:val="24"/>
                <w:szCs w:val="24"/>
              </w:rPr>
              <w:t>F-statistics (lexp| mpr, tbr, mdr, inf, topen, gfcf) (2, 1, 0, 3, 2, 3, 2)</w:t>
            </w:r>
          </w:p>
        </w:tc>
        <w:tc>
          <w:tcPr>
            <w:tcW w:w="1276" w:type="dxa"/>
            <w:tcBorders>
              <w:top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5.2176</w:t>
            </w:r>
          </w:p>
        </w:tc>
        <w:tc>
          <w:tcPr>
            <w:tcW w:w="1276" w:type="dxa"/>
            <w:tcBorders>
              <w:top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6800" w:type="dxa"/>
            <w:tcBorders>
              <w:bottom w:val="single" w:color="auto" w:sz="4" w:space="0"/>
            </w:tcBorders>
            <w:vAlign w:val="bottom"/>
          </w:tcPr>
          <w:p>
            <w:pPr>
              <w:autoSpaceDE w:val="0"/>
              <w:autoSpaceDN w:val="0"/>
              <w:adjustRightInd w:val="0"/>
              <w:spacing w:before="60" w:after="60" w:line="360" w:lineRule="auto"/>
              <w:ind w:left="11" w:hanging="11"/>
              <w:rPr>
                <w:rFonts w:ascii="Times New Roman" w:hAnsi="Times New Roman" w:cs="Times New Roman"/>
                <w:sz w:val="24"/>
                <w:szCs w:val="24"/>
              </w:rPr>
            </w:pPr>
            <w:r>
              <w:rPr>
                <w:rFonts w:ascii="Times New Roman" w:hAnsi="Times New Roman" w:cs="Times New Roman"/>
                <w:sz w:val="24"/>
                <w:szCs w:val="24"/>
              </w:rPr>
              <w:t>F-statistics (un5m| mpr, tbr, mdr, inf, topen, gfcf) (3, 1, 1, 3, 3, 3, 3)</w:t>
            </w:r>
          </w:p>
        </w:tc>
        <w:tc>
          <w:tcPr>
            <w:tcW w:w="1276" w:type="dxa"/>
            <w:tcBorders>
              <w:bottom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9.3183</w:t>
            </w:r>
          </w:p>
        </w:tc>
        <w:tc>
          <w:tcPr>
            <w:tcW w:w="1276" w:type="dxa"/>
            <w:tcBorders>
              <w:bottom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9352" w:type="dxa"/>
            <w:gridSpan w:val="3"/>
            <w:tcBorders>
              <w:top w:val="single" w:color="auto" w:sz="4" w:space="0"/>
            </w:tcBorders>
            <w:vAlign w:val="bottom"/>
          </w:tcPr>
          <w:p>
            <w:pPr>
              <w:autoSpaceDE w:val="0"/>
              <w:autoSpaceDN w:val="0"/>
              <w:adjustRightInd w:val="0"/>
              <w:spacing w:before="60" w:after="60" w:line="360" w:lineRule="auto"/>
              <w:ind w:left="11" w:hanging="11"/>
              <w:rPr>
                <w:rFonts w:ascii="Times New Roman" w:hAnsi="Times New Roman" w:cs="Times New Roman"/>
                <w:b/>
                <w:sz w:val="24"/>
                <w:szCs w:val="24"/>
              </w:rPr>
            </w:pPr>
            <w:r>
              <w:rPr>
                <w:rFonts w:ascii="Times New Roman" w:hAnsi="Times New Roman" w:cs="Times New Roman"/>
                <w:b/>
                <w:sz w:val="24"/>
                <w:szCs w:val="24"/>
              </w:rPr>
              <w:t>Critical Value Bounds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6800" w:type="dxa"/>
            <w:tcBorders>
              <w:bottom w:val="single" w:color="auto" w:sz="4" w:space="0"/>
            </w:tcBorders>
            <w:vAlign w:val="bottom"/>
          </w:tcPr>
          <w:p>
            <w:pPr>
              <w:autoSpaceDE w:val="0"/>
              <w:autoSpaceDN w:val="0"/>
              <w:adjustRightInd w:val="0"/>
              <w:spacing w:before="60" w:after="60" w:line="360" w:lineRule="auto"/>
              <w:ind w:left="11" w:hanging="11"/>
              <w:rPr>
                <w:rFonts w:ascii="Times New Roman" w:hAnsi="Times New Roman" w:cs="Times New Roman"/>
                <w:b/>
                <w:sz w:val="24"/>
                <w:szCs w:val="24"/>
              </w:rPr>
            </w:pPr>
            <w:r>
              <w:rPr>
                <w:rFonts w:ascii="Times New Roman" w:hAnsi="Times New Roman" w:cs="Times New Roman"/>
                <w:b/>
                <w:sz w:val="24"/>
                <w:szCs w:val="24"/>
              </w:rPr>
              <w:t>Significance</w:t>
            </w:r>
          </w:p>
        </w:tc>
        <w:tc>
          <w:tcPr>
            <w:tcW w:w="1276" w:type="dxa"/>
            <w:tcBorders>
              <w:bottom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b/>
                <w:sz w:val="24"/>
                <w:szCs w:val="24"/>
              </w:rPr>
            </w:pPr>
            <w:r>
              <w:rPr>
                <w:rFonts w:ascii="Times New Roman" w:hAnsi="Times New Roman" w:cs="Times New Roman"/>
                <w:b/>
                <w:sz w:val="24"/>
                <w:szCs w:val="24"/>
              </w:rPr>
              <w:t>I(0) Bound</w:t>
            </w:r>
          </w:p>
        </w:tc>
        <w:tc>
          <w:tcPr>
            <w:tcW w:w="1276" w:type="dxa"/>
            <w:tcBorders>
              <w:bottom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b/>
                <w:sz w:val="24"/>
                <w:szCs w:val="24"/>
              </w:rPr>
            </w:pPr>
            <w:r>
              <w:rPr>
                <w:rFonts w:ascii="Times New Roman" w:hAnsi="Times New Roman" w:cs="Times New Roman"/>
                <w:b/>
                <w:sz w:val="24"/>
                <w:szCs w:val="24"/>
              </w:rPr>
              <w:t>I(1) Bound</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6800" w:type="dxa"/>
            <w:tcBorders>
              <w:top w:val="single" w:color="auto" w:sz="4" w:space="0"/>
            </w:tcBorders>
            <w:vAlign w:val="bottom"/>
          </w:tcPr>
          <w:p>
            <w:pPr>
              <w:autoSpaceDE w:val="0"/>
              <w:autoSpaceDN w:val="0"/>
              <w:adjustRightInd w:val="0"/>
              <w:spacing w:before="60" w:after="60" w:line="360" w:lineRule="auto"/>
              <w:ind w:left="11" w:hanging="11"/>
              <w:rPr>
                <w:rFonts w:ascii="Times New Roman" w:hAnsi="Times New Roman" w:cs="Times New Roman"/>
                <w:sz w:val="24"/>
                <w:szCs w:val="24"/>
              </w:rPr>
            </w:pPr>
            <w:r>
              <w:rPr>
                <w:rFonts w:ascii="Times New Roman" w:hAnsi="Times New Roman" w:cs="Times New Roman"/>
                <w:sz w:val="24"/>
                <w:szCs w:val="24"/>
              </w:rPr>
              <w:t>10%</w:t>
            </w:r>
          </w:p>
        </w:tc>
        <w:tc>
          <w:tcPr>
            <w:tcW w:w="1276" w:type="dxa"/>
            <w:tcBorders>
              <w:top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1.99</w:t>
            </w:r>
          </w:p>
        </w:tc>
        <w:tc>
          <w:tcPr>
            <w:tcW w:w="1276" w:type="dxa"/>
            <w:tcBorders>
              <w:top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2.94</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6800" w:type="dxa"/>
            <w:vAlign w:val="bottom"/>
          </w:tcPr>
          <w:p>
            <w:pPr>
              <w:autoSpaceDE w:val="0"/>
              <w:autoSpaceDN w:val="0"/>
              <w:adjustRightInd w:val="0"/>
              <w:spacing w:before="60" w:after="60" w:line="360" w:lineRule="auto"/>
              <w:ind w:left="11" w:hanging="11"/>
              <w:rPr>
                <w:rFonts w:ascii="Times New Roman" w:hAnsi="Times New Roman" w:cs="Times New Roman"/>
                <w:sz w:val="24"/>
                <w:szCs w:val="24"/>
              </w:rPr>
            </w:pPr>
            <w:r>
              <w:rPr>
                <w:rFonts w:ascii="Times New Roman" w:hAnsi="Times New Roman" w:cs="Times New Roman"/>
                <w:sz w:val="24"/>
                <w:szCs w:val="24"/>
              </w:rPr>
              <w:t>5%</w:t>
            </w:r>
          </w:p>
        </w:tc>
        <w:tc>
          <w:tcPr>
            <w:tcW w:w="1276" w:type="dxa"/>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2.27</w:t>
            </w:r>
          </w:p>
        </w:tc>
        <w:tc>
          <w:tcPr>
            <w:tcW w:w="1276" w:type="dxa"/>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3.28</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6800" w:type="dxa"/>
            <w:vAlign w:val="bottom"/>
          </w:tcPr>
          <w:p>
            <w:pPr>
              <w:autoSpaceDE w:val="0"/>
              <w:autoSpaceDN w:val="0"/>
              <w:adjustRightInd w:val="0"/>
              <w:spacing w:before="60" w:after="60" w:line="360" w:lineRule="auto"/>
              <w:ind w:left="11" w:hanging="11"/>
              <w:rPr>
                <w:rFonts w:ascii="Times New Roman" w:hAnsi="Times New Roman" w:cs="Times New Roman"/>
                <w:sz w:val="24"/>
                <w:szCs w:val="24"/>
              </w:rPr>
            </w:pPr>
            <w:r>
              <w:rPr>
                <w:rFonts w:ascii="Times New Roman" w:hAnsi="Times New Roman" w:cs="Times New Roman"/>
                <w:sz w:val="24"/>
                <w:szCs w:val="24"/>
              </w:rPr>
              <w:t>2.5%</w:t>
            </w:r>
          </w:p>
        </w:tc>
        <w:tc>
          <w:tcPr>
            <w:tcW w:w="1276" w:type="dxa"/>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2.55</w:t>
            </w:r>
          </w:p>
        </w:tc>
        <w:tc>
          <w:tcPr>
            <w:tcW w:w="1276" w:type="dxa"/>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3.61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6800" w:type="dxa"/>
            <w:vAlign w:val="bottom"/>
          </w:tcPr>
          <w:p>
            <w:pPr>
              <w:autoSpaceDE w:val="0"/>
              <w:autoSpaceDN w:val="0"/>
              <w:adjustRightInd w:val="0"/>
              <w:spacing w:before="60" w:after="60" w:line="360" w:lineRule="auto"/>
              <w:ind w:left="11" w:hanging="11"/>
              <w:rPr>
                <w:rFonts w:ascii="Times New Roman" w:hAnsi="Times New Roman" w:cs="Times New Roman"/>
                <w:sz w:val="24"/>
                <w:szCs w:val="24"/>
              </w:rPr>
            </w:pPr>
            <w:r>
              <w:rPr>
                <w:rFonts w:ascii="Times New Roman" w:hAnsi="Times New Roman" w:cs="Times New Roman"/>
                <w:sz w:val="24"/>
                <w:szCs w:val="24"/>
              </w:rPr>
              <w:t>1%</w:t>
            </w:r>
          </w:p>
        </w:tc>
        <w:tc>
          <w:tcPr>
            <w:tcW w:w="1276" w:type="dxa"/>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2.88</w:t>
            </w:r>
          </w:p>
        </w:tc>
        <w:tc>
          <w:tcPr>
            <w:tcW w:w="1276" w:type="dxa"/>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3.99</w:t>
            </w:r>
          </w:p>
        </w:tc>
      </w:tr>
    </w:tbl>
    <w:p>
      <w:pPr>
        <w:spacing w:after="120" w:line="480" w:lineRule="auto"/>
        <w:rPr>
          <w:rFonts w:ascii="Times New Roman" w:hAnsi="Times New Roman" w:cs="Times New Roman"/>
          <w:sz w:val="24"/>
          <w:szCs w:val="24"/>
        </w:rPr>
      </w:pPr>
      <w:r>
        <w:rPr>
          <w:rFonts w:ascii="Times New Roman" w:hAnsi="Times New Roman" w:cs="Times New Roman"/>
          <w:b/>
          <w:sz w:val="24"/>
          <w:szCs w:val="24"/>
        </w:rPr>
        <w:t>Source:</w:t>
      </w:r>
      <w:r>
        <w:rPr>
          <w:rFonts w:ascii="Times New Roman" w:hAnsi="Times New Roman" w:cs="Times New Roman"/>
          <w:sz w:val="24"/>
          <w:szCs w:val="24"/>
        </w:rPr>
        <w:t xml:space="preserve"> Author’s computation (2023).</w:t>
      </w:r>
    </w:p>
    <w:p>
      <w:pPr>
        <w:rPr>
          <w:rFonts w:ascii="Times New Roman" w:hAnsi="Times New Roman" w:cs="Times New Roman"/>
          <w:sz w:val="24"/>
          <w:szCs w:val="24"/>
        </w:rPr>
      </w:pPr>
      <w:r>
        <w:rPr>
          <w:rFonts w:ascii="Times New Roman" w:hAnsi="Times New Roman" w:cs="Times New Roman"/>
          <w:sz w:val="24"/>
          <w:szCs w:val="24"/>
        </w:rPr>
        <w:br w:type="page"/>
      </w:r>
    </w:p>
    <w:p>
      <w:pPr>
        <w:spacing w:after="120" w:line="480" w:lineRule="auto"/>
        <w:ind w:left="450" w:hanging="450"/>
        <w:jc w:val="both"/>
        <w:rPr>
          <w:rFonts w:ascii="Times New Roman" w:hAnsi="Times New Roman" w:cs="Times New Roman"/>
          <w:b/>
          <w:sz w:val="24"/>
          <w:szCs w:val="24"/>
        </w:rPr>
      </w:pPr>
      <w:r>
        <w:rPr>
          <w:rFonts w:ascii="Times New Roman" w:hAnsi="Times New Roman" w:cs="Times New Roman"/>
          <w:b/>
          <w:sz w:val="24"/>
          <w:szCs w:val="24"/>
        </w:rPr>
        <w:t>B) Short-run and Long-run Estimates of Money Market Development and Life Expectancy</w:t>
      </w:r>
    </w:p>
    <w:p>
      <w:pPr>
        <w:spacing w:after="120" w:line="480" w:lineRule="auto"/>
        <w:jc w:val="both"/>
        <w:rPr>
          <w:rFonts w:ascii="Times New Roman" w:hAnsi="Times New Roman"/>
          <w:sz w:val="24"/>
          <w:szCs w:val="24"/>
        </w:rPr>
      </w:pPr>
      <w:r>
        <w:rPr>
          <w:rFonts w:ascii="Times New Roman" w:hAnsi="Times New Roman"/>
          <w:sz w:val="24"/>
          <w:szCs w:val="24"/>
        </w:rPr>
        <w:t>The null hypothesis, that money market development has no significant impact on life expectancy in Nigeria, is addressed in this section. Using the estimated ARDL approach, which was fully discussed in the preceding chapter, it evaluates both the short-run and long-run relationship estimates of money market development indicators and other controllable factors in Nigeria. A combination of short-run and long-run estimates of the relationships among the series taken into consideration in this study makes up the estimated ARDL model. Table 4.5 provides conclusive evidence for our empirical estimations based on data on money market development measures (monetary policy rate, 12-month deposit rate and treasury bill rate), gross fixed capital formation, trade openness, and inflation rate.</w:t>
      </w:r>
    </w:p>
    <w:p>
      <w:pPr>
        <w:spacing w:after="120" w:line="480" w:lineRule="auto"/>
        <w:jc w:val="both"/>
        <w:rPr>
          <w:rFonts w:ascii="Times New Roman" w:hAnsi="Times New Roman"/>
          <w:sz w:val="24"/>
          <w:szCs w:val="24"/>
        </w:rPr>
      </w:pPr>
      <w:r>
        <w:rPr>
          <w:rFonts w:ascii="Times New Roman" w:hAnsi="Times New Roman"/>
          <w:sz w:val="24"/>
          <w:szCs w:val="24"/>
        </w:rPr>
        <w:t>The findings of the short-run estimation demonstrate the error correction mechanism, which gauges the rate or intensity of adjustment. It measures the rate of adjustment at which the outcome variable adjusts to changes in the explanatory variables. The model’s dynamic pattern is displayed in the short run analysis, which also checks to see if the model’s dynamics haven’t been restricted by erroneous lag length specifications. The model’s lag length was set at three to ensure an adequate degree of freedom based on automatic selection of the Akaike Information Criterion, and the ARDL test automatically select the lag duration on all variables. Table 4.5 shows the short-term estimates of the correlation between public health spending and life expectancy. The coefficient of the ECT is found to be negative and statistically significant at the conventional level. The ECT value (-0.</w:t>
      </w:r>
      <w:r>
        <w:rPr>
          <w:rFonts w:ascii="Times New Roman" w:hAnsi="Times New Roman" w:cs="Times New Roman"/>
          <w:sz w:val="24"/>
          <w:szCs w:val="24"/>
        </w:rPr>
        <w:t>2071</w:t>
      </w:r>
      <w:r>
        <w:rPr>
          <w:rFonts w:ascii="Times New Roman" w:hAnsi="Times New Roman"/>
          <w:sz w:val="24"/>
          <w:szCs w:val="24"/>
        </w:rPr>
        <w:t>) implied that the model corrects its short-run disequilibrium by 20.71% speed of adjustment to return to the long run equilibrium.</w:t>
      </w:r>
    </w:p>
    <w:p>
      <w:pPr>
        <w:rPr>
          <w:rFonts w:ascii="Times New Roman" w:hAnsi="Times New Roman"/>
          <w:sz w:val="24"/>
          <w:szCs w:val="24"/>
        </w:rPr>
      </w:pPr>
      <w:r>
        <w:rPr>
          <w:rFonts w:ascii="Times New Roman" w:hAnsi="Times New Roman"/>
          <w:sz w:val="24"/>
          <w:szCs w:val="24"/>
        </w:rPr>
        <w:br w:type="page"/>
      </w:r>
    </w:p>
    <w:p>
      <w:pPr>
        <w:spacing w:after="0"/>
        <w:jc w:val="both"/>
        <w:rPr>
          <w:rFonts w:ascii="Times New Roman" w:hAnsi="Times New Roman"/>
          <w:sz w:val="24"/>
          <w:szCs w:val="24"/>
        </w:rPr>
      </w:pPr>
      <w:r>
        <w:rPr>
          <w:rFonts w:ascii="Times New Roman" w:hAnsi="Times New Roman"/>
          <w:b/>
          <w:sz w:val="24"/>
          <w:szCs w:val="24"/>
        </w:rPr>
        <w:t xml:space="preserve">Table 4.5: </w:t>
      </w:r>
      <w:r>
        <w:rPr>
          <w:rFonts w:ascii="Times New Roman" w:hAnsi="Times New Roman"/>
          <w:sz w:val="24"/>
          <w:szCs w:val="24"/>
        </w:rPr>
        <w:t>Results of estimated ARDL model of life expectancy</w:t>
      </w:r>
    </w:p>
    <w:tbl>
      <w:tblPr>
        <w:tblStyle w:val="6"/>
        <w:tblW w:w="9205" w:type="dxa"/>
        <w:tblInd w:w="-142"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385"/>
        <w:gridCol w:w="1717"/>
        <w:gridCol w:w="180"/>
        <w:gridCol w:w="102"/>
        <w:gridCol w:w="1419"/>
        <w:gridCol w:w="810"/>
        <w:gridCol w:w="891"/>
        <w:gridCol w:w="1701"/>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9205" w:type="dxa"/>
            <w:gridSpan w:val="8"/>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 xml:space="preserve">Dependent Variable: </w:t>
            </w:r>
            <w:r>
              <w:rPr>
                <w:rFonts w:ascii="Times New Roman" w:hAnsi="Times New Roman" w:cs="Times New Roman"/>
                <w:sz w:val="24"/>
                <w:szCs w:val="24"/>
              </w:rPr>
              <w:t>Life Expectancy (lexp)</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9205" w:type="dxa"/>
            <w:gridSpan w:val="8"/>
            <w:tcBorders>
              <w:bottom w:val="nil"/>
            </w:tcBorders>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 xml:space="preserve">Selected Model: </w:t>
            </w:r>
            <w:r>
              <w:rPr>
                <w:rFonts w:ascii="Times New Roman" w:hAnsi="Times New Roman" w:cs="Times New Roman"/>
                <w:sz w:val="24"/>
                <w:szCs w:val="24"/>
              </w:rPr>
              <w:t>ARDL(2, 1, 0, 3, 2, 3, 2)</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83" w:hRule="atLeast"/>
        </w:trPr>
        <w:tc>
          <w:tcPr>
            <w:tcW w:w="4384" w:type="dxa"/>
            <w:gridSpan w:val="4"/>
            <w:tcBorders>
              <w:top w:val="nil"/>
              <w:bottom w:val="single" w:color="auto" w:sz="4" w:space="0"/>
            </w:tcBorders>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Sample:</w:t>
            </w:r>
            <w:r>
              <w:rPr>
                <w:rFonts w:ascii="Times New Roman" w:hAnsi="Times New Roman" w:cs="Times New Roman"/>
                <w:sz w:val="24"/>
                <w:szCs w:val="24"/>
              </w:rPr>
              <w:t xml:space="preserve"> 1985 2022</w:t>
            </w:r>
          </w:p>
        </w:tc>
        <w:tc>
          <w:tcPr>
            <w:tcW w:w="4821" w:type="dxa"/>
            <w:gridSpan w:val="4"/>
            <w:tcBorders>
              <w:top w:val="nil"/>
              <w:bottom w:val="single" w:color="auto" w:sz="4" w:space="0"/>
            </w:tcBorders>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Included observations:</w:t>
            </w:r>
            <w:r>
              <w:rPr>
                <w:rFonts w:ascii="Times New Roman" w:hAnsi="Times New Roman" w:cs="Times New Roman"/>
                <w:sz w:val="24"/>
                <w:szCs w:val="24"/>
              </w:rPr>
              <w:t xml:space="preserve"> 35</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9205" w:type="dxa"/>
            <w:gridSpan w:val="8"/>
            <w:tcBorders>
              <w:top w:val="single" w:color="auto" w:sz="4" w:space="0"/>
              <w:bottom w:val="single" w:color="auto" w:sz="4" w:space="0"/>
            </w:tcBorders>
            <w:vAlign w:val="bottom"/>
          </w:tcPr>
          <w:p>
            <w:pPr>
              <w:autoSpaceDE w:val="0"/>
              <w:autoSpaceDN w:val="0"/>
              <w:adjustRightInd w:val="0"/>
              <w:spacing w:after="0" w:line="276" w:lineRule="auto"/>
              <w:jc w:val="center"/>
              <w:rPr>
                <w:rFonts w:ascii="Times New Roman" w:hAnsi="Times New Roman" w:cs="Times New Roman"/>
                <w:b/>
                <w:i/>
                <w:sz w:val="24"/>
                <w:szCs w:val="24"/>
              </w:rPr>
            </w:pPr>
            <w:r>
              <w:rPr>
                <w:rFonts w:ascii="Times New Roman" w:hAnsi="Times New Roman" w:cs="Times New Roman"/>
                <w:b/>
                <w:i/>
                <w:sz w:val="24"/>
                <w:szCs w:val="24"/>
              </w:rPr>
              <w:t>Short-Run Estimates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top w:val="single" w:color="auto" w:sz="4" w:space="0"/>
              <w:bottom w:val="single" w:color="auto" w:sz="4" w:space="0"/>
            </w:tcBorders>
            <w:vAlign w:val="center"/>
          </w:tcPr>
          <w:p>
            <w:pPr>
              <w:autoSpaceDE w:val="0"/>
              <w:autoSpaceDN w:val="0"/>
              <w:adjustRightInd w:val="0"/>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Variable</w:t>
            </w:r>
          </w:p>
        </w:tc>
        <w:tc>
          <w:tcPr>
            <w:tcW w:w="1717" w:type="dxa"/>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sz w:val="24"/>
                <w:szCs w:val="24"/>
              </w:rPr>
            </w:pPr>
            <w:r>
              <w:rPr>
                <w:rFonts w:ascii="Times New Roman" w:hAnsi="Times New Roman" w:cs="Times New Roman"/>
                <w:b/>
                <w:sz w:val="24"/>
                <w:szCs w:val="24"/>
              </w:rPr>
              <w:t>Coefficient</w:t>
            </w:r>
          </w:p>
        </w:tc>
        <w:tc>
          <w:tcPr>
            <w:tcW w:w="1701" w:type="dxa"/>
            <w:gridSpan w:val="3"/>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sz w:val="24"/>
                <w:szCs w:val="24"/>
              </w:rPr>
            </w:pPr>
            <w:r>
              <w:rPr>
                <w:rFonts w:ascii="Times New Roman" w:hAnsi="Times New Roman" w:cs="Times New Roman"/>
                <w:b/>
                <w:sz w:val="24"/>
                <w:szCs w:val="24"/>
              </w:rPr>
              <w:t>Std. Error</w:t>
            </w:r>
          </w:p>
        </w:tc>
        <w:tc>
          <w:tcPr>
            <w:tcW w:w="1701" w:type="dxa"/>
            <w:gridSpan w:val="2"/>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sz w:val="24"/>
                <w:szCs w:val="24"/>
              </w:rPr>
            </w:pPr>
            <w:r>
              <w:rPr>
                <w:rFonts w:ascii="Times New Roman" w:hAnsi="Times New Roman" w:cs="Times New Roman"/>
                <w:b/>
                <w:sz w:val="24"/>
                <w:szCs w:val="24"/>
              </w:rPr>
              <w:t>t-Statistic</w:t>
            </w:r>
          </w:p>
        </w:tc>
        <w:tc>
          <w:tcPr>
            <w:tcW w:w="1701" w:type="dxa"/>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sz w:val="24"/>
                <w:szCs w:val="24"/>
              </w:rPr>
            </w:pPr>
            <w:r>
              <w:rPr>
                <w:rFonts w:ascii="Times New Roman" w:hAnsi="Times New Roman" w:cs="Times New Roman"/>
                <w:b/>
                <w:sz w:val="24"/>
                <w:szCs w:val="24"/>
              </w:rPr>
              <w:t>Prob.</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top w:val="single" w:color="auto" w:sz="4" w:space="0"/>
            </w:tcBorders>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(LEXP(-1))</w:t>
            </w:r>
          </w:p>
        </w:tc>
        <w:tc>
          <w:tcPr>
            <w:tcW w:w="1717" w:type="dxa"/>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-0.190781</w:t>
            </w:r>
          </w:p>
        </w:tc>
        <w:tc>
          <w:tcPr>
            <w:tcW w:w="1701" w:type="dxa"/>
            <w:gridSpan w:val="3"/>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0.141158</w:t>
            </w:r>
          </w:p>
        </w:tc>
        <w:tc>
          <w:tcPr>
            <w:tcW w:w="1701" w:type="dxa"/>
            <w:gridSpan w:val="2"/>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-1.351541</w:t>
            </w:r>
          </w:p>
        </w:tc>
        <w:tc>
          <w:tcPr>
            <w:tcW w:w="1701" w:type="dxa"/>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0.1966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(MPR)</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0.028931</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0.006731</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4.298370</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(MDR)</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-0.006543</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0.006370</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-1.027110</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0.3206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(MDR(-1))</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-0.009630</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0.005477</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-1.758314</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0.0991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(MDR(-2))</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-0.015929</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0.006244</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-2.550897</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0.0222</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(INF)</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-0.000928</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0.001571</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-0.590663</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0.5635</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(INF(-1))</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0.014900</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0.002587</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5.759173</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(TOPEN)</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0.018497</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0.003427</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5.396760</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(TOPEN(-1))</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0.007620</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0.002704</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2.818416</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0.0130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(TOPEN(-2))</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0.004819</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0.002551</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1.888828</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0.0784</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(GFCF)</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-0.001691</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0.005938</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-0.284823</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0.7797</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(GFCF(-1))</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0.051078</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0.011071</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4.613812</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0.0003</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bottom w:val="single" w:color="auto" w:sz="4" w:space="0"/>
            </w:tcBorders>
            <w:vAlign w:val="center"/>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ECT(-1)</w:t>
            </w:r>
          </w:p>
        </w:tc>
        <w:tc>
          <w:tcPr>
            <w:tcW w:w="1717" w:type="dxa"/>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-0.207065</w:t>
            </w:r>
          </w:p>
        </w:tc>
        <w:tc>
          <w:tcPr>
            <w:tcW w:w="1701" w:type="dxa"/>
            <w:gridSpan w:val="3"/>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0.026464</w:t>
            </w:r>
          </w:p>
        </w:tc>
        <w:tc>
          <w:tcPr>
            <w:tcW w:w="1701" w:type="dxa"/>
            <w:gridSpan w:val="2"/>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-7.824319</w:t>
            </w:r>
          </w:p>
        </w:tc>
        <w:tc>
          <w:tcPr>
            <w:tcW w:w="1701" w:type="dxa"/>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9205" w:type="dxa"/>
            <w:gridSpan w:val="8"/>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i/>
                <w:sz w:val="24"/>
                <w:szCs w:val="24"/>
              </w:rPr>
            </w:pPr>
            <w:r>
              <w:rPr>
                <w:rFonts w:ascii="Times New Roman" w:hAnsi="Times New Roman" w:cs="Times New Roman"/>
                <w:b/>
                <w:i/>
                <w:sz w:val="24"/>
                <w:szCs w:val="24"/>
              </w:rPr>
              <w:t>Long-Run Estimates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top w:val="single" w:color="auto" w:sz="4" w:space="0"/>
            </w:tcBorders>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MPR</w:t>
            </w:r>
          </w:p>
        </w:tc>
        <w:tc>
          <w:tcPr>
            <w:tcW w:w="1717" w:type="dxa"/>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0.211395</w:t>
            </w:r>
          </w:p>
        </w:tc>
        <w:tc>
          <w:tcPr>
            <w:tcW w:w="1701" w:type="dxa"/>
            <w:gridSpan w:val="3"/>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0.072117</w:t>
            </w:r>
          </w:p>
        </w:tc>
        <w:tc>
          <w:tcPr>
            <w:tcW w:w="1701" w:type="dxa"/>
            <w:gridSpan w:val="2"/>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2.931262</w:t>
            </w:r>
          </w:p>
        </w:tc>
        <w:tc>
          <w:tcPr>
            <w:tcW w:w="1701" w:type="dxa"/>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0.0103</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TBR</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-0.159087</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0.048635</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-3.271049</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0.0052</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MDR</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0.012356</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0.062218</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0.198589</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0.8453</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INF</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-0.080843</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0.017186</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-4.703895</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0.0003</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TOPEN</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0.010190</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0.025031</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0.407115</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0.6897</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GFCF</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-0.190126</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0.016318</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-11.65122</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bottom w:val="single" w:color="auto" w:sz="4" w:space="0"/>
            </w:tcBorders>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C</w:t>
            </w:r>
          </w:p>
        </w:tc>
        <w:tc>
          <w:tcPr>
            <w:tcW w:w="1717" w:type="dxa"/>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55.85244</w:t>
            </w:r>
          </w:p>
        </w:tc>
        <w:tc>
          <w:tcPr>
            <w:tcW w:w="1701" w:type="dxa"/>
            <w:gridSpan w:val="3"/>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0.865659</w:t>
            </w:r>
          </w:p>
        </w:tc>
        <w:tc>
          <w:tcPr>
            <w:tcW w:w="1701" w:type="dxa"/>
            <w:gridSpan w:val="2"/>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64.52016</w:t>
            </w:r>
          </w:p>
        </w:tc>
        <w:tc>
          <w:tcPr>
            <w:tcW w:w="1701" w:type="dxa"/>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143" w:hRule="atLeast"/>
        </w:trPr>
        <w:tc>
          <w:tcPr>
            <w:tcW w:w="9205" w:type="dxa"/>
            <w:gridSpan w:val="8"/>
            <w:tcBorders>
              <w:top w:val="single" w:color="auto" w:sz="4" w:space="0"/>
            </w:tcBorders>
            <w:vAlign w:val="bottom"/>
          </w:tcPr>
          <w:p>
            <w:pPr>
              <w:autoSpaceDE w:val="0"/>
              <w:autoSpaceDN w:val="0"/>
              <w:adjustRightInd w:val="0"/>
              <w:spacing w:after="0" w:line="276" w:lineRule="auto"/>
              <w:ind w:right="10"/>
              <w:jc w:val="right"/>
              <w:rPr>
                <w:rFonts w:ascii="Times New Roman" w:hAnsi="Times New Roman" w:cs="Times New Roman"/>
                <w:sz w:val="10"/>
                <w:szCs w:val="10"/>
              </w:rPr>
            </w:pP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rPr>
                <w:rFonts w:ascii="Times New Roman" w:hAnsi="Times New Roman" w:cs="Times New Roman"/>
                <w:b/>
                <w:sz w:val="24"/>
                <w:szCs w:val="24"/>
              </w:rPr>
            </w:pPr>
            <w:r>
              <w:rPr>
                <w:rFonts w:ascii="Times New Roman" w:hAnsi="Times New Roman" w:cs="Times New Roman"/>
                <w:b/>
                <w:sz w:val="24"/>
                <w:szCs w:val="24"/>
              </w:rPr>
              <w:t>R-squared</w:t>
            </w:r>
          </w:p>
        </w:tc>
        <w:tc>
          <w:tcPr>
            <w:tcW w:w="1897"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0.8893</w:t>
            </w:r>
          </w:p>
        </w:tc>
        <w:tc>
          <w:tcPr>
            <w:tcW w:w="2331" w:type="dxa"/>
            <w:gridSpan w:val="3"/>
            <w:vAlign w:val="bottom"/>
          </w:tcPr>
          <w:p>
            <w:pPr>
              <w:autoSpaceDE w:val="0"/>
              <w:autoSpaceDN w:val="0"/>
              <w:adjustRightInd w:val="0"/>
              <w:spacing w:after="0" w:line="276" w:lineRule="auto"/>
              <w:ind w:right="10"/>
              <w:rPr>
                <w:rFonts w:ascii="Times New Roman" w:hAnsi="Times New Roman" w:cs="Times New Roman"/>
                <w:b/>
                <w:sz w:val="24"/>
                <w:szCs w:val="24"/>
              </w:rPr>
            </w:pPr>
            <w:r>
              <w:rPr>
                <w:rFonts w:ascii="Times New Roman" w:hAnsi="Times New Roman" w:cs="Times New Roman"/>
                <w:b/>
                <w:sz w:val="24"/>
                <w:szCs w:val="24"/>
              </w:rPr>
              <w:t>F-stat</w:t>
            </w:r>
          </w:p>
        </w:tc>
        <w:tc>
          <w:tcPr>
            <w:tcW w:w="2592"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98.323 (0.0000)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rPr>
                <w:rFonts w:ascii="Times New Roman" w:hAnsi="Times New Roman" w:cs="Times New Roman"/>
                <w:b/>
                <w:sz w:val="24"/>
                <w:szCs w:val="24"/>
              </w:rPr>
            </w:pPr>
            <w:r>
              <w:rPr>
                <w:rFonts w:ascii="Times New Roman" w:hAnsi="Times New Roman" w:cs="Times New Roman"/>
                <w:b/>
                <w:sz w:val="24"/>
                <w:szCs w:val="24"/>
              </w:rPr>
              <w:t>Adj. R-squared</w:t>
            </w:r>
          </w:p>
        </w:tc>
        <w:tc>
          <w:tcPr>
            <w:tcW w:w="1897"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0.8290</w:t>
            </w:r>
          </w:p>
        </w:tc>
        <w:tc>
          <w:tcPr>
            <w:tcW w:w="2331" w:type="dxa"/>
            <w:gridSpan w:val="3"/>
            <w:vAlign w:val="bottom"/>
          </w:tcPr>
          <w:p>
            <w:pPr>
              <w:autoSpaceDE w:val="0"/>
              <w:autoSpaceDN w:val="0"/>
              <w:adjustRightInd w:val="0"/>
              <w:spacing w:after="0" w:line="276" w:lineRule="auto"/>
              <w:ind w:right="10"/>
              <w:rPr>
                <w:rFonts w:ascii="Times New Roman" w:hAnsi="Times New Roman" w:cs="Times New Roman"/>
                <w:b/>
                <w:sz w:val="24"/>
                <w:szCs w:val="24"/>
              </w:rPr>
            </w:pPr>
            <w:r>
              <w:rPr>
                <w:rFonts w:ascii="Times New Roman" w:hAnsi="Times New Roman" w:cs="Times New Roman"/>
                <w:b/>
                <w:sz w:val="24"/>
                <w:szCs w:val="24"/>
              </w:rPr>
              <w:t>D-Watson</w:t>
            </w:r>
          </w:p>
        </w:tc>
        <w:tc>
          <w:tcPr>
            <w:tcW w:w="2592"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2.0504</w:t>
            </w:r>
          </w:p>
        </w:tc>
      </w:tr>
    </w:tbl>
    <w:p>
      <w:pPr>
        <w:spacing w:after="120" w:line="480" w:lineRule="auto"/>
        <w:jc w:val="both"/>
        <w:rPr>
          <w:rFonts w:ascii="Times New Roman" w:hAnsi="Times New Roman"/>
          <w:sz w:val="24"/>
          <w:szCs w:val="24"/>
        </w:rPr>
      </w:pPr>
      <w:r>
        <w:rPr>
          <w:rFonts w:ascii="Times New Roman" w:hAnsi="Times New Roman"/>
          <w:b/>
          <w:sz w:val="24"/>
          <w:szCs w:val="24"/>
        </w:rPr>
        <w:t>Source:</w:t>
      </w:r>
      <w:r>
        <w:rPr>
          <w:rFonts w:ascii="Times New Roman" w:hAnsi="Times New Roman"/>
          <w:sz w:val="24"/>
          <w:szCs w:val="24"/>
        </w:rPr>
        <w:t xml:space="preserve"> Author’s computation (2023).</w:t>
      </w:r>
    </w:p>
    <w:p>
      <w:pPr>
        <w:spacing w:after="120" w:line="480" w:lineRule="auto"/>
        <w:jc w:val="both"/>
        <w:rPr>
          <w:rFonts w:ascii="Times New Roman" w:hAnsi="Times New Roman"/>
          <w:sz w:val="24"/>
          <w:szCs w:val="24"/>
        </w:rPr>
      </w:pPr>
      <w:r>
        <w:rPr>
          <w:rFonts w:ascii="Times New Roman" w:hAnsi="Times New Roman"/>
          <w:sz w:val="24"/>
          <w:szCs w:val="24"/>
        </w:rPr>
        <w:t>At the 5% level, the short-run coefficient of the change in life expectancy at lag one isinsignificant and negative. The short-run coefficient of monetary policy rate has a positive and significant value at 5% level. It means that the increase in monetary policy rate results to high life expectancy in the short run. While the current and first lag are negative and statistically insignificant, the short-run parameter estimates of 12-month deposit rate at lag two werealso negative but statistically significant at 5%. It follows that 12-month deposit rate at lag two had a short-term negative influence on life expectancy. This shows that low12-month deposit rate guarantees an improvement in the anticipated mean years of an individual’s life after birth. The first lag of gross fixed capital creation has a direct and significant impact on life expectancy while its current level is negative but not significant statistically. Except for its second lag, which is statistically insignificant at 5%, all the parameters relating to trade openness are positive and statistically significant. It was also discovered that, except for the current level, which was not significant at 5%, inflation at first lag significantly impacted life expectancy positively.</w:t>
      </w:r>
    </w:p>
    <w:p>
      <w:pPr>
        <w:spacing w:after="120" w:line="480" w:lineRule="auto"/>
        <w:jc w:val="both"/>
        <w:rPr>
          <w:rFonts w:ascii="Times New Roman" w:hAnsi="Times New Roman"/>
          <w:sz w:val="24"/>
          <w:szCs w:val="24"/>
        </w:rPr>
      </w:pPr>
      <w:r>
        <w:rPr>
          <w:rFonts w:ascii="Times New Roman" w:hAnsi="Times New Roman"/>
          <w:sz w:val="24"/>
          <w:szCs w:val="24"/>
        </w:rPr>
        <w:t>According to the long-term projections in Table 4.5, high monetary policy rate has a direct link with life expectancy in Nigeria. The indicator’s parameter was not in line with theoretic assumptions, and the result is statistically significant at 5%. It implies that, if well managed by the apex bank, monetary policy rate has the potential to increase life expectancy. According to a scale of magnitude, a 10% increase in monetary policy rate will result in a 2.11% increase in life expectancy. The treasury bill rate has a negative and significant impact on life expectancy. It means that low treasury bill rate has a significant link with a high life expectancy. The study also shows that the positive effect of a 12-month deposit rate on life expectancy is not statistically significant.Low inflation has also been demonstrated to have a favorable and considerable impact on life expectancy. Thus, a 100% decline in inflation rate results in a 0.8% change in life expectancy. Trade openness was found to have a direct and significant impact on life expectancy in Nigeria.However, for the research years, gross fixed capital formation hasan indirect and insignificant effect on life expectancy.</w:t>
      </w:r>
    </w:p>
    <w:p>
      <w:pPr>
        <w:spacing w:after="120" w:line="480" w:lineRule="auto"/>
        <w:jc w:val="both"/>
        <w:rPr>
          <w:rFonts w:ascii="Times New Roman" w:hAnsi="Times New Roman"/>
          <w:sz w:val="24"/>
          <w:szCs w:val="24"/>
        </w:rPr>
      </w:pPr>
      <w:r>
        <w:rPr>
          <w:rFonts w:ascii="Times New Roman" w:hAnsi="Times New Roman"/>
          <w:sz w:val="24"/>
          <w:szCs w:val="24"/>
        </w:rPr>
        <w:t>The adjusted R</w:t>
      </w:r>
      <w:r>
        <w:rPr>
          <w:rFonts w:ascii="Times New Roman" w:hAnsi="Times New Roman"/>
          <w:sz w:val="24"/>
          <w:szCs w:val="24"/>
          <w:vertAlign w:val="superscript"/>
        </w:rPr>
        <w:t xml:space="preserve">2 </w:t>
      </w:r>
      <w:r>
        <w:rPr>
          <w:rFonts w:ascii="Times New Roman" w:hAnsi="Times New Roman"/>
          <w:sz w:val="24"/>
          <w:szCs w:val="24"/>
        </w:rPr>
        <w:t>(coefficient of determination) is high (82.9%), meaning that the variables in the model accounted for around 82.9% of all variations in life expectancy. It only said that variations in money market development and other influencing factors accounted for 82.9% of the range in changes in life expectancy. The model is properly described and statistically significant as shown by the overall test using the F-statistic (98.323), which is statistically significant at the 5% level of significance. Serial autocorrelation is not present in the model, as evidenced by the Durbin-Watson value of 2.0504.</w:t>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Diagnostic Test</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Heteroscedasticity, serial correlation, functional form misspecification, parameter stability, and normality tests are all examined in the calculated ARDL model. Table 4.6 displays the outcomes of these examinations. The serial correlation, normality, and heteroskedasticity tests were all passed by the estimated ARDL model. It indicates that the error terms are not serially associated and have the same variances as their normal distribution. Additionally, the ARDL model passed the Ramsey RESET test, showing that the model is evenly specified. Additionally, the cumulative sum (CUSUM) and cumulative sum of squares (CUSUMSQ), respectively, as shown in Figures 4.5a and 4.5b are steady.</w:t>
      </w:r>
    </w:p>
    <w:p>
      <w:pPr>
        <w:spacing w:after="0" w:line="480" w:lineRule="auto"/>
        <w:rPr>
          <w:rFonts w:ascii="Times New Roman" w:hAnsi="Times New Roman" w:cs="Times New Roman"/>
          <w:sz w:val="24"/>
          <w:szCs w:val="24"/>
        </w:rPr>
      </w:pPr>
      <w:r>
        <w:rPr>
          <w:rFonts w:ascii="Times New Roman" w:hAnsi="Times New Roman" w:cs="Times New Roman"/>
          <w:sz w:val="24"/>
          <w:szCs w:val="24"/>
        </w:rPr>
        <w:br w:type="page"/>
      </w:r>
    </w:p>
    <w:p>
      <w:pPr>
        <w:spacing w:after="0" w:line="240" w:lineRule="auto"/>
        <w:rPr>
          <w:rFonts w:ascii="Times New Roman" w:hAnsi="Times New Roman" w:cs="Times New Roman"/>
          <w:sz w:val="24"/>
          <w:szCs w:val="24"/>
        </w:rPr>
      </w:pPr>
      <w:r>
        <w:rPr>
          <w:rFonts w:ascii="Times New Roman" w:hAnsi="Times New Roman" w:cs="Times New Roman"/>
          <w:b/>
          <w:sz w:val="24"/>
          <w:szCs w:val="24"/>
        </w:rPr>
        <w:t>Table 4.6:</w:t>
      </w:r>
      <w:r>
        <w:rPr>
          <w:rFonts w:ascii="Times New Roman" w:hAnsi="Times New Roman" w:cs="Times New Roman"/>
          <w:sz w:val="24"/>
          <w:szCs w:val="24"/>
        </w:rPr>
        <w:t xml:space="preserve"> Diagnostic tests of selected ARDL model</w:t>
      </w:r>
    </w:p>
    <w:tbl>
      <w:tblPr>
        <w:tblStyle w:val="6"/>
        <w:tblW w:w="0" w:type="auto"/>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077"/>
        <w:gridCol w:w="4820"/>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8897" w:type="dxa"/>
            <w:gridSpan w:val="2"/>
            <w:tcBorders>
              <w:top w:val="single" w:color="auto" w:sz="4" w:space="0"/>
              <w:bottom w:val="single" w:color="auto" w:sz="4" w:space="0"/>
            </w:tcBorders>
            <w:shd w:val="clear" w:color="auto" w:fill="auto"/>
          </w:tcPr>
          <w:p>
            <w:pPr>
              <w:spacing w:before="40" w:after="40" w:line="360" w:lineRule="auto"/>
              <w:ind w:left="11" w:hanging="11"/>
              <w:jc w:val="center"/>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Results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077" w:type="dxa"/>
            <w:tcBorders>
              <w:top w:val="single" w:color="auto" w:sz="4" w:space="0"/>
            </w:tcBorders>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Serial Correlation:</w:t>
            </w:r>
            <w:r>
              <w:rPr>
                <w:rFonts w:ascii="Times New Roman" w:hAnsi="Times New Roman" w:eastAsia="SimSun" w:cs="Times New Roman"/>
                <w:sz w:val="24"/>
                <w:szCs w:val="24"/>
                <w:lang w:eastAsia="en-GB"/>
              </w:rPr>
              <w:t>1.9580 [0.1806]</w:t>
            </w:r>
          </w:p>
        </w:tc>
        <w:tc>
          <w:tcPr>
            <w:tcW w:w="4820" w:type="dxa"/>
            <w:tcBorders>
              <w:top w:val="single" w:color="auto" w:sz="4" w:space="0"/>
            </w:tcBorders>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Normality Test:</w:t>
            </w:r>
            <w:r>
              <w:rPr>
                <w:rFonts w:ascii="Times New Roman" w:hAnsi="Times New Roman" w:eastAsia="SimSun" w:cs="Times New Roman"/>
                <w:sz w:val="24"/>
                <w:szCs w:val="24"/>
                <w:lang w:eastAsia="en-GB"/>
              </w:rPr>
              <w:t>1.4967 [0.4732]</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077" w:type="dxa"/>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Functional Form:</w:t>
            </w:r>
            <w:r>
              <w:rPr>
                <w:rFonts w:ascii="Times New Roman" w:hAnsi="Times New Roman" w:eastAsia="SimSun" w:cs="Times New Roman"/>
                <w:sz w:val="24"/>
                <w:szCs w:val="24"/>
                <w:lang w:eastAsia="en-GB"/>
              </w:rPr>
              <w:t xml:space="preserve"> 0.5818 [0.5699]</w:t>
            </w:r>
          </w:p>
        </w:tc>
        <w:tc>
          <w:tcPr>
            <w:tcW w:w="4820" w:type="dxa"/>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Heteroskedasticity Test:</w:t>
            </w:r>
            <w:r>
              <w:rPr>
                <w:rFonts w:ascii="Times New Roman" w:hAnsi="Times New Roman" w:eastAsia="SimSun" w:cs="Times New Roman"/>
                <w:sz w:val="24"/>
                <w:szCs w:val="24"/>
                <w:lang w:eastAsia="en-GB"/>
              </w:rPr>
              <w:t>1.5255 [0.2053]</w:t>
            </w:r>
          </w:p>
        </w:tc>
      </w:tr>
    </w:tbl>
    <w:p>
      <w:pPr>
        <w:spacing w:after="120" w:line="480" w:lineRule="auto"/>
        <w:jc w:val="both"/>
        <w:rPr>
          <w:rFonts w:ascii="Times New Roman" w:hAnsi="Times New Roman" w:cs="Times New Roman"/>
          <w:sz w:val="24"/>
          <w:szCs w:val="24"/>
        </w:rPr>
      </w:pPr>
      <w:r>
        <w:rPr>
          <w:rFonts w:ascii="Times New Roman" w:hAnsi="Times New Roman" w:cs="Times New Roman"/>
          <w:b/>
          <w:sz w:val="24"/>
          <w:szCs w:val="24"/>
        </w:rPr>
        <w:t>Source:</w:t>
      </w:r>
      <w:r>
        <w:rPr>
          <w:rFonts w:ascii="Times New Roman" w:hAnsi="Times New Roman" w:cs="Times New Roman"/>
          <w:sz w:val="24"/>
          <w:szCs w:val="24"/>
        </w:rPr>
        <w:t xml:space="preserve"> Author’s computation (2023).</w:t>
      </w:r>
    </w:p>
    <w:p>
      <w:pPr>
        <w:spacing w:after="120" w:line="480" w:lineRule="auto"/>
        <w:jc w:val="both"/>
        <w:rPr>
          <w:rFonts w:ascii="Times New Roman" w:hAnsi="Times New Roman" w:cs="Times New Roman"/>
          <w:sz w:val="24"/>
          <w:szCs w:val="24"/>
        </w:rPr>
      </w:pPr>
    </w:p>
    <w:tbl>
      <w:tblPr>
        <w:tblStyle w:val="22"/>
        <w:tblW w:w="10758" w:type="dxa"/>
        <w:tblInd w:w="-60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368"/>
        <w:gridCol w:w="53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368" w:type="dxa"/>
          </w:tcPr>
          <w:p>
            <w:pPr>
              <w:spacing w:after="0" w:line="276" w:lineRule="auto"/>
              <w:ind w:left="-108" w:right="-51"/>
              <w:jc w:val="both"/>
              <w:rPr>
                <w:rFonts w:ascii="Times New Roman" w:hAnsi="Times New Roman" w:cs="Times New Roman"/>
                <w:sz w:val="24"/>
                <w:szCs w:val="24"/>
              </w:rPr>
            </w:pPr>
            <w:r>
              <w:object>
                <v:shape id="_x0000_i1041" o:spt="75" type="#_x0000_t75" style="height:255pt;width:264.75pt;" o:ole="t" filled="f" o:preferrelative="t" stroked="f" coordsize="21600,21600">
                  <v:path/>
                  <v:fill on="f" focussize="0,0"/>
                  <v:stroke on="f" joinstyle="miter"/>
                  <v:imagedata r:id="rId47" o:title=""/>
                  <o:lock v:ext="edit" aspectratio="t"/>
                  <w10:wrap type="none"/>
                  <w10:anchorlock/>
                </v:shape>
                <o:OLEObject Type="Embed" ProgID="EViews.Workfile.2" ShapeID="_x0000_i1041" DrawAspect="Content" ObjectID="_1468075741" r:id="rId46">
                  <o:LockedField>false</o:LockedField>
                </o:OLEObject>
              </w:object>
            </w:r>
          </w:p>
        </w:tc>
        <w:tc>
          <w:tcPr>
            <w:tcW w:w="5390" w:type="dxa"/>
          </w:tcPr>
          <w:p>
            <w:pPr>
              <w:spacing w:after="0" w:line="276" w:lineRule="auto"/>
              <w:ind w:left="-108" w:right="-51"/>
              <w:jc w:val="both"/>
              <w:rPr>
                <w:rFonts w:ascii="Times New Roman" w:hAnsi="Times New Roman" w:cs="Times New Roman"/>
                <w:sz w:val="24"/>
                <w:szCs w:val="24"/>
              </w:rPr>
            </w:pPr>
            <w:r>
              <w:object>
                <v:shape id="_x0000_i1042" o:spt="75" type="#_x0000_t75" style="height:255pt;width:264.75pt;" o:ole="t" filled="f" o:preferrelative="t" stroked="f" coordsize="21600,21600">
                  <v:path/>
                  <v:fill on="f" focussize="0,0"/>
                  <v:stroke on="f" joinstyle="miter"/>
                  <v:imagedata r:id="rId49" o:title=""/>
                  <o:lock v:ext="edit" aspectratio="t"/>
                  <w10:wrap type="none"/>
                  <w10:anchorlock/>
                </v:shape>
                <o:OLEObject Type="Embed" ProgID="EViews.Workfile.2" ShapeID="_x0000_i1042" DrawAspect="Content" ObjectID="_1468075742" r:id="rId48">
                  <o:LockedField>false</o:LockedField>
                </o:OLEObject>
              </w:objec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368" w:type="dxa"/>
          </w:tcPr>
          <w:p>
            <w:pPr>
              <w:spacing w:after="0" w:line="276" w:lineRule="auto"/>
              <w:ind w:left="-108" w:right="-51"/>
              <w:jc w:val="both"/>
              <w:rPr>
                <w:rFonts w:ascii="Times New Roman" w:hAnsi="Times New Roman" w:cs="Times New Roman"/>
                <w:sz w:val="24"/>
                <w:szCs w:val="24"/>
              </w:rPr>
            </w:pPr>
            <w:r>
              <w:rPr>
                <w:rFonts w:ascii="Times New Roman" w:hAnsi="Times New Roman" w:cs="Times New Roman"/>
                <w:b/>
                <w:sz w:val="24"/>
                <w:szCs w:val="24"/>
              </w:rPr>
              <w:t>Figure 4.5a:</w:t>
            </w:r>
            <w:r>
              <w:rPr>
                <w:rFonts w:ascii="Times New Roman" w:hAnsi="Times New Roman" w:cs="Times New Roman"/>
                <w:sz w:val="24"/>
                <w:szCs w:val="24"/>
              </w:rPr>
              <w:t xml:space="preserve"> Cumulative Sum (CUSUM)</w:t>
            </w:r>
          </w:p>
        </w:tc>
        <w:tc>
          <w:tcPr>
            <w:tcW w:w="5390" w:type="dxa"/>
          </w:tcPr>
          <w:p>
            <w:pPr>
              <w:spacing w:after="0" w:line="276" w:lineRule="auto"/>
              <w:ind w:left="-108" w:right="-51"/>
              <w:jc w:val="both"/>
              <w:rPr>
                <w:rFonts w:ascii="Times New Roman" w:hAnsi="Times New Roman" w:cs="Times New Roman"/>
                <w:sz w:val="24"/>
                <w:szCs w:val="24"/>
              </w:rPr>
            </w:pPr>
            <w:r>
              <w:rPr>
                <w:rFonts w:ascii="Times New Roman" w:hAnsi="Times New Roman" w:cs="Times New Roman"/>
                <w:b/>
                <w:sz w:val="24"/>
                <w:szCs w:val="24"/>
              </w:rPr>
              <w:t>Figure 4.5b:</w:t>
            </w:r>
            <w:r>
              <w:rPr>
                <w:rFonts w:ascii="Times New Roman" w:hAnsi="Times New Roman" w:cs="Times New Roman"/>
                <w:sz w:val="24"/>
                <w:szCs w:val="24"/>
              </w:rPr>
              <w:t xml:space="preserve"> Cumulative Sum of Square (CUSUMQ)</w:t>
            </w:r>
          </w:p>
        </w:tc>
      </w:tr>
    </w:tbl>
    <w:p>
      <w:pPr>
        <w:rPr>
          <w:rFonts w:ascii="Times New Roman" w:hAnsi="Times New Roman" w:cs="Times New Roman"/>
          <w:sz w:val="24"/>
          <w:szCs w:val="24"/>
        </w:rPr>
      </w:pPr>
      <w:r>
        <w:rPr>
          <w:rFonts w:ascii="Times New Roman" w:hAnsi="Times New Roman" w:cs="Times New Roman"/>
          <w:sz w:val="24"/>
          <w:szCs w:val="24"/>
        </w:rPr>
        <w:br w:type="page"/>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C) Short-run and Long-run Estimates of Money Market Development and Child Mortality</w:t>
      </w:r>
    </w:p>
    <w:p>
      <w:pPr>
        <w:spacing w:after="0" w:line="480" w:lineRule="auto"/>
        <w:jc w:val="both"/>
        <w:rPr>
          <w:rFonts w:ascii="Times New Roman" w:hAnsi="Times New Roman"/>
          <w:sz w:val="24"/>
          <w:szCs w:val="24"/>
        </w:rPr>
      </w:pPr>
      <w:r>
        <w:rPr>
          <w:rFonts w:ascii="Times New Roman" w:hAnsi="Times New Roman"/>
          <w:sz w:val="24"/>
          <w:szCs w:val="24"/>
        </w:rPr>
        <w:t>In this section, this study addressed the null hypothesis that money market development has no significant effect on under-5 mortality in Nigeria. Using the estimated ARDL approach, which was fully discussed in the preceding chapter, this study evaluates both the short-run and long-run relationship estimates of money market development and other controllable factors on child mortality in Nigeria. A combination of short-run and long-run estimates of the relationships among the series taken into consideration in this study makes up the estimated ARDL model. Table 4.7 provides conclusive evidence for our empirical estimations based on data on money market development, gross fixed capital creation, trade openness, and inflation rate.</w:t>
      </w:r>
    </w:p>
    <w:p>
      <w:pPr>
        <w:spacing w:after="0" w:line="480" w:lineRule="auto"/>
        <w:jc w:val="both"/>
        <w:rPr>
          <w:rFonts w:ascii="Times New Roman" w:hAnsi="Times New Roman"/>
          <w:sz w:val="24"/>
          <w:szCs w:val="24"/>
        </w:rPr>
      </w:pPr>
      <w:r>
        <w:rPr>
          <w:rFonts w:ascii="Times New Roman" w:hAnsi="Times New Roman"/>
          <w:sz w:val="24"/>
          <w:szCs w:val="24"/>
        </w:rPr>
        <w:t>The results of the short-run estimation demonstrate the error correction mechanism, which gauges the rate or intensity of adjustment. It measures the rate of adjustment at which the outcome variable adjusts to changes in the explanatory variables. The model’s dynamic pattern is displayed in the short run analysis, which also checks to see if the model’s dynamics haven’t been restricted by erroneous lag length specifications. The model’s lag length was set at three to ensure an adequate degree of freedom based on automatic selection of the Akaike Information Criterion, and the ARDL test automatically select the lag duration on all variables. Table 4.7 shows the short-term estimates of the relationship between money market development and child mortality. The coefficient of the ECT is found to be negative and statistically significant at the conventional level. The ECT value (-0.0</w:t>
      </w:r>
      <w:r>
        <w:rPr>
          <w:rFonts w:ascii="Times New Roman" w:hAnsi="Times New Roman" w:cs="Times New Roman"/>
          <w:sz w:val="24"/>
          <w:szCs w:val="24"/>
        </w:rPr>
        <w:t>198</w:t>
      </w:r>
      <w:r>
        <w:rPr>
          <w:rFonts w:ascii="Times New Roman" w:hAnsi="Times New Roman"/>
          <w:sz w:val="24"/>
          <w:szCs w:val="24"/>
        </w:rPr>
        <w:t>) implied that the model corrects its short-run disequilibrium by 1.98% speed of adjustment to return to the long run equilibrium.</w:t>
      </w:r>
    </w:p>
    <w:p>
      <w:pPr>
        <w:spacing w:after="0" w:line="480" w:lineRule="auto"/>
        <w:rPr>
          <w:rFonts w:ascii="Times New Roman" w:hAnsi="Times New Roman"/>
          <w:sz w:val="24"/>
          <w:szCs w:val="24"/>
        </w:rPr>
      </w:pPr>
      <w:r>
        <w:rPr>
          <w:rFonts w:ascii="Times New Roman" w:hAnsi="Times New Roman"/>
          <w:sz w:val="24"/>
          <w:szCs w:val="24"/>
        </w:rPr>
        <w:br w:type="page"/>
      </w:r>
    </w:p>
    <w:p>
      <w:pPr>
        <w:spacing w:after="0"/>
        <w:jc w:val="both"/>
        <w:rPr>
          <w:rFonts w:ascii="Times New Roman" w:hAnsi="Times New Roman"/>
          <w:sz w:val="24"/>
          <w:szCs w:val="24"/>
        </w:rPr>
      </w:pPr>
      <w:r>
        <w:rPr>
          <w:rFonts w:ascii="Times New Roman" w:hAnsi="Times New Roman"/>
          <w:b/>
          <w:sz w:val="24"/>
          <w:szCs w:val="24"/>
        </w:rPr>
        <w:t xml:space="preserve">Table 4.7: </w:t>
      </w:r>
      <w:r>
        <w:rPr>
          <w:rFonts w:ascii="Times New Roman" w:hAnsi="Times New Roman"/>
          <w:sz w:val="24"/>
          <w:szCs w:val="24"/>
        </w:rPr>
        <w:t>Results of estimated ARDL model of child mortality</w:t>
      </w:r>
    </w:p>
    <w:tbl>
      <w:tblPr>
        <w:tblStyle w:val="6"/>
        <w:tblW w:w="13193" w:type="dxa"/>
        <w:tblInd w:w="-142"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385"/>
        <w:gridCol w:w="1717"/>
        <w:gridCol w:w="180"/>
        <w:gridCol w:w="102"/>
        <w:gridCol w:w="1419"/>
        <w:gridCol w:w="810"/>
        <w:gridCol w:w="891"/>
        <w:gridCol w:w="1701"/>
        <w:gridCol w:w="997"/>
        <w:gridCol w:w="997"/>
        <w:gridCol w:w="997"/>
        <w:gridCol w:w="997"/>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9205" w:type="dxa"/>
            <w:gridSpan w:val="8"/>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 xml:space="preserve">Dependent Variable: </w:t>
            </w:r>
            <w:r>
              <w:rPr>
                <w:rFonts w:ascii="Times New Roman" w:hAnsi="Times New Roman" w:cs="Times New Roman"/>
                <w:sz w:val="24"/>
                <w:szCs w:val="24"/>
              </w:rPr>
              <w:t>Child Mortality (un5m, log)</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9205" w:type="dxa"/>
            <w:gridSpan w:val="8"/>
            <w:tcBorders>
              <w:bottom w:val="nil"/>
            </w:tcBorders>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 xml:space="preserve">Selected Model: </w:t>
            </w:r>
            <w:r>
              <w:rPr>
                <w:rFonts w:ascii="Times New Roman" w:hAnsi="Times New Roman" w:cs="Times New Roman"/>
                <w:sz w:val="24"/>
                <w:szCs w:val="24"/>
              </w:rPr>
              <w:t>ARDL(3, 1, 1, 3, 3, 3,3)</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83" w:hRule="atLeast"/>
        </w:trPr>
        <w:tc>
          <w:tcPr>
            <w:tcW w:w="4384" w:type="dxa"/>
            <w:gridSpan w:val="4"/>
            <w:tcBorders>
              <w:top w:val="nil"/>
              <w:bottom w:val="single" w:color="auto" w:sz="4" w:space="0"/>
            </w:tcBorders>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Sample:</w:t>
            </w:r>
            <w:r>
              <w:rPr>
                <w:rFonts w:ascii="Times New Roman" w:hAnsi="Times New Roman" w:cs="Times New Roman"/>
                <w:sz w:val="24"/>
                <w:szCs w:val="24"/>
              </w:rPr>
              <w:t xml:space="preserve"> 1985 2022</w:t>
            </w:r>
          </w:p>
        </w:tc>
        <w:tc>
          <w:tcPr>
            <w:tcW w:w="4821" w:type="dxa"/>
            <w:gridSpan w:val="4"/>
            <w:tcBorders>
              <w:top w:val="nil"/>
              <w:bottom w:val="single" w:color="auto" w:sz="4" w:space="0"/>
            </w:tcBorders>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Included observations:</w:t>
            </w:r>
            <w:r>
              <w:rPr>
                <w:rFonts w:ascii="Times New Roman" w:hAnsi="Times New Roman" w:cs="Times New Roman"/>
                <w:sz w:val="24"/>
                <w:szCs w:val="24"/>
              </w:rPr>
              <w:t xml:space="preserve"> 35</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9205" w:type="dxa"/>
            <w:gridSpan w:val="8"/>
            <w:tcBorders>
              <w:top w:val="single" w:color="auto" w:sz="4" w:space="0"/>
              <w:bottom w:val="single" w:color="auto" w:sz="4" w:space="0"/>
            </w:tcBorders>
            <w:vAlign w:val="bottom"/>
          </w:tcPr>
          <w:p>
            <w:pPr>
              <w:autoSpaceDE w:val="0"/>
              <w:autoSpaceDN w:val="0"/>
              <w:adjustRightInd w:val="0"/>
              <w:spacing w:after="0" w:line="276" w:lineRule="auto"/>
              <w:jc w:val="center"/>
              <w:rPr>
                <w:rFonts w:ascii="Times New Roman" w:hAnsi="Times New Roman" w:cs="Times New Roman"/>
                <w:b/>
                <w:i/>
                <w:sz w:val="24"/>
                <w:szCs w:val="24"/>
              </w:rPr>
            </w:pPr>
            <w:r>
              <w:rPr>
                <w:rFonts w:ascii="Times New Roman" w:hAnsi="Times New Roman" w:cs="Times New Roman"/>
                <w:b/>
                <w:i/>
                <w:sz w:val="24"/>
                <w:szCs w:val="24"/>
              </w:rPr>
              <w:t>Short-Run Estimates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tcBorders>
              <w:top w:val="single" w:color="auto" w:sz="4" w:space="0"/>
              <w:bottom w:val="single" w:color="auto" w:sz="4" w:space="0"/>
            </w:tcBorders>
            <w:vAlign w:val="center"/>
          </w:tcPr>
          <w:p>
            <w:pPr>
              <w:autoSpaceDE w:val="0"/>
              <w:autoSpaceDN w:val="0"/>
              <w:adjustRightInd w:val="0"/>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Variable</w:t>
            </w:r>
          </w:p>
        </w:tc>
        <w:tc>
          <w:tcPr>
            <w:tcW w:w="1717" w:type="dxa"/>
            <w:tcBorders>
              <w:top w:val="single" w:color="auto" w:sz="4" w:space="0"/>
              <w:bottom w:val="single" w:color="auto" w:sz="4" w:space="0"/>
            </w:tcBorders>
            <w:vAlign w:val="center"/>
          </w:tcPr>
          <w:p>
            <w:pPr>
              <w:autoSpaceDE w:val="0"/>
              <w:autoSpaceDN w:val="0"/>
              <w:adjustRightInd w:val="0"/>
              <w:spacing w:after="0" w:line="276" w:lineRule="auto"/>
              <w:ind w:right="11"/>
              <w:jc w:val="center"/>
              <w:rPr>
                <w:rFonts w:ascii="Times New Roman" w:hAnsi="Times New Roman" w:cs="Times New Roman"/>
                <w:b/>
                <w:sz w:val="24"/>
                <w:szCs w:val="24"/>
              </w:rPr>
            </w:pPr>
            <w:r>
              <w:rPr>
                <w:rFonts w:ascii="Times New Roman" w:hAnsi="Times New Roman" w:cs="Times New Roman"/>
                <w:b/>
                <w:sz w:val="24"/>
                <w:szCs w:val="24"/>
              </w:rPr>
              <w:t>Coefficient</w:t>
            </w:r>
          </w:p>
        </w:tc>
        <w:tc>
          <w:tcPr>
            <w:tcW w:w="1701" w:type="dxa"/>
            <w:gridSpan w:val="3"/>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sz w:val="24"/>
                <w:szCs w:val="24"/>
              </w:rPr>
            </w:pPr>
            <w:r>
              <w:rPr>
                <w:rFonts w:ascii="Times New Roman" w:hAnsi="Times New Roman" w:cs="Times New Roman"/>
                <w:b/>
                <w:sz w:val="24"/>
                <w:szCs w:val="24"/>
              </w:rPr>
              <w:t>Std. Error</w:t>
            </w:r>
          </w:p>
        </w:tc>
        <w:tc>
          <w:tcPr>
            <w:tcW w:w="1701" w:type="dxa"/>
            <w:gridSpan w:val="2"/>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sz w:val="24"/>
                <w:szCs w:val="24"/>
              </w:rPr>
            </w:pPr>
            <w:r>
              <w:rPr>
                <w:rFonts w:ascii="Times New Roman" w:hAnsi="Times New Roman" w:cs="Times New Roman"/>
                <w:b/>
                <w:sz w:val="24"/>
                <w:szCs w:val="24"/>
              </w:rPr>
              <w:t>t-Statistic</w:t>
            </w:r>
          </w:p>
        </w:tc>
        <w:tc>
          <w:tcPr>
            <w:tcW w:w="1701" w:type="dxa"/>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sz w:val="24"/>
                <w:szCs w:val="24"/>
              </w:rPr>
            </w:pPr>
            <w:r>
              <w:rPr>
                <w:rFonts w:ascii="Times New Roman" w:hAnsi="Times New Roman" w:cs="Times New Roman"/>
                <w:b/>
                <w:sz w:val="24"/>
                <w:szCs w:val="24"/>
              </w:rPr>
              <w:t>Prob.</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tcBorders>
              <w:top w:val="single" w:color="auto" w:sz="4" w:space="0"/>
            </w:tcBorders>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LOG(UN5M(-1))</w:t>
            </w:r>
          </w:p>
        </w:tc>
        <w:tc>
          <w:tcPr>
            <w:tcW w:w="1717" w:type="dxa"/>
            <w:tcBorders>
              <w:top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3.552319</w:t>
            </w:r>
          </w:p>
        </w:tc>
        <w:tc>
          <w:tcPr>
            <w:tcW w:w="1701" w:type="dxa"/>
            <w:gridSpan w:val="3"/>
            <w:tcBorders>
              <w:top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0.208415</w:t>
            </w:r>
          </w:p>
        </w:tc>
        <w:tc>
          <w:tcPr>
            <w:tcW w:w="1701" w:type="dxa"/>
            <w:gridSpan w:val="2"/>
            <w:tcBorders>
              <w:top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17.04446</w:t>
            </w:r>
          </w:p>
        </w:tc>
        <w:tc>
          <w:tcPr>
            <w:tcW w:w="1701" w:type="dxa"/>
            <w:tcBorders>
              <w:top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LOG(UN5M(-2))</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-3.669305</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0.288259</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-12.72918</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(MPR)</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0.000211</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0.000140</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1.505717</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0.1603</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(TBR)</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0.001234</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0.000167</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7.382933</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(MDR)</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-0.000186</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0.000125</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-1.495520</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0.1629</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(MDR(-1))</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0.002618</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0.000242</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10.83667</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(MDR(-2))</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0.001452</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0.000202</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7.182237</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(INF)</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0.000358</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4.25E-05</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8.416851</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(INF(-1))</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-0.000495</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5.59E-05</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-8.853249</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(INF(-2))</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-0.000439</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4.92E-05</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-8.915741</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(TOPEN)</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0.000187</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6.29E-05</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2.967640</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0.0128</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(TOPEN(-1))</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0.000238</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4.57E-05</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5.197214</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0.0003</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(TOPEN(-2))</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-0.000105</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4.48E-05</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-2.340017</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0.0392</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(GFCF)</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0.000401</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0.000119</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3.366106</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0.0063</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(GFCF(-1))</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0.000628</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0.000144</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4.359399</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(GFCF(-2))</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0.000436</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0.000138</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3.161068</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0.0091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tcBorders>
              <w:bottom w:val="single" w:color="auto" w:sz="4" w:space="0"/>
            </w:tcBorders>
            <w:vAlign w:val="center"/>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ECT(-1)</w:t>
            </w:r>
          </w:p>
        </w:tc>
        <w:tc>
          <w:tcPr>
            <w:tcW w:w="1717" w:type="dxa"/>
            <w:tcBorders>
              <w:bottom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-0.019801</w:t>
            </w:r>
          </w:p>
        </w:tc>
        <w:tc>
          <w:tcPr>
            <w:tcW w:w="1701" w:type="dxa"/>
            <w:gridSpan w:val="3"/>
            <w:tcBorders>
              <w:bottom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0.001793</w:t>
            </w:r>
          </w:p>
        </w:tc>
        <w:tc>
          <w:tcPr>
            <w:tcW w:w="1701" w:type="dxa"/>
            <w:gridSpan w:val="2"/>
            <w:tcBorders>
              <w:bottom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-11.04466</w:t>
            </w:r>
          </w:p>
        </w:tc>
        <w:tc>
          <w:tcPr>
            <w:tcW w:w="1701" w:type="dxa"/>
            <w:tcBorders>
              <w:bottom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9205" w:type="dxa"/>
            <w:gridSpan w:val="8"/>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i/>
                <w:sz w:val="24"/>
                <w:szCs w:val="24"/>
              </w:rPr>
            </w:pPr>
            <w:r>
              <w:rPr>
                <w:rFonts w:ascii="Times New Roman" w:hAnsi="Times New Roman" w:cs="Times New Roman"/>
                <w:b/>
                <w:i/>
                <w:sz w:val="24"/>
                <w:szCs w:val="24"/>
              </w:rPr>
              <w:t>Long-Run Estimates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tcBorders>
              <w:top w:val="single" w:color="auto" w:sz="4" w:space="0"/>
            </w:tcBorders>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MPR</w:t>
            </w:r>
          </w:p>
        </w:tc>
        <w:tc>
          <w:tcPr>
            <w:tcW w:w="1717" w:type="dxa"/>
            <w:tcBorders>
              <w:top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-0.007801</w:t>
            </w:r>
          </w:p>
        </w:tc>
        <w:tc>
          <w:tcPr>
            <w:tcW w:w="1701" w:type="dxa"/>
            <w:gridSpan w:val="3"/>
            <w:tcBorders>
              <w:top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0.025535</w:t>
            </w:r>
          </w:p>
        </w:tc>
        <w:tc>
          <w:tcPr>
            <w:tcW w:w="1701" w:type="dxa"/>
            <w:gridSpan w:val="2"/>
            <w:tcBorders>
              <w:top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-0.305513</w:t>
            </w:r>
          </w:p>
        </w:tc>
        <w:tc>
          <w:tcPr>
            <w:tcW w:w="1701" w:type="dxa"/>
            <w:tcBorders>
              <w:top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0.7657</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TBR</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0.096204</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0.065785</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1.462408</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0.1716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MDR</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-0.115379</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0.087739</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-1.315019</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0.2153</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INF</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0.053650</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0.041564</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1.290782</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0.2232</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TOPEN</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-0.013088</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0.011926</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-1.097484</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0.2959</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GFCF</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0.023830</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0.006987</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3.410743</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0.0058</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88" w:hRule="atLeast"/>
        </w:trPr>
        <w:tc>
          <w:tcPr>
            <w:tcW w:w="2385" w:type="dxa"/>
            <w:tcBorders>
              <w:bottom w:val="single" w:color="auto" w:sz="4" w:space="0"/>
            </w:tcBorders>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C</w:t>
            </w:r>
          </w:p>
        </w:tc>
        <w:tc>
          <w:tcPr>
            <w:tcW w:w="1717" w:type="dxa"/>
            <w:tcBorders>
              <w:bottom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3.271211</w:t>
            </w:r>
          </w:p>
        </w:tc>
        <w:tc>
          <w:tcPr>
            <w:tcW w:w="1701" w:type="dxa"/>
            <w:gridSpan w:val="3"/>
            <w:tcBorders>
              <w:bottom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1.127921</w:t>
            </w:r>
          </w:p>
        </w:tc>
        <w:tc>
          <w:tcPr>
            <w:tcW w:w="1701" w:type="dxa"/>
            <w:gridSpan w:val="2"/>
            <w:tcBorders>
              <w:bottom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2.900213</w:t>
            </w:r>
          </w:p>
        </w:tc>
        <w:tc>
          <w:tcPr>
            <w:tcW w:w="1701" w:type="dxa"/>
            <w:tcBorders>
              <w:bottom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0.0144</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58" w:hRule="atLeast"/>
        </w:trPr>
        <w:tc>
          <w:tcPr>
            <w:tcW w:w="9205" w:type="dxa"/>
            <w:gridSpan w:val="8"/>
            <w:tcBorders>
              <w:top w:val="single" w:color="auto" w:sz="4" w:space="0"/>
            </w:tcBorders>
            <w:vAlign w:val="bottom"/>
          </w:tcPr>
          <w:p>
            <w:pPr>
              <w:autoSpaceDE w:val="0"/>
              <w:autoSpaceDN w:val="0"/>
              <w:adjustRightInd w:val="0"/>
              <w:spacing w:after="0" w:line="276" w:lineRule="auto"/>
              <w:jc w:val="center"/>
              <w:rPr>
                <w:rFonts w:ascii="Times New Roman" w:hAnsi="Times New Roman" w:cs="Times New Roman"/>
                <w:sz w:val="10"/>
                <w:szCs w:val="10"/>
              </w:rPr>
            </w:pPr>
          </w:p>
        </w:tc>
        <w:tc>
          <w:tcPr>
            <w:tcW w:w="997" w:type="dxa"/>
            <w:vAlign w:val="bottom"/>
          </w:tcPr>
          <w:p>
            <w:pPr>
              <w:autoSpaceDE w:val="0"/>
              <w:autoSpaceDN w:val="0"/>
              <w:adjustRightInd w:val="0"/>
              <w:spacing w:after="0" w:line="276" w:lineRule="auto"/>
              <w:jc w:val="center"/>
              <w:rPr>
                <w:rFonts w:ascii="Times New Roman" w:hAnsi="Times New Roman" w:cs="Times New Roman"/>
                <w:sz w:val="24"/>
                <w:szCs w:val="24"/>
              </w:rPr>
            </w:pPr>
          </w:p>
        </w:tc>
        <w:tc>
          <w:tcPr>
            <w:tcW w:w="997" w:type="dxa"/>
            <w:vAlign w:val="bottom"/>
          </w:tcPr>
          <w:p>
            <w:pPr>
              <w:autoSpaceDE w:val="0"/>
              <w:autoSpaceDN w:val="0"/>
              <w:adjustRightInd w:val="0"/>
              <w:spacing w:after="0" w:line="276" w:lineRule="auto"/>
              <w:jc w:val="center"/>
              <w:rPr>
                <w:rFonts w:ascii="Times New Roman" w:hAnsi="Times New Roman" w:cs="Times New Roman"/>
                <w:sz w:val="24"/>
                <w:szCs w:val="24"/>
              </w:rPr>
            </w:pPr>
          </w:p>
        </w:tc>
        <w:tc>
          <w:tcPr>
            <w:tcW w:w="997" w:type="dxa"/>
            <w:vAlign w:val="bottom"/>
          </w:tcPr>
          <w:p>
            <w:pPr>
              <w:autoSpaceDE w:val="0"/>
              <w:autoSpaceDN w:val="0"/>
              <w:adjustRightInd w:val="0"/>
              <w:spacing w:after="0" w:line="276" w:lineRule="auto"/>
              <w:jc w:val="center"/>
              <w:rPr>
                <w:rFonts w:ascii="Times New Roman" w:hAnsi="Times New Roman" w:cs="Times New Roman"/>
                <w:sz w:val="24"/>
                <w:szCs w:val="24"/>
              </w:rPr>
            </w:pPr>
          </w:p>
        </w:tc>
        <w:tc>
          <w:tcPr>
            <w:tcW w:w="997" w:type="dxa"/>
            <w:vAlign w:val="bottom"/>
          </w:tcPr>
          <w:p>
            <w:pPr>
              <w:autoSpaceDE w:val="0"/>
              <w:autoSpaceDN w:val="0"/>
              <w:adjustRightInd w:val="0"/>
              <w:spacing w:after="0" w:line="276" w:lineRule="auto"/>
              <w:jc w:val="center"/>
              <w:rPr>
                <w:rFonts w:ascii="Times New Roman" w:hAnsi="Times New Roman" w:cs="Times New Roman"/>
                <w:sz w:val="24"/>
                <w:szCs w:val="24"/>
              </w:rPr>
            </w:pP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vAlign w:val="bottom"/>
          </w:tcPr>
          <w:p>
            <w:pPr>
              <w:autoSpaceDE w:val="0"/>
              <w:autoSpaceDN w:val="0"/>
              <w:adjustRightInd w:val="0"/>
              <w:spacing w:after="0" w:line="276" w:lineRule="auto"/>
              <w:rPr>
                <w:rFonts w:ascii="Times New Roman" w:hAnsi="Times New Roman" w:cs="Times New Roman"/>
                <w:b/>
                <w:sz w:val="24"/>
                <w:szCs w:val="24"/>
              </w:rPr>
            </w:pPr>
            <w:r>
              <w:rPr>
                <w:rFonts w:ascii="Times New Roman" w:hAnsi="Times New Roman" w:cs="Times New Roman"/>
                <w:b/>
                <w:sz w:val="24"/>
                <w:szCs w:val="24"/>
              </w:rPr>
              <w:t>R-squared</w:t>
            </w:r>
          </w:p>
        </w:tc>
        <w:tc>
          <w:tcPr>
            <w:tcW w:w="1897"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0.8866</w:t>
            </w:r>
          </w:p>
        </w:tc>
        <w:tc>
          <w:tcPr>
            <w:tcW w:w="2331" w:type="dxa"/>
            <w:gridSpan w:val="3"/>
            <w:vAlign w:val="bottom"/>
          </w:tcPr>
          <w:p>
            <w:pPr>
              <w:autoSpaceDE w:val="0"/>
              <w:autoSpaceDN w:val="0"/>
              <w:adjustRightInd w:val="0"/>
              <w:spacing w:after="0" w:line="276" w:lineRule="auto"/>
              <w:ind w:right="10"/>
              <w:rPr>
                <w:rFonts w:ascii="Times New Roman" w:hAnsi="Times New Roman" w:cs="Times New Roman"/>
                <w:b/>
                <w:sz w:val="24"/>
                <w:szCs w:val="24"/>
              </w:rPr>
            </w:pPr>
            <w:r>
              <w:rPr>
                <w:rFonts w:ascii="Times New Roman" w:hAnsi="Times New Roman" w:cs="Times New Roman"/>
                <w:b/>
                <w:sz w:val="24"/>
                <w:szCs w:val="24"/>
              </w:rPr>
              <w:t>F-stat</w:t>
            </w:r>
          </w:p>
        </w:tc>
        <w:tc>
          <w:tcPr>
            <w:tcW w:w="2592"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144.78 (0.0000)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gridAfter w:val="4"/>
          <w:wAfter w:w="3988" w:type="dxa"/>
          <w:trHeight w:val="225" w:hRule="atLeast"/>
        </w:trPr>
        <w:tc>
          <w:tcPr>
            <w:tcW w:w="2385" w:type="dxa"/>
            <w:vAlign w:val="bottom"/>
          </w:tcPr>
          <w:p>
            <w:pPr>
              <w:autoSpaceDE w:val="0"/>
              <w:autoSpaceDN w:val="0"/>
              <w:adjustRightInd w:val="0"/>
              <w:spacing w:after="0" w:line="276" w:lineRule="auto"/>
              <w:rPr>
                <w:rFonts w:ascii="Times New Roman" w:hAnsi="Times New Roman" w:cs="Times New Roman"/>
                <w:b/>
                <w:sz w:val="24"/>
                <w:szCs w:val="24"/>
              </w:rPr>
            </w:pPr>
            <w:r>
              <w:rPr>
                <w:rFonts w:ascii="Times New Roman" w:hAnsi="Times New Roman" w:cs="Times New Roman"/>
                <w:b/>
                <w:sz w:val="24"/>
                <w:szCs w:val="24"/>
              </w:rPr>
              <w:t>Adj. R-squared</w:t>
            </w:r>
          </w:p>
        </w:tc>
        <w:tc>
          <w:tcPr>
            <w:tcW w:w="1897"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0.7746</w:t>
            </w:r>
          </w:p>
        </w:tc>
        <w:tc>
          <w:tcPr>
            <w:tcW w:w="2331" w:type="dxa"/>
            <w:gridSpan w:val="3"/>
            <w:vAlign w:val="bottom"/>
          </w:tcPr>
          <w:p>
            <w:pPr>
              <w:autoSpaceDE w:val="0"/>
              <w:autoSpaceDN w:val="0"/>
              <w:adjustRightInd w:val="0"/>
              <w:spacing w:after="0" w:line="276" w:lineRule="auto"/>
              <w:ind w:right="10"/>
              <w:rPr>
                <w:rFonts w:ascii="Times New Roman" w:hAnsi="Times New Roman" w:cs="Times New Roman"/>
                <w:b/>
                <w:sz w:val="24"/>
                <w:szCs w:val="24"/>
              </w:rPr>
            </w:pPr>
            <w:r>
              <w:rPr>
                <w:rFonts w:ascii="Times New Roman" w:hAnsi="Times New Roman" w:cs="Times New Roman"/>
                <w:b/>
                <w:sz w:val="24"/>
                <w:szCs w:val="24"/>
              </w:rPr>
              <w:t>D-Watson</w:t>
            </w:r>
          </w:p>
        </w:tc>
        <w:tc>
          <w:tcPr>
            <w:tcW w:w="2592"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2.0987</w:t>
            </w:r>
          </w:p>
        </w:tc>
      </w:tr>
    </w:tbl>
    <w:p>
      <w:pPr>
        <w:spacing w:after="120" w:line="276" w:lineRule="auto"/>
        <w:jc w:val="both"/>
        <w:rPr>
          <w:rFonts w:ascii="Times New Roman" w:hAnsi="Times New Roman"/>
          <w:sz w:val="24"/>
          <w:szCs w:val="24"/>
        </w:rPr>
      </w:pPr>
      <w:r>
        <w:rPr>
          <w:rFonts w:ascii="Times New Roman" w:hAnsi="Times New Roman"/>
          <w:b/>
          <w:sz w:val="24"/>
          <w:szCs w:val="24"/>
        </w:rPr>
        <w:t>Source:</w:t>
      </w:r>
      <w:r>
        <w:rPr>
          <w:rFonts w:ascii="Times New Roman" w:hAnsi="Times New Roman"/>
          <w:sz w:val="24"/>
          <w:szCs w:val="24"/>
        </w:rPr>
        <w:t xml:space="preserve"> Author’s computation (2023).</w:t>
      </w:r>
    </w:p>
    <w:p>
      <w:pPr>
        <w:rPr>
          <w:rFonts w:ascii="Times New Roman" w:hAnsi="Times New Roman"/>
          <w:sz w:val="24"/>
          <w:szCs w:val="24"/>
        </w:rPr>
      </w:pPr>
      <w:r>
        <w:rPr>
          <w:rFonts w:ascii="Times New Roman" w:hAnsi="Times New Roman"/>
          <w:sz w:val="24"/>
          <w:szCs w:val="24"/>
        </w:rPr>
        <w:br w:type="page"/>
      </w:r>
    </w:p>
    <w:p>
      <w:pPr>
        <w:spacing w:after="120" w:line="480" w:lineRule="auto"/>
        <w:jc w:val="both"/>
        <w:rPr>
          <w:rFonts w:ascii="Times New Roman" w:hAnsi="Times New Roman"/>
          <w:sz w:val="24"/>
          <w:szCs w:val="24"/>
        </w:rPr>
      </w:pPr>
      <w:r>
        <w:rPr>
          <w:rFonts w:ascii="Times New Roman" w:hAnsi="Times New Roman"/>
          <w:sz w:val="24"/>
          <w:szCs w:val="24"/>
        </w:rPr>
        <w:t>At the conventional level, the short-run coefficients of the change in under-5 mortality at lags one and two are significantly positive and negative respectively. While its first and third lags are statistically significant, the overall short-run parameter estimates of previous infant mortality curtail to the current infant mortality in Nigeria. More so, the current monetary policy rate and treasury bill rate were determined to be positive, but only the latter is statistically significant at 5%. It implies that treasury bill rate had a short-term positive influence on under-5 mortality. Short-run child mortality is positively and significantly influenced by lag one and two of a 12-month deposit rate. The current, first and two lags of gross fixed capital formation had direct significant impact on child mortality respectively.Apart from the second lag that was negative and statistically significant at 5%, the parameters of trade openness are positive and significantly related to child mortality.Also, the table indicated that the current level of inflation rate significantly and positively impacted child mortality, while its first and second lags significantly influence under-5 mortality negatively.</w:t>
      </w:r>
    </w:p>
    <w:p>
      <w:pPr>
        <w:spacing w:after="120" w:line="480" w:lineRule="auto"/>
        <w:jc w:val="both"/>
        <w:rPr>
          <w:rFonts w:ascii="Times New Roman" w:hAnsi="Times New Roman"/>
          <w:sz w:val="24"/>
          <w:szCs w:val="24"/>
        </w:rPr>
      </w:pPr>
      <w:r>
        <w:rPr>
          <w:rFonts w:ascii="Times New Roman" w:hAnsi="Times New Roman"/>
          <w:sz w:val="24"/>
          <w:szCs w:val="24"/>
        </w:rPr>
        <w:t>In accordance with the long-term estimated reported in Table 4.7, all the money market instruments do not have significant influence on child mortality in Nigeria. The monetary policy rate and 12-month deposit rate were consistent with the theoretic expectation, although not statistically significant at 5% level. It implies that money market instruments do not have the potential to curtail child mortality for the periods understudy. In addition, for the research years, gross fixed capital formation and inflation rate have direct effects on under-5 mortality rate in Nigeria. The only factor that significantly impacted child mortality was investment at 5% level. As a result, child mortality increases by 0.24% with every 10% increase in gross fixed capital formation. Trade openness has also been shown to have an indirect impact on child mortality.</w:t>
      </w:r>
    </w:p>
    <w:p>
      <w:pPr>
        <w:spacing w:after="120" w:line="480" w:lineRule="auto"/>
        <w:jc w:val="both"/>
        <w:rPr>
          <w:rFonts w:ascii="Times New Roman" w:hAnsi="Times New Roman"/>
          <w:sz w:val="24"/>
          <w:szCs w:val="24"/>
        </w:rPr>
      </w:pPr>
      <w:r>
        <w:rPr>
          <w:rFonts w:ascii="Times New Roman" w:hAnsi="Times New Roman"/>
          <w:sz w:val="24"/>
          <w:szCs w:val="24"/>
        </w:rPr>
        <w:t>The adjusted R</w:t>
      </w:r>
      <w:r>
        <w:rPr>
          <w:rFonts w:ascii="Times New Roman" w:hAnsi="Times New Roman"/>
          <w:sz w:val="24"/>
          <w:szCs w:val="24"/>
          <w:vertAlign w:val="superscript"/>
        </w:rPr>
        <w:t>2</w:t>
      </w:r>
      <w:r>
        <w:rPr>
          <w:rFonts w:ascii="Times New Roman" w:hAnsi="Times New Roman"/>
          <w:sz w:val="24"/>
          <w:szCs w:val="24"/>
        </w:rPr>
        <w:t>(coefficient of determination) is high (77.46%), meaning that the variables in the model accounted for around 77.46% of all variations in child mortality. It only said that variations in monetary market development and other influencing factors accounted for 77.46% of the range in changes in child mortality. The model is properly described and statistically significant as shown by the overall test using the F-statistic (144.78), which is statistically significant at the 5% level of significance. Serial autocorrelation is not present in the model, as evidenced by the Durbin-Watson value of 2.0987.</w:t>
      </w:r>
    </w:p>
    <w:p>
      <w:pPr>
        <w:spacing w:after="120" w:line="480" w:lineRule="auto"/>
        <w:jc w:val="both"/>
        <w:rPr>
          <w:rFonts w:ascii="Times New Roman" w:hAnsi="Times New Roman" w:cs="Times New Roman"/>
          <w:b/>
          <w:sz w:val="24"/>
          <w:szCs w:val="24"/>
        </w:rPr>
      </w:pPr>
      <w:r>
        <w:rPr>
          <w:rFonts w:ascii="Times New Roman" w:hAnsi="Times New Roman" w:cs="Times New Roman"/>
          <w:b/>
          <w:sz w:val="24"/>
          <w:szCs w:val="24"/>
        </w:rPr>
        <w:t>Diagnostic Test</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Heteroscedasticity, serial correlation, functional form misspecification, parameter stability, and normality tests are all examined in the calculated ARDL model. Table 4.8 displays the outcomes of these examinations. The serial correlation, normality, and heteroskedasticity tests were all passed by the estimated ARDL model. It indicates that the error terms are not serially associated and have the same variances as their normal distribution. Additionally, the ARDL model passed the Ramsey RESET test, showing that the model is evenly specified. Additionally, the cumulative sum (CUSUM) and cumulative sum of squares (CUSUMSQ), respectively, as shown in Figures 4.6a and 4.6b are steady.</w:t>
      </w:r>
    </w:p>
    <w:p>
      <w:pPr>
        <w:rPr>
          <w:rFonts w:ascii="Times New Roman" w:hAnsi="Times New Roman" w:cs="Times New Roman"/>
          <w:sz w:val="24"/>
          <w:szCs w:val="24"/>
        </w:rPr>
      </w:pPr>
      <w:r>
        <w:rPr>
          <w:rFonts w:ascii="Times New Roman" w:hAnsi="Times New Roman" w:cs="Times New Roman"/>
          <w:sz w:val="24"/>
          <w:szCs w:val="24"/>
        </w:rPr>
        <w:br w:type="page"/>
      </w:r>
    </w:p>
    <w:p>
      <w:pPr>
        <w:spacing w:after="0" w:line="240" w:lineRule="auto"/>
        <w:rPr>
          <w:rFonts w:ascii="Times New Roman" w:hAnsi="Times New Roman" w:cs="Times New Roman"/>
          <w:sz w:val="24"/>
          <w:szCs w:val="24"/>
        </w:rPr>
      </w:pPr>
      <w:r>
        <w:rPr>
          <w:rFonts w:ascii="Times New Roman" w:hAnsi="Times New Roman" w:cs="Times New Roman"/>
          <w:b/>
          <w:sz w:val="24"/>
          <w:szCs w:val="24"/>
        </w:rPr>
        <w:t>Table 4.8:</w:t>
      </w:r>
      <w:r>
        <w:rPr>
          <w:rFonts w:ascii="Times New Roman" w:hAnsi="Times New Roman" w:cs="Times New Roman"/>
          <w:sz w:val="24"/>
          <w:szCs w:val="24"/>
        </w:rPr>
        <w:t xml:space="preserve"> Diagnostic tests of selected ARDL model</w:t>
      </w:r>
    </w:p>
    <w:tbl>
      <w:tblPr>
        <w:tblStyle w:val="6"/>
        <w:tblW w:w="0" w:type="auto"/>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077"/>
        <w:gridCol w:w="4820"/>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8897" w:type="dxa"/>
            <w:gridSpan w:val="2"/>
            <w:tcBorders>
              <w:top w:val="single" w:color="auto" w:sz="4" w:space="0"/>
              <w:bottom w:val="single" w:color="auto" w:sz="4" w:space="0"/>
            </w:tcBorders>
            <w:shd w:val="clear" w:color="auto" w:fill="auto"/>
          </w:tcPr>
          <w:p>
            <w:pPr>
              <w:spacing w:before="40" w:after="40" w:line="360" w:lineRule="auto"/>
              <w:ind w:left="11" w:hanging="11"/>
              <w:jc w:val="center"/>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Results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077" w:type="dxa"/>
            <w:tcBorders>
              <w:top w:val="single" w:color="auto" w:sz="4" w:space="0"/>
            </w:tcBorders>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Serial Correlation:</w:t>
            </w:r>
            <w:r>
              <w:rPr>
                <w:rFonts w:ascii="Times New Roman" w:hAnsi="Times New Roman" w:eastAsia="SimSun" w:cs="Times New Roman"/>
                <w:sz w:val="24"/>
                <w:szCs w:val="24"/>
                <w:lang w:eastAsia="en-GB"/>
              </w:rPr>
              <w:t>3.4953 [0.0996]</w:t>
            </w:r>
          </w:p>
        </w:tc>
        <w:tc>
          <w:tcPr>
            <w:tcW w:w="4820" w:type="dxa"/>
            <w:tcBorders>
              <w:top w:val="single" w:color="auto" w:sz="4" w:space="0"/>
            </w:tcBorders>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Normality Test:</w:t>
            </w:r>
            <w:r>
              <w:rPr>
                <w:rFonts w:ascii="Times New Roman" w:hAnsi="Times New Roman" w:eastAsia="SimSun" w:cs="Times New Roman"/>
                <w:sz w:val="24"/>
                <w:szCs w:val="24"/>
                <w:lang w:eastAsia="en-GB"/>
              </w:rPr>
              <w:t>0.031 [0.9847]</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077" w:type="dxa"/>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Functional Form:</w:t>
            </w:r>
            <w:r>
              <w:rPr>
                <w:rFonts w:ascii="Times New Roman" w:hAnsi="Times New Roman" w:eastAsia="SimSun" w:cs="Times New Roman"/>
                <w:sz w:val="24"/>
                <w:szCs w:val="24"/>
                <w:lang w:eastAsia="en-GB"/>
              </w:rPr>
              <w:t xml:space="preserve"> 1.4830 [0.2324]</w:t>
            </w:r>
          </w:p>
        </w:tc>
        <w:tc>
          <w:tcPr>
            <w:tcW w:w="4820" w:type="dxa"/>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Heteroskedasticity Test:</w:t>
            </w:r>
            <w:r>
              <w:rPr>
                <w:rFonts w:ascii="Times New Roman" w:hAnsi="Times New Roman" w:eastAsia="SimSun" w:cs="Times New Roman"/>
                <w:sz w:val="24"/>
                <w:szCs w:val="24"/>
                <w:lang w:eastAsia="en-GB"/>
              </w:rPr>
              <w:t>2.1082 [0.0996]</w:t>
            </w:r>
          </w:p>
        </w:tc>
      </w:tr>
    </w:tbl>
    <w:p>
      <w:pPr>
        <w:spacing w:after="120" w:line="480" w:lineRule="auto"/>
        <w:jc w:val="both"/>
        <w:rPr>
          <w:rFonts w:ascii="Times New Roman" w:hAnsi="Times New Roman" w:cs="Times New Roman"/>
          <w:sz w:val="24"/>
          <w:szCs w:val="24"/>
        </w:rPr>
      </w:pPr>
      <w:r>
        <w:rPr>
          <w:rFonts w:ascii="Times New Roman" w:hAnsi="Times New Roman" w:cs="Times New Roman"/>
          <w:b/>
          <w:sz w:val="24"/>
          <w:szCs w:val="24"/>
        </w:rPr>
        <w:t>Source:</w:t>
      </w:r>
      <w:r>
        <w:rPr>
          <w:rFonts w:ascii="Times New Roman" w:hAnsi="Times New Roman" w:cs="Times New Roman"/>
          <w:sz w:val="24"/>
          <w:szCs w:val="24"/>
        </w:rPr>
        <w:t xml:space="preserve"> Author’s computation (2023).</w:t>
      </w:r>
    </w:p>
    <w:p>
      <w:pPr>
        <w:spacing w:after="120" w:line="480" w:lineRule="auto"/>
        <w:jc w:val="both"/>
        <w:rPr>
          <w:rFonts w:ascii="Times New Roman" w:hAnsi="Times New Roman" w:cs="Times New Roman"/>
          <w:sz w:val="24"/>
          <w:szCs w:val="24"/>
        </w:rPr>
      </w:pPr>
    </w:p>
    <w:tbl>
      <w:tblPr>
        <w:tblStyle w:val="22"/>
        <w:tblW w:w="10758" w:type="dxa"/>
        <w:tblInd w:w="-60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368"/>
        <w:gridCol w:w="53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368" w:type="dxa"/>
          </w:tcPr>
          <w:p>
            <w:pPr>
              <w:spacing w:after="0" w:line="276" w:lineRule="auto"/>
              <w:ind w:left="-108" w:right="-51"/>
              <w:jc w:val="both"/>
              <w:rPr>
                <w:rFonts w:ascii="Times New Roman" w:hAnsi="Times New Roman" w:cs="Times New Roman"/>
                <w:sz w:val="24"/>
                <w:szCs w:val="24"/>
              </w:rPr>
            </w:pPr>
            <w:r>
              <w:object>
                <v:shape id="_x0000_i1043" o:spt="75" type="#_x0000_t75" style="height:255pt;width:264.75pt;" o:ole="t" filled="f" o:preferrelative="t" stroked="f" coordsize="21600,21600">
                  <v:path/>
                  <v:fill on="f" focussize="0,0"/>
                  <v:stroke on="f" joinstyle="miter"/>
                  <v:imagedata r:id="rId51" o:title=""/>
                  <o:lock v:ext="edit" aspectratio="t"/>
                  <w10:wrap type="none"/>
                  <w10:anchorlock/>
                </v:shape>
                <o:OLEObject Type="Embed" ProgID="EViews.Workfile.2" ShapeID="_x0000_i1043" DrawAspect="Content" ObjectID="_1468075743" r:id="rId50">
                  <o:LockedField>false</o:LockedField>
                </o:OLEObject>
              </w:object>
            </w:r>
          </w:p>
        </w:tc>
        <w:tc>
          <w:tcPr>
            <w:tcW w:w="5390" w:type="dxa"/>
          </w:tcPr>
          <w:p>
            <w:pPr>
              <w:spacing w:after="0" w:line="276" w:lineRule="auto"/>
              <w:ind w:left="-108" w:right="-51"/>
              <w:jc w:val="both"/>
              <w:rPr>
                <w:rFonts w:ascii="Times New Roman" w:hAnsi="Times New Roman" w:cs="Times New Roman"/>
                <w:sz w:val="24"/>
                <w:szCs w:val="24"/>
              </w:rPr>
            </w:pPr>
            <w:r>
              <w:object>
                <v:shape id="_x0000_i1044" o:spt="75" type="#_x0000_t75" style="height:255pt;width:266.25pt;" o:ole="t" filled="f" o:preferrelative="t" stroked="f" coordsize="21600,21600">
                  <v:path/>
                  <v:fill on="f" focussize="0,0"/>
                  <v:stroke on="f" joinstyle="miter"/>
                  <v:imagedata r:id="rId53" o:title=""/>
                  <o:lock v:ext="edit" aspectratio="t"/>
                  <w10:wrap type="none"/>
                  <w10:anchorlock/>
                </v:shape>
                <o:OLEObject Type="Embed" ProgID="EViews.Workfile.2" ShapeID="_x0000_i1044" DrawAspect="Content" ObjectID="_1468075744" r:id="rId52">
                  <o:LockedField>false</o:LockedField>
                </o:OLEObject>
              </w:objec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368" w:type="dxa"/>
          </w:tcPr>
          <w:p>
            <w:pPr>
              <w:spacing w:after="0" w:line="276" w:lineRule="auto"/>
              <w:ind w:left="-108" w:right="-51"/>
              <w:jc w:val="both"/>
              <w:rPr>
                <w:rFonts w:ascii="Times New Roman" w:hAnsi="Times New Roman" w:cs="Times New Roman"/>
                <w:sz w:val="24"/>
                <w:szCs w:val="24"/>
              </w:rPr>
            </w:pPr>
            <w:r>
              <w:rPr>
                <w:rFonts w:ascii="Times New Roman" w:hAnsi="Times New Roman" w:cs="Times New Roman"/>
                <w:b/>
                <w:sz w:val="24"/>
                <w:szCs w:val="24"/>
              </w:rPr>
              <w:t>Figure 4.6a:</w:t>
            </w:r>
            <w:r>
              <w:rPr>
                <w:rFonts w:ascii="Times New Roman" w:hAnsi="Times New Roman" w:cs="Times New Roman"/>
                <w:sz w:val="24"/>
                <w:szCs w:val="24"/>
              </w:rPr>
              <w:t xml:space="preserve"> Cumulative Sum (CUSUM)</w:t>
            </w:r>
          </w:p>
        </w:tc>
        <w:tc>
          <w:tcPr>
            <w:tcW w:w="5390" w:type="dxa"/>
          </w:tcPr>
          <w:p>
            <w:pPr>
              <w:spacing w:after="0" w:line="276" w:lineRule="auto"/>
              <w:ind w:left="-108" w:right="-51"/>
              <w:jc w:val="both"/>
              <w:rPr>
                <w:rFonts w:ascii="Times New Roman" w:hAnsi="Times New Roman" w:cs="Times New Roman"/>
                <w:sz w:val="24"/>
                <w:szCs w:val="24"/>
              </w:rPr>
            </w:pPr>
            <w:r>
              <w:rPr>
                <w:rFonts w:ascii="Times New Roman" w:hAnsi="Times New Roman" w:cs="Times New Roman"/>
                <w:b/>
                <w:sz w:val="24"/>
                <w:szCs w:val="24"/>
              </w:rPr>
              <w:t>Figure 4.6b:</w:t>
            </w:r>
            <w:r>
              <w:rPr>
                <w:rFonts w:ascii="Times New Roman" w:hAnsi="Times New Roman" w:cs="Times New Roman"/>
                <w:sz w:val="24"/>
                <w:szCs w:val="24"/>
              </w:rPr>
              <w:t xml:space="preserve"> Cumulative Sum of Square (CUSUMQ)</w:t>
            </w:r>
          </w:p>
        </w:tc>
      </w:tr>
    </w:tbl>
    <w:p>
      <w:pPr>
        <w:rPr>
          <w:rFonts w:ascii="Times New Roman" w:hAnsi="Times New Roman" w:cs="Times New Roman"/>
          <w:sz w:val="24"/>
          <w:szCs w:val="24"/>
        </w:rPr>
      </w:pPr>
      <w:r>
        <w:rPr>
          <w:rFonts w:ascii="Times New Roman" w:hAnsi="Times New Roman" w:cs="Times New Roman"/>
          <w:sz w:val="24"/>
          <w:szCs w:val="24"/>
        </w:rPr>
        <w:br w:type="page"/>
      </w:r>
    </w:p>
    <w:p>
      <w:pPr>
        <w:spacing w:after="120" w:line="480" w:lineRule="auto"/>
        <w:ind w:left="709" w:hanging="709"/>
        <w:jc w:val="both"/>
        <w:rPr>
          <w:rFonts w:ascii="Times New Roman" w:hAnsi="Times New Roman" w:cs="Times New Roman"/>
          <w:b/>
          <w:sz w:val="24"/>
          <w:szCs w:val="24"/>
        </w:rPr>
      </w:pPr>
      <w:r>
        <w:rPr>
          <w:rFonts w:ascii="Times New Roman" w:hAnsi="Times New Roman" w:cs="Times New Roman"/>
          <w:b/>
          <w:sz w:val="24"/>
          <w:szCs w:val="24"/>
        </w:rPr>
        <w:t>4.4.2</w:t>
      </w:r>
      <w:r>
        <w:rPr>
          <w:rFonts w:ascii="Times New Roman" w:hAnsi="Times New Roman" w:cs="Times New Roman"/>
          <w:b/>
          <w:sz w:val="24"/>
          <w:szCs w:val="24"/>
        </w:rPr>
        <w:tab/>
      </w:r>
      <w:r>
        <w:rPr>
          <w:rFonts w:ascii="Times New Roman" w:hAnsi="Times New Roman" w:cs="Times New Roman"/>
          <w:b/>
          <w:sz w:val="24"/>
          <w:szCs w:val="24"/>
        </w:rPr>
        <w:t>Empirical Results of the Effects of Bank Sector Development on Health Outcomes</w:t>
      </w:r>
    </w:p>
    <w:p>
      <w:pPr>
        <w:spacing w:after="120" w:line="480" w:lineRule="auto"/>
        <w:rPr>
          <w:rFonts w:ascii="Times New Roman" w:hAnsi="Times New Roman" w:cs="Times New Roman"/>
          <w:b/>
          <w:sz w:val="24"/>
          <w:szCs w:val="24"/>
        </w:rPr>
      </w:pPr>
      <w:r>
        <w:rPr>
          <w:rFonts w:ascii="Times New Roman" w:hAnsi="Times New Roman" w:cs="Times New Roman"/>
          <w:b/>
          <w:sz w:val="24"/>
          <w:szCs w:val="24"/>
        </w:rPr>
        <w:t>A) Cointegration Test Result</w:t>
      </w:r>
    </w:p>
    <w:p>
      <w:pPr>
        <w:spacing w:after="120" w:line="480" w:lineRule="auto"/>
        <w:jc w:val="both"/>
        <w:rPr>
          <w:rFonts w:ascii="Times New Roman" w:hAnsi="Times New Roman"/>
          <w:sz w:val="24"/>
          <w:szCs w:val="24"/>
        </w:rPr>
      </w:pPr>
      <w:r>
        <w:rPr>
          <w:rFonts w:ascii="Times New Roman" w:hAnsi="Times New Roman"/>
          <w:sz w:val="24"/>
          <w:szCs w:val="24"/>
        </w:rPr>
        <w:t>Before estimating the short-run and long-run parameters, the study uses the autoregressive distributed lag (ARDL) bound cointegration tests to examine the long-run relationships among bank sector development, health outcomes and other controllable variables in the context of the proposed hypotheses. The ARDL bound test is used for the model illustrating the relationship among bank sector development, health outcomes, and other controllable variables since it is appropriate for variables at various orders of integration. Table 4.9 provides the F-statistics estimate for examining the possibility of a long-term relationship among bank sector development, health outcomes, and other confounding factors in Nigeria.</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table, the normalized estimated F-statistics (Farb = 5.4914 and 11.032) of the equations exceed both the lower and upper critical bounds at a 5% level of significance. This suggests that at a 5% significance level, the null hypothesis that there is no long-term association is rejected. In accordance with the estimation above, </w:t>
      </w:r>
      <w:r>
        <w:rPr>
          <w:rFonts w:ascii="Times New Roman" w:hAnsi="Times New Roman"/>
          <w:sz w:val="24"/>
          <w:szCs w:val="24"/>
        </w:rPr>
        <w:t>bank sector development</w:t>
      </w:r>
      <w:r>
        <w:rPr>
          <w:rFonts w:ascii="Times New Roman" w:hAnsi="Times New Roman" w:cs="Times New Roman"/>
          <w:sz w:val="24"/>
          <w:szCs w:val="24"/>
        </w:rPr>
        <w:t xml:space="preserve">, control variables (including gross fixed capital creation, trade openness, and inflation rate), and health outcomes all have equilibrium conditions that maintain them together throughout time. As a result, in Nigeria, there is a long-term connection between </w:t>
      </w:r>
      <w:r>
        <w:rPr>
          <w:rFonts w:ascii="Times New Roman" w:hAnsi="Times New Roman"/>
          <w:sz w:val="24"/>
          <w:szCs w:val="24"/>
        </w:rPr>
        <w:t>bank sector development</w:t>
      </w:r>
      <w:r>
        <w:rPr>
          <w:rFonts w:ascii="Times New Roman" w:hAnsi="Times New Roman" w:cs="Times New Roman"/>
          <w:sz w:val="24"/>
          <w:szCs w:val="24"/>
        </w:rPr>
        <w:t>and health outcomes.</w:t>
      </w:r>
    </w:p>
    <w:p>
      <w:pPr>
        <w:rPr>
          <w:rFonts w:ascii="Times New Roman" w:hAnsi="Times New Roman"/>
          <w:sz w:val="24"/>
          <w:szCs w:val="24"/>
        </w:rPr>
      </w:pPr>
      <w:r>
        <w:rPr>
          <w:rFonts w:ascii="Times New Roman" w:hAnsi="Times New Roman"/>
          <w:sz w:val="24"/>
          <w:szCs w:val="24"/>
        </w:rPr>
        <w:br w:type="page"/>
      </w:r>
    </w:p>
    <w:p>
      <w:pPr>
        <w:spacing w:after="0" w:line="240" w:lineRule="auto"/>
        <w:rPr>
          <w:rFonts w:ascii="Times New Roman" w:hAnsi="Times New Roman"/>
          <w:sz w:val="24"/>
          <w:szCs w:val="24"/>
        </w:rPr>
      </w:pPr>
      <w:r>
        <w:rPr>
          <w:rFonts w:ascii="Times New Roman" w:hAnsi="Times New Roman" w:cs="Times New Roman"/>
          <w:b/>
          <w:sz w:val="24"/>
          <w:szCs w:val="24"/>
        </w:rPr>
        <w:t xml:space="preserve">Table 4.9: </w:t>
      </w:r>
      <w:r>
        <w:rPr>
          <w:rFonts w:ascii="Times New Roman" w:hAnsi="Times New Roman" w:cs="Times New Roman"/>
          <w:sz w:val="24"/>
          <w:szCs w:val="24"/>
        </w:rPr>
        <w:t>Existence of longrun between bank sector development and health outcomes</w:t>
      </w:r>
    </w:p>
    <w:tbl>
      <w:tblPr>
        <w:tblStyle w:val="6"/>
        <w:tblW w:w="9498" w:type="dxa"/>
        <w:tblInd w:w="-137"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6380"/>
        <w:gridCol w:w="1559"/>
        <w:gridCol w:w="1559"/>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6380" w:type="dxa"/>
            <w:tcBorders>
              <w:top w:val="single" w:color="auto" w:sz="4" w:space="0"/>
              <w:bottom w:val="single" w:color="auto" w:sz="4" w:space="0"/>
            </w:tcBorders>
            <w:vAlign w:val="bottom"/>
          </w:tcPr>
          <w:p>
            <w:pPr>
              <w:autoSpaceDE w:val="0"/>
              <w:autoSpaceDN w:val="0"/>
              <w:adjustRightInd w:val="0"/>
              <w:spacing w:before="60" w:after="60" w:line="360" w:lineRule="auto"/>
              <w:ind w:left="11" w:hanging="11"/>
              <w:rPr>
                <w:rFonts w:ascii="Times New Roman" w:hAnsi="Times New Roman" w:cs="Times New Roman"/>
                <w:b/>
                <w:sz w:val="24"/>
                <w:szCs w:val="24"/>
              </w:rPr>
            </w:pPr>
            <w:r>
              <w:rPr>
                <w:rFonts w:ascii="Times New Roman" w:hAnsi="Times New Roman" w:cs="Times New Roman"/>
                <w:b/>
                <w:sz w:val="24"/>
                <w:szCs w:val="24"/>
              </w:rPr>
              <w:t>Test Statistics</w:t>
            </w:r>
          </w:p>
        </w:tc>
        <w:tc>
          <w:tcPr>
            <w:tcW w:w="1559" w:type="dxa"/>
            <w:tcBorders>
              <w:top w:val="single" w:color="auto" w:sz="4" w:space="0"/>
              <w:bottom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b/>
                <w:sz w:val="24"/>
                <w:szCs w:val="24"/>
              </w:rPr>
            </w:pPr>
            <w:r>
              <w:rPr>
                <w:rFonts w:ascii="Times New Roman" w:hAnsi="Times New Roman" w:cs="Times New Roman"/>
                <w:b/>
                <w:sz w:val="24"/>
                <w:szCs w:val="24"/>
              </w:rPr>
              <w:t>Value</w:t>
            </w:r>
          </w:p>
        </w:tc>
        <w:tc>
          <w:tcPr>
            <w:tcW w:w="1559" w:type="dxa"/>
            <w:tcBorders>
              <w:top w:val="single" w:color="auto" w:sz="4" w:space="0"/>
              <w:bottom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b/>
                <w:sz w:val="24"/>
                <w:szCs w:val="24"/>
              </w:rPr>
            </w:pPr>
            <w:r>
              <w:rPr>
                <w:rFonts w:ascii="Times New Roman" w:hAnsi="Times New Roman" w:cs="Times New Roman"/>
                <w:b/>
                <w:sz w:val="24"/>
                <w:szCs w:val="24"/>
              </w:rPr>
              <w:t>K</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6380" w:type="dxa"/>
            <w:tcBorders>
              <w:top w:val="single" w:color="auto" w:sz="4" w:space="0"/>
            </w:tcBorders>
            <w:vAlign w:val="bottom"/>
          </w:tcPr>
          <w:p>
            <w:pPr>
              <w:autoSpaceDE w:val="0"/>
              <w:autoSpaceDN w:val="0"/>
              <w:adjustRightInd w:val="0"/>
              <w:spacing w:before="60" w:after="60" w:line="360" w:lineRule="auto"/>
              <w:ind w:left="11" w:hanging="11"/>
              <w:rPr>
                <w:rFonts w:ascii="Times New Roman" w:hAnsi="Times New Roman" w:cs="Times New Roman"/>
                <w:sz w:val="24"/>
                <w:szCs w:val="24"/>
              </w:rPr>
            </w:pPr>
            <w:r>
              <w:rPr>
                <w:rFonts w:ascii="Times New Roman" w:hAnsi="Times New Roman" w:cs="Times New Roman"/>
                <w:sz w:val="24"/>
                <w:szCs w:val="24"/>
              </w:rPr>
              <w:t>F-statistics (lexp| lr, ldr,dcps, inf, topen, gfcf) (2, 1, 2, 0, 2, 1, 2)</w:t>
            </w:r>
          </w:p>
        </w:tc>
        <w:tc>
          <w:tcPr>
            <w:tcW w:w="1559" w:type="dxa"/>
            <w:tcBorders>
              <w:top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5.4914</w:t>
            </w:r>
          </w:p>
        </w:tc>
        <w:tc>
          <w:tcPr>
            <w:tcW w:w="1559" w:type="dxa"/>
            <w:tcBorders>
              <w:top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6380" w:type="dxa"/>
            <w:tcBorders>
              <w:bottom w:val="single" w:color="auto" w:sz="4" w:space="0"/>
            </w:tcBorders>
            <w:vAlign w:val="bottom"/>
          </w:tcPr>
          <w:p>
            <w:pPr>
              <w:autoSpaceDE w:val="0"/>
              <w:autoSpaceDN w:val="0"/>
              <w:adjustRightInd w:val="0"/>
              <w:spacing w:before="60" w:after="60" w:line="360" w:lineRule="auto"/>
              <w:ind w:left="11" w:hanging="11"/>
              <w:rPr>
                <w:rFonts w:ascii="Times New Roman" w:hAnsi="Times New Roman" w:cs="Times New Roman"/>
                <w:sz w:val="24"/>
                <w:szCs w:val="24"/>
              </w:rPr>
            </w:pPr>
            <w:r>
              <w:rPr>
                <w:rFonts w:ascii="Times New Roman" w:hAnsi="Times New Roman" w:cs="Times New Roman"/>
                <w:sz w:val="24"/>
                <w:szCs w:val="24"/>
              </w:rPr>
              <w:t>F-statistics (un5m| lr, ldr,dcps, inf, topen, gfcf) (2, 2, 1, 2, 2, 0, 1)</w:t>
            </w:r>
          </w:p>
        </w:tc>
        <w:tc>
          <w:tcPr>
            <w:tcW w:w="1559" w:type="dxa"/>
            <w:tcBorders>
              <w:bottom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11.032</w:t>
            </w:r>
          </w:p>
        </w:tc>
        <w:tc>
          <w:tcPr>
            <w:tcW w:w="1559" w:type="dxa"/>
            <w:tcBorders>
              <w:bottom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9498" w:type="dxa"/>
            <w:gridSpan w:val="3"/>
            <w:tcBorders>
              <w:top w:val="single" w:color="auto" w:sz="4" w:space="0"/>
            </w:tcBorders>
            <w:vAlign w:val="bottom"/>
          </w:tcPr>
          <w:p>
            <w:pPr>
              <w:autoSpaceDE w:val="0"/>
              <w:autoSpaceDN w:val="0"/>
              <w:adjustRightInd w:val="0"/>
              <w:spacing w:before="60" w:after="60" w:line="360" w:lineRule="auto"/>
              <w:ind w:left="11" w:hanging="11"/>
              <w:rPr>
                <w:rFonts w:ascii="Times New Roman" w:hAnsi="Times New Roman" w:cs="Times New Roman"/>
                <w:b/>
                <w:sz w:val="24"/>
                <w:szCs w:val="24"/>
              </w:rPr>
            </w:pPr>
            <w:r>
              <w:rPr>
                <w:rFonts w:ascii="Times New Roman" w:hAnsi="Times New Roman" w:cs="Times New Roman"/>
                <w:b/>
                <w:sz w:val="24"/>
                <w:szCs w:val="24"/>
              </w:rPr>
              <w:t>Critical Value Bounds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6380" w:type="dxa"/>
            <w:tcBorders>
              <w:bottom w:val="single" w:color="auto" w:sz="4" w:space="0"/>
            </w:tcBorders>
            <w:vAlign w:val="bottom"/>
          </w:tcPr>
          <w:p>
            <w:pPr>
              <w:autoSpaceDE w:val="0"/>
              <w:autoSpaceDN w:val="0"/>
              <w:adjustRightInd w:val="0"/>
              <w:spacing w:before="60" w:after="60" w:line="360" w:lineRule="auto"/>
              <w:ind w:left="11" w:hanging="11"/>
              <w:rPr>
                <w:rFonts w:ascii="Times New Roman" w:hAnsi="Times New Roman" w:cs="Times New Roman"/>
                <w:b/>
                <w:sz w:val="24"/>
                <w:szCs w:val="24"/>
              </w:rPr>
            </w:pPr>
            <w:r>
              <w:rPr>
                <w:rFonts w:ascii="Times New Roman" w:hAnsi="Times New Roman" w:cs="Times New Roman"/>
                <w:b/>
                <w:sz w:val="24"/>
                <w:szCs w:val="24"/>
              </w:rPr>
              <w:t>Significance</w:t>
            </w:r>
          </w:p>
        </w:tc>
        <w:tc>
          <w:tcPr>
            <w:tcW w:w="1559" w:type="dxa"/>
            <w:tcBorders>
              <w:bottom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b/>
                <w:sz w:val="24"/>
                <w:szCs w:val="24"/>
              </w:rPr>
            </w:pPr>
            <w:r>
              <w:rPr>
                <w:rFonts w:ascii="Times New Roman" w:hAnsi="Times New Roman" w:cs="Times New Roman"/>
                <w:b/>
                <w:sz w:val="24"/>
                <w:szCs w:val="24"/>
              </w:rPr>
              <w:t>I(0) Bound</w:t>
            </w:r>
          </w:p>
        </w:tc>
        <w:tc>
          <w:tcPr>
            <w:tcW w:w="1559" w:type="dxa"/>
            <w:tcBorders>
              <w:bottom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b/>
                <w:sz w:val="24"/>
                <w:szCs w:val="24"/>
              </w:rPr>
            </w:pPr>
            <w:r>
              <w:rPr>
                <w:rFonts w:ascii="Times New Roman" w:hAnsi="Times New Roman" w:cs="Times New Roman"/>
                <w:b/>
                <w:sz w:val="24"/>
                <w:szCs w:val="24"/>
              </w:rPr>
              <w:t>I(1) Bound</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6380" w:type="dxa"/>
            <w:tcBorders>
              <w:top w:val="single" w:color="auto" w:sz="4" w:space="0"/>
            </w:tcBorders>
            <w:vAlign w:val="bottom"/>
          </w:tcPr>
          <w:p>
            <w:pPr>
              <w:autoSpaceDE w:val="0"/>
              <w:autoSpaceDN w:val="0"/>
              <w:adjustRightInd w:val="0"/>
              <w:spacing w:before="60" w:after="60" w:line="360" w:lineRule="auto"/>
              <w:ind w:left="11" w:hanging="11"/>
              <w:rPr>
                <w:rFonts w:ascii="Times New Roman" w:hAnsi="Times New Roman" w:cs="Times New Roman"/>
                <w:sz w:val="24"/>
                <w:szCs w:val="24"/>
              </w:rPr>
            </w:pPr>
            <w:r>
              <w:rPr>
                <w:rFonts w:ascii="Times New Roman" w:hAnsi="Times New Roman" w:cs="Times New Roman"/>
                <w:sz w:val="24"/>
                <w:szCs w:val="24"/>
              </w:rPr>
              <w:t>10%</w:t>
            </w:r>
          </w:p>
        </w:tc>
        <w:tc>
          <w:tcPr>
            <w:tcW w:w="1559" w:type="dxa"/>
            <w:tcBorders>
              <w:top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1.99</w:t>
            </w:r>
          </w:p>
        </w:tc>
        <w:tc>
          <w:tcPr>
            <w:tcW w:w="1559" w:type="dxa"/>
            <w:tcBorders>
              <w:top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2.94</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6380" w:type="dxa"/>
            <w:vAlign w:val="bottom"/>
          </w:tcPr>
          <w:p>
            <w:pPr>
              <w:autoSpaceDE w:val="0"/>
              <w:autoSpaceDN w:val="0"/>
              <w:adjustRightInd w:val="0"/>
              <w:spacing w:before="60" w:after="60" w:line="360" w:lineRule="auto"/>
              <w:ind w:left="11" w:hanging="11"/>
              <w:rPr>
                <w:rFonts w:ascii="Times New Roman" w:hAnsi="Times New Roman" w:cs="Times New Roman"/>
                <w:sz w:val="24"/>
                <w:szCs w:val="24"/>
              </w:rPr>
            </w:pPr>
            <w:r>
              <w:rPr>
                <w:rFonts w:ascii="Times New Roman" w:hAnsi="Times New Roman" w:cs="Times New Roman"/>
                <w:sz w:val="24"/>
                <w:szCs w:val="24"/>
              </w:rPr>
              <w:t>5%</w:t>
            </w:r>
          </w:p>
        </w:tc>
        <w:tc>
          <w:tcPr>
            <w:tcW w:w="1559" w:type="dxa"/>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2.27</w:t>
            </w:r>
          </w:p>
        </w:tc>
        <w:tc>
          <w:tcPr>
            <w:tcW w:w="1559" w:type="dxa"/>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3.28</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6380" w:type="dxa"/>
            <w:vAlign w:val="bottom"/>
          </w:tcPr>
          <w:p>
            <w:pPr>
              <w:autoSpaceDE w:val="0"/>
              <w:autoSpaceDN w:val="0"/>
              <w:adjustRightInd w:val="0"/>
              <w:spacing w:before="60" w:after="60" w:line="360" w:lineRule="auto"/>
              <w:ind w:left="11" w:hanging="11"/>
              <w:rPr>
                <w:rFonts w:ascii="Times New Roman" w:hAnsi="Times New Roman" w:cs="Times New Roman"/>
                <w:sz w:val="24"/>
                <w:szCs w:val="24"/>
              </w:rPr>
            </w:pPr>
            <w:r>
              <w:rPr>
                <w:rFonts w:ascii="Times New Roman" w:hAnsi="Times New Roman" w:cs="Times New Roman"/>
                <w:sz w:val="24"/>
                <w:szCs w:val="24"/>
              </w:rPr>
              <w:t>2.5%</w:t>
            </w:r>
          </w:p>
        </w:tc>
        <w:tc>
          <w:tcPr>
            <w:tcW w:w="1559" w:type="dxa"/>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2.55</w:t>
            </w:r>
          </w:p>
        </w:tc>
        <w:tc>
          <w:tcPr>
            <w:tcW w:w="1559" w:type="dxa"/>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3.61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6380" w:type="dxa"/>
            <w:vAlign w:val="bottom"/>
          </w:tcPr>
          <w:p>
            <w:pPr>
              <w:autoSpaceDE w:val="0"/>
              <w:autoSpaceDN w:val="0"/>
              <w:adjustRightInd w:val="0"/>
              <w:spacing w:before="60" w:after="60" w:line="360" w:lineRule="auto"/>
              <w:ind w:left="11" w:hanging="11"/>
              <w:rPr>
                <w:rFonts w:ascii="Times New Roman" w:hAnsi="Times New Roman" w:cs="Times New Roman"/>
                <w:sz w:val="24"/>
                <w:szCs w:val="24"/>
              </w:rPr>
            </w:pPr>
            <w:r>
              <w:rPr>
                <w:rFonts w:ascii="Times New Roman" w:hAnsi="Times New Roman" w:cs="Times New Roman"/>
                <w:sz w:val="24"/>
                <w:szCs w:val="24"/>
              </w:rPr>
              <w:t>1%</w:t>
            </w:r>
          </w:p>
        </w:tc>
        <w:tc>
          <w:tcPr>
            <w:tcW w:w="1559" w:type="dxa"/>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2.88</w:t>
            </w:r>
          </w:p>
        </w:tc>
        <w:tc>
          <w:tcPr>
            <w:tcW w:w="1559" w:type="dxa"/>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3.99</w:t>
            </w:r>
          </w:p>
        </w:tc>
      </w:tr>
    </w:tbl>
    <w:p>
      <w:pPr>
        <w:spacing w:after="120" w:line="480" w:lineRule="auto"/>
        <w:rPr>
          <w:rFonts w:ascii="Times New Roman" w:hAnsi="Times New Roman" w:cs="Times New Roman"/>
          <w:sz w:val="24"/>
          <w:szCs w:val="24"/>
        </w:rPr>
      </w:pPr>
      <w:r>
        <w:rPr>
          <w:rFonts w:ascii="Times New Roman" w:hAnsi="Times New Roman" w:cs="Times New Roman"/>
          <w:b/>
          <w:sz w:val="24"/>
          <w:szCs w:val="24"/>
        </w:rPr>
        <w:t>Source:</w:t>
      </w:r>
      <w:r>
        <w:rPr>
          <w:rFonts w:ascii="Times New Roman" w:hAnsi="Times New Roman" w:cs="Times New Roman"/>
          <w:sz w:val="24"/>
          <w:szCs w:val="24"/>
        </w:rPr>
        <w:t xml:space="preserve"> Author’s computation (2023).</w:t>
      </w:r>
    </w:p>
    <w:p>
      <w:pPr>
        <w:rPr>
          <w:rFonts w:ascii="Times New Roman" w:hAnsi="Times New Roman" w:cs="Times New Roman"/>
          <w:sz w:val="24"/>
          <w:szCs w:val="24"/>
        </w:rPr>
      </w:pPr>
      <w:r>
        <w:rPr>
          <w:rFonts w:ascii="Times New Roman" w:hAnsi="Times New Roman" w:cs="Times New Roman"/>
          <w:sz w:val="24"/>
          <w:szCs w:val="24"/>
        </w:rPr>
        <w:br w:type="page"/>
      </w:r>
    </w:p>
    <w:p>
      <w:pPr>
        <w:spacing w:after="120" w:line="480" w:lineRule="auto"/>
        <w:ind w:left="450" w:hanging="450"/>
        <w:jc w:val="both"/>
        <w:rPr>
          <w:rFonts w:ascii="Times New Roman" w:hAnsi="Times New Roman" w:cs="Times New Roman"/>
          <w:b/>
          <w:sz w:val="24"/>
          <w:szCs w:val="24"/>
        </w:rPr>
      </w:pPr>
      <w:r>
        <w:rPr>
          <w:rFonts w:ascii="Times New Roman" w:hAnsi="Times New Roman" w:cs="Times New Roman"/>
          <w:b/>
          <w:sz w:val="24"/>
          <w:szCs w:val="24"/>
        </w:rPr>
        <w:t>B) Short-run and Long-run Estimates of Bank Sector Development and Life Expectancy</w:t>
      </w:r>
    </w:p>
    <w:p>
      <w:pPr>
        <w:spacing w:after="120" w:line="480" w:lineRule="auto"/>
        <w:jc w:val="both"/>
        <w:rPr>
          <w:rFonts w:ascii="Times New Roman" w:hAnsi="Times New Roman"/>
          <w:sz w:val="24"/>
          <w:szCs w:val="24"/>
        </w:rPr>
      </w:pPr>
      <w:r>
        <w:rPr>
          <w:rFonts w:ascii="Times New Roman" w:hAnsi="Times New Roman"/>
          <w:sz w:val="24"/>
          <w:szCs w:val="24"/>
        </w:rPr>
        <w:t>This section addresses the null hypothesis, which holds that bank sector development has no substantial impact on life expectancy in Nigeria. Using the estimated ARDL approach that was fully discussed in the preceding chapter, it evaluates both the short-run and long-run relationship estimates of bank sector developmentand other controllable factors in Nigeria. A combination of short-run and long-run estimates of the relationships among the series taken into consideration in this study makes up the estimated ARDL model. Based on data on bank sector development, gross fixed capital creation, trade openness, and inflation rate, Table 4.10 provides conclusive evidence for our empirical estimates.</w:t>
      </w:r>
    </w:p>
    <w:p>
      <w:pPr>
        <w:spacing w:after="120" w:line="480" w:lineRule="auto"/>
        <w:jc w:val="both"/>
        <w:rPr>
          <w:rFonts w:ascii="Times New Roman" w:hAnsi="Times New Roman"/>
          <w:sz w:val="24"/>
          <w:szCs w:val="24"/>
        </w:rPr>
      </w:pPr>
      <w:r>
        <w:rPr>
          <w:rFonts w:ascii="Times New Roman" w:hAnsi="Times New Roman"/>
          <w:sz w:val="24"/>
          <w:szCs w:val="24"/>
        </w:rPr>
        <w:t>The short-run estimation results show the error correction mechanism, which measures the rate or intensity of adjustment. It quantifies the rate at which the outcome variable responds to changes in the explanatory variables. The dynamic pattern of the model is revealed in the short run analysis, which also checks to determine if the dynamics of the model have not been confined by incorrect lag length constraints. Based on the automatic selection of the Akaike Information Criterion, the model’s lag length was set at three to ensure a sufficient degree of freedom, and the ARDL test automatically selected the lag duration on all variables. The short-run estimates of the association between bank sector development and life expectancy are shown in Table 4.10.The coefficient of the ECT is found to be negative and statistically significant at the conventional level. The ECT value (-0.</w:t>
      </w:r>
      <w:r>
        <w:rPr>
          <w:rFonts w:ascii="Times New Roman" w:hAnsi="Times New Roman" w:cs="Times New Roman"/>
          <w:sz w:val="24"/>
          <w:szCs w:val="24"/>
        </w:rPr>
        <w:t>1420</w:t>
      </w:r>
      <w:r>
        <w:rPr>
          <w:rFonts w:ascii="Times New Roman" w:hAnsi="Times New Roman"/>
          <w:sz w:val="24"/>
          <w:szCs w:val="24"/>
        </w:rPr>
        <w:t>) implied that the model corrects its short-run disequilibrium by 14.2% speed of adjustment to return to the long run equilibrium.</w:t>
      </w:r>
    </w:p>
    <w:p>
      <w:pPr>
        <w:rPr>
          <w:rFonts w:ascii="Times New Roman" w:hAnsi="Times New Roman"/>
          <w:sz w:val="24"/>
          <w:szCs w:val="24"/>
        </w:rPr>
      </w:pPr>
      <w:r>
        <w:rPr>
          <w:rFonts w:ascii="Times New Roman" w:hAnsi="Times New Roman"/>
          <w:sz w:val="24"/>
          <w:szCs w:val="24"/>
        </w:rPr>
        <w:br w:type="page"/>
      </w:r>
    </w:p>
    <w:p>
      <w:pPr>
        <w:spacing w:after="0"/>
        <w:jc w:val="both"/>
        <w:rPr>
          <w:rFonts w:ascii="Times New Roman" w:hAnsi="Times New Roman"/>
          <w:sz w:val="24"/>
          <w:szCs w:val="24"/>
        </w:rPr>
      </w:pPr>
      <w:bookmarkStart w:id="5" w:name="_Hlk151098491"/>
      <w:r>
        <w:rPr>
          <w:rFonts w:ascii="Times New Roman" w:hAnsi="Times New Roman"/>
          <w:b/>
          <w:sz w:val="24"/>
          <w:szCs w:val="24"/>
        </w:rPr>
        <w:t xml:space="preserve">Table 4.10: </w:t>
      </w:r>
      <w:r>
        <w:rPr>
          <w:rFonts w:ascii="Times New Roman" w:hAnsi="Times New Roman"/>
          <w:sz w:val="24"/>
          <w:szCs w:val="24"/>
        </w:rPr>
        <w:t>Results of estimated ARDL model of life expectancy</w:t>
      </w:r>
    </w:p>
    <w:tbl>
      <w:tblPr>
        <w:tblStyle w:val="6"/>
        <w:tblW w:w="9205" w:type="dxa"/>
        <w:tblInd w:w="-142"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385"/>
        <w:gridCol w:w="1717"/>
        <w:gridCol w:w="180"/>
        <w:gridCol w:w="102"/>
        <w:gridCol w:w="1419"/>
        <w:gridCol w:w="810"/>
        <w:gridCol w:w="891"/>
        <w:gridCol w:w="1701"/>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9205" w:type="dxa"/>
            <w:gridSpan w:val="8"/>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 xml:space="preserve">Dependent Variable: </w:t>
            </w:r>
            <w:r>
              <w:rPr>
                <w:rFonts w:ascii="Times New Roman" w:hAnsi="Times New Roman" w:cs="Times New Roman"/>
                <w:sz w:val="24"/>
                <w:szCs w:val="24"/>
              </w:rPr>
              <w:t>Life Expectancy (lexp)</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9205" w:type="dxa"/>
            <w:gridSpan w:val="8"/>
            <w:tcBorders>
              <w:bottom w:val="nil"/>
            </w:tcBorders>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 xml:space="preserve">Selected Model: </w:t>
            </w:r>
            <w:r>
              <w:rPr>
                <w:rFonts w:ascii="Times New Roman" w:hAnsi="Times New Roman" w:cs="Times New Roman"/>
                <w:sz w:val="24"/>
                <w:szCs w:val="24"/>
              </w:rPr>
              <w:t>ARDL(2, 1, 2, 0, 2, 1, 2)</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83" w:hRule="atLeast"/>
        </w:trPr>
        <w:tc>
          <w:tcPr>
            <w:tcW w:w="4384" w:type="dxa"/>
            <w:gridSpan w:val="4"/>
            <w:tcBorders>
              <w:top w:val="nil"/>
              <w:bottom w:val="single" w:color="auto" w:sz="4" w:space="0"/>
            </w:tcBorders>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Sample:</w:t>
            </w:r>
            <w:r>
              <w:rPr>
                <w:rFonts w:ascii="Times New Roman" w:hAnsi="Times New Roman" w:cs="Times New Roman"/>
                <w:sz w:val="24"/>
                <w:szCs w:val="24"/>
              </w:rPr>
              <w:t xml:space="preserve"> 1985 2022</w:t>
            </w:r>
          </w:p>
        </w:tc>
        <w:tc>
          <w:tcPr>
            <w:tcW w:w="4821" w:type="dxa"/>
            <w:gridSpan w:val="4"/>
            <w:tcBorders>
              <w:top w:val="nil"/>
              <w:bottom w:val="single" w:color="auto" w:sz="4" w:space="0"/>
            </w:tcBorders>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Included observations:</w:t>
            </w:r>
            <w:r>
              <w:rPr>
                <w:rFonts w:ascii="Times New Roman" w:hAnsi="Times New Roman" w:cs="Times New Roman"/>
                <w:sz w:val="24"/>
                <w:szCs w:val="24"/>
              </w:rPr>
              <w:t>36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9205" w:type="dxa"/>
            <w:gridSpan w:val="8"/>
            <w:tcBorders>
              <w:top w:val="single" w:color="auto" w:sz="4" w:space="0"/>
              <w:bottom w:val="single" w:color="auto" w:sz="4" w:space="0"/>
            </w:tcBorders>
            <w:vAlign w:val="bottom"/>
          </w:tcPr>
          <w:p>
            <w:pPr>
              <w:autoSpaceDE w:val="0"/>
              <w:autoSpaceDN w:val="0"/>
              <w:adjustRightInd w:val="0"/>
              <w:spacing w:after="0" w:line="276" w:lineRule="auto"/>
              <w:jc w:val="center"/>
              <w:rPr>
                <w:rFonts w:ascii="Times New Roman" w:hAnsi="Times New Roman" w:cs="Times New Roman"/>
                <w:b/>
                <w:i/>
                <w:sz w:val="24"/>
                <w:szCs w:val="24"/>
              </w:rPr>
            </w:pPr>
            <w:r>
              <w:rPr>
                <w:rFonts w:ascii="Times New Roman" w:hAnsi="Times New Roman" w:cs="Times New Roman"/>
                <w:b/>
                <w:i/>
                <w:sz w:val="24"/>
                <w:szCs w:val="24"/>
              </w:rPr>
              <w:t>Short-Run Estimates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top w:val="single" w:color="auto" w:sz="4" w:space="0"/>
              <w:bottom w:val="single" w:color="auto" w:sz="4" w:space="0"/>
            </w:tcBorders>
            <w:vAlign w:val="center"/>
          </w:tcPr>
          <w:p>
            <w:pPr>
              <w:autoSpaceDE w:val="0"/>
              <w:autoSpaceDN w:val="0"/>
              <w:adjustRightInd w:val="0"/>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Variable</w:t>
            </w:r>
          </w:p>
        </w:tc>
        <w:tc>
          <w:tcPr>
            <w:tcW w:w="1717" w:type="dxa"/>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sz w:val="24"/>
                <w:szCs w:val="24"/>
              </w:rPr>
            </w:pPr>
            <w:r>
              <w:rPr>
                <w:rFonts w:ascii="Times New Roman" w:hAnsi="Times New Roman" w:cs="Times New Roman"/>
                <w:b/>
                <w:sz w:val="24"/>
                <w:szCs w:val="24"/>
              </w:rPr>
              <w:t>Coefficient</w:t>
            </w:r>
          </w:p>
        </w:tc>
        <w:tc>
          <w:tcPr>
            <w:tcW w:w="1701" w:type="dxa"/>
            <w:gridSpan w:val="3"/>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sz w:val="24"/>
                <w:szCs w:val="24"/>
              </w:rPr>
            </w:pPr>
            <w:r>
              <w:rPr>
                <w:rFonts w:ascii="Times New Roman" w:hAnsi="Times New Roman" w:cs="Times New Roman"/>
                <w:b/>
                <w:sz w:val="24"/>
                <w:szCs w:val="24"/>
              </w:rPr>
              <w:t>Std. Error</w:t>
            </w:r>
          </w:p>
        </w:tc>
        <w:tc>
          <w:tcPr>
            <w:tcW w:w="1701" w:type="dxa"/>
            <w:gridSpan w:val="2"/>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sz w:val="24"/>
                <w:szCs w:val="24"/>
              </w:rPr>
            </w:pPr>
            <w:r>
              <w:rPr>
                <w:rFonts w:ascii="Times New Roman" w:hAnsi="Times New Roman" w:cs="Times New Roman"/>
                <w:b/>
                <w:sz w:val="24"/>
                <w:szCs w:val="24"/>
              </w:rPr>
              <w:t>t-Statistic</w:t>
            </w:r>
          </w:p>
        </w:tc>
        <w:tc>
          <w:tcPr>
            <w:tcW w:w="1701" w:type="dxa"/>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sz w:val="24"/>
                <w:szCs w:val="24"/>
              </w:rPr>
            </w:pPr>
            <w:r>
              <w:rPr>
                <w:rFonts w:ascii="Times New Roman" w:hAnsi="Times New Roman" w:cs="Times New Roman"/>
                <w:b/>
                <w:sz w:val="24"/>
                <w:szCs w:val="24"/>
              </w:rPr>
              <w:t>Prob.</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top w:val="single" w:color="auto" w:sz="4" w:space="0"/>
            </w:tcBorders>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(LEXP(-1))</w:t>
            </w:r>
          </w:p>
        </w:tc>
        <w:tc>
          <w:tcPr>
            <w:tcW w:w="1717" w:type="dxa"/>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-0.144473</w:t>
            </w:r>
          </w:p>
        </w:tc>
        <w:tc>
          <w:tcPr>
            <w:tcW w:w="1701" w:type="dxa"/>
            <w:gridSpan w:val="3"/>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0.136000</w:t>
            </w:r>
          </w:p>
        </w:tc>
        <w:tc>
          <w:tcPr>
            <w:tcW w:w="1701" w:type="dxa"/>
            <w:gridSpan w:val="2"/>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-1.062295</w:t>
            </w:r>
          </w:p>
        </w:tc>
        <w:tc>
          <w:tcPr>
            <w:tcW w:w="1701" w:type="dxa"/>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0.3014</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(LR)</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0.003337</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0.001314</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2.540058</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0.0200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(LDR)</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-0.001212</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0.001587</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-0.763289</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0.4547</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(LDR(-1))</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-0.003551</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0.002029</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-1.749858</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0.0963</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(INF)</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-0.001187</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0.001488</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-0.797956</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0.4348</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(INF(-1))</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0.009098</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0.001791</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5.079907</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(TOPEN)</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0.009202</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0.002066</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4.454369</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0.0003</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(GFCF)</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-0.002987</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0.005908</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-0.505646</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0.6189</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(GFCF(-1))</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0.023350</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0.007331</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3.185080</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0.0049</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bottom w:val="single" w:color="auto" w:sz="4" w:space="0"/>
            </w:tcBorders>
            <w:vAlign w:val="center"/>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ECT(-1)</w:t>
            </w:r>
          </w:p>
        </w:tc>
        <w:tc>
          <w:tcPr>
            <w:tcW w:w="1717" w:type="dxa"/>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-0.142030</w:t>
            </w:r>
          </w:p>
        </w:tc>
        <w:tc>
          <w:tcPr>
            <w:tcW w:w="1701" w:type="dxa"/>
            <w:gridSpan w:val="3"/>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0.018318</w:t>
            </w:r>
          </w:p>
        </w:tc>
        <w:tc>
          <w:tcPr>
            <w:tcW w:w="1701" w:type="dxa"/>
            <w:gridSpan w:val="2"/>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-7.753500</w:t>
            </w:r>
          </w:p>
        </w:tc>
        <w:tc>
          <w:tcPr>
            <w:tcW w:w="1701" w:type="dxa"/>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9205" w:type="dxa"/>
            <w:gridSpan w:val="8"/>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i/>
                <w:sz w:val="24"/>
                <w:szCs w:val="24"/>
              </w:rPr>
            </w:pPr>
            <w:r>
              <w:rPr>
                <w:rFonts w:ascii="Times New Roman" w:hAnsi="Times New Roman" w:cs="Times New Roman"/>
                <w:b/>
                <w:i/>
                <w:sz w:val="24"/>
                <w:szCs w:val="24"/>
              </w:rPr>
              <w:t>Long-Run Estimates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top w:val="single" w:color="auto" w:sz="4" w:space="0"/>
            </w:tcBorders>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LR</w:t>
            </w:r>
          </w:p>
        </w:tc>
        <w:tc>
          <w:tcPr>
            <w:tcW w:w="1717" w:type="dxa"/>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0.051415</w:t>
            </w:r>
          </w:p>
        </w:tc>
        <w:tc>
          <w:tcPr>
            <w:tcW w:w="1701" w:type="dxa"/>
            <w:gridSpan w:val="3"/>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0.015953</w:t>
            </w:r>
          </w:p>
        </w:tc>
        <w:tc>
          <w:tcPr>
            <w:tcW w:w="1701" w:type="dxa"/>
            <w:gridSpan w:val="2"/>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3.222861</w:t>
            </w:r>
          </w:p>
        </w:tc>
        <w:tc>
          <w:tcPr>
            <w:tcW w:w="1701" w:type="dxa"/>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0.0045</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LDR</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0.025535</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0.019082</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1.338205</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0.1966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DCPS</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-0.034480</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0.083612</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-0.412375</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0.6847</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INF</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-0.059578</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0.019811</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-3.007274</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0.0072</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TOPEN</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0.038902</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0.034298</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1.134219</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0.2708</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GFCF</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-0.219829</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0.039186</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-5.609874</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bottom w:val="single" w:color="auto" w:sz="4" w:space="0"/>
            </w:tcBorders>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C</w:t>
            </w:r>
          </w:p>
        </w:tc>
        <w:tc>
          <w:tcPr>
            <w:tcW w:w="1717" w:type="dxa"/>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53.09382</w:t>
            </w:r>
          </w:p>
        </w:tc>
        <w:tc>
          <w:tcPr>
            <w:tcW w:w="1701" w:type="dxa"/>
            <w:gridSpan w:val="3"/>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2.856288</w:t>
            </w:r>
          </w:p>
        </w:tc>
        <w:tc>
          <w:tcPr>
            <w:tcW w:w="1701" w:type="dxa"/>
            <w:gridSpan w:val="2"/>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18.58840</w:t>
            </w:r>
          </w:p>
        </w:tc>
        <w:tc>
          <w:tcPr>
            <w:tcW w:w="1701" w:type="dxa"/>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143" w:hRule="atLeast"/>
        </w:trPr>
        <w:tc>
          <w:tcPr>
            <w:tcW w:w="9205" w:type="dxa"/>
            <w:gridSpan w:val="8"/>
            <w:tcBorders>
              <w:top w:val="single" w:color="auto" w:sz="4" w:space="0"/>
            </w:tcBorders>
            <w:vAlign w:val="bottom"/>
          </w:tcPr>
          <w:p>
            <w:pPr>
              <w:autoSpaceDE w:val="0"/>
              <w:autoSpaceDN w:val="0"/>
              <w:adjustRightInd w:val="0"/>
              <w:spacing w:after="0" w:line="276" w:lineRule="auto"/>
              <w:ind w:right="10"/>
              <w:jc w:val="right"/>
              <w:rPr>
                <w:rFonts w:ascii="Times New Roman" w:hAnsi="Times New Roman" w:cs="Times New Roman"/>
                <w:sz w:val="12"/>
                <w:szCs w:val="12"/>
              </w:rPr>
            </w:pP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rPr>
                <w:rFonts w:ascii="Times New Roman" w:hAnsi="Times New Roman" w:cs="Times New Roman"/>
                <w:b/>
                <w:sz w:val="24"/>
                <w:szCs w:val="24"/>
              </w:rPr>
            </w:pPr>
            <w:r>
              <w:rPr>
                <w:rFonts w:ascii="Times New Roman" w:hAnsi="Times New Roman" w:cs="Times New Roman"/>
                <w:b/>
                <w:sz w:val="24"/>
                <w:szCs w:val="24"/>
              </w:rPr>
              <w:t>R-squared</w:t>
            </w:r>
          </w:p>
        </w:tc>
        <w:tc>
          <w:tcPr>
            <w:tcW w:w="1897"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0.8614</w:t>
            </w:r>
          </w:p>
        </w:tc>
        <w:tc>
          <w:tcPr>
            <w:tcW w:w="2331" w:type="dxa"/>
            <w:gridSpan w:val="3"/>
            <w:vAlign w:val="bottom"/>
          </w:tcPr>
          <w:p>
            <w:pPr>
              <w:autoSpaceDE w:val="0"/>
              <w:autoSpaceDN w:val="0"/>
              <w:adjustRightInd w:val="0"/>
              <w:spacing w:after="0" w:line="276" w:lineRule="auto"/>
              <w:ind w:right="10"/>
              <w:rPr>
                <w:rFonts w:ascii="Times New Roman" w:hAnsi="Times New Roman" w:cs="Times New Roman"/>
                <w:b/>
                <w:sz w:val="24"/>
                <w:szCs w:val="24"/>
              </w:rPr>
            </w:pPr>
            <w:r>
              <w:rPr>
                <w:rFonts w:ascii="Times New Roman" w:hAnsi="Times New Roman" w:cs="Times New Roman"/>
                <w:b/>
                <w:sz w:val="24"/>
                <w:szCs w:val="24"/>
              </w:rPr>
              <w:t>F-stat</w:t>
            </w:r>
          </w:p>
        </w:tc>
        <w:tc>
          <w:tcPr>
            <w:tcW w:w="2592"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120.79 (0.0000)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rPr>
                <w:rFonts w:ascii="Times New Roman" w:hAnsi="Times New Roman" w:cs="Times New Roman"/>
                <w:b/>
                <w:sz w:val="24"/>
                <w:szCs w:val="24"/>
              </w:rPr>
            </w:pPr>
            <w:r>
              <w:rPr>
                <w:rFonts w:ascii="Times New Roman" w:hAnsi="Times New Roman" w:cs="Times New Roman"/>
                <w:b/>
                <w:sz w:val="24"/>
                <w:szCs w:val="24"/>
              </w:rPr>
              <w:t>Adj. R-squared</w:t>
            </w:r>
          </w:p>
        </w:tc>
        <w:tc>
          <w:tcPr>
            <w:tcW w:w="1897"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0.8134</w:t>
            </w:r>
          </w:p>
        </w:tc>
        <w:tc>
          <w:tcPr>
            <w:tcW w:w="2331" w:type="dxa"/>
            <w:gridSpan w:val="3"/>
            <w:vAlign w:val="bottom"/>
          </w:tcPr>
          <w:p>
            <w:pPr>
              <w:autoSpaceDE w:val="0"/>
              <w:autoSpaceDN w:val="0"/>
              <w:adjustRightInd w:val="0"/>
              <w:spacing w:after="0" w:line="276" w:lineRule="auto"/>
              <w:ind w:right="10"/>
              <w:rPr>
                <w:rFonts w:ascii="Times New Roman" w:hAnsi="Times New Roman" w:cs="Times New Roman"/>
                <w:b/>
                <w:sz w:val="24"/>
                <w:szCs w:val="24"/>
              </w:rPr>
            </w:pPr>
            <w:r>
              <w:rPr>
                <w:rFonts w:ascii="Times New Roman" w:hAnsi="Times New Roman" w:cs="Times New Roman"/>
                <w:b/>
                <w:sz w:val="24"/>
                <w:szCs w:val="24"/>
              </w:rPr>
              <w:t>D-Watson</w:t>
            </w:r>
          </w:p>
        </w:tc>
        <w:tc>
          <w:tcPr>
            <w:tcW w:w="2592"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2.1244</w:t>
            </w:r>
          </w:p>
        </w:tc>
      </w:tr>
    </w:tbl>
    <w:p>
      <w:pPr>
        <w:spacing w:after="120" w:line="276" w:lineRule="auto"/>
        <w:jc w:val="both"/>
        <w:rPr>
          <w:rFonts w:ascii="Times New Roman" w:hAnsi="Times New Roman"/>
          <w:sz w:val="24"/>
          <w:szCs w:val="24"/>
        </w:rPr>
      </w:pPr>
      <w:r>
        <w:rPr>
          <w:rFonts w:ascii="Times New Roman" w:hAnsi="Times New Roman"/>
          <w:b/>
          <w:sz w:val="24"/>
          <w:szCs w:val="24"/>
        </w:rPr>
        <w:t>Source:</w:t>
      </w:r>
      <w:r>
        <w:rPr>
          <w:rFonts w:ascii="Times New Roman" w:hAnsi="Times New Roman"/>
          <w:sz w:val="24"/>
          <w:szCs w:val="24"/>
        </w:rPr>
        <w:t xml:space="preserve"> Author’s computation (2023).</w:t>
      </w:r>
    </w:p>
    <w:bookmarkEnd w:id="5"/>
    <w:p>
      <w:pPr>
        <w:rPr>
          <w:rFonts w:ascii="Times New Roman" w:hAnsi="Times New Roman"/>
          <w:sz w:val="24"/>
          <w:szCs w:val="24"/>
        </w:rPr>
      </w:pPr>
      <w:r>
        <w:rPr>
          <w:rFonts w:ascii="Times New Roman" w:hAnsi="Times New Roman"/>
          <w:sz w:val="24"/>
          <w:szCs w:val="24"/>
        </w:rPr>
        <w:br w:type="page"/>
      </w:r>
    </w:p>
    <w:p>
      <w:pPr>
        <w:spacing w:after="120" w:line="480" w:lineRule="auto"/>
        <w:jc w:val="both"/>
        <w:rPr>
          <w:rFonts w:ascii="Times New Roman" w:hAnsi="Times New Roman"/>
          <w:sz w:val="24"/>
          <w:szCs w:val="24"/>
        </w:rPr>
      </w:pPr>
      <w:r>
        <w:rPr>
          <w:rFonts w:ascii="Times New Roman" w:hAnsi="Times New Roman"/>
          <w:sz w:val="24"/>
          <w:szCs w:val="24"/>
        </w:rPr>
        <w:t>The short-run coefficient of the change in life expectancy at lags one is significantly negative at the 5% level, respectively. Liquidity ratio positively and significant relate with life expectancy in the short run. As for loan to deposit ratio, its current and first lag have negative and significant coefficients. This means that the negative influence of loan to deposit ratio on life expectancy is not significant statistically at 5% level. While the current level is statistically insignificant and negative, the short-run parameter estimate of the first lag of inflation was found to be positive and statistically insignificant at 5%.As a result, the inflation rate had a short-run positive and significant impact on life expectancy at lag one. Life expectancy is directly and significantly affected by the current level of trade openness.The rise in trade openness had a beneficial and considerable impact on life expectancy.Except for its current level, which is negative and statistically insignificant at 5%, gross fixed capital formation at first lag is positive and statistically significant.</w:t>
      </w:r>
    </w:p>
    <w:p>
      <w:pPr>
        <w:spacing w:after="120" w:line="480" w:lineRule="auto"/>
        <w:jc w:val="both"/>
        <w:rPr>
          <w:rFonts w:ascii="Times New Roman" w:hAnsi="Times New Roman"/>
          <w:sz w:val="24"/>
          <w:szCs w:val="24"/>
        </w:rPr>
      </w:pPr>
      <w:r>
        <w:rPr>
          <w:rFonts w:ascii="Times New Roman" w:hAnsi="Times New Roman"/>
          <w:sz w:val="24"/>
          <w:szCs w:val="24"/>
        </w:rPr>
        <w:t>The long-term estimates in Table 4.10 show that liquidity ratio, loan to deposit ratio and trade openness have direct link with life expectancy in Nigeria. The parameter of the indicator was consistent with theoretical assumptions, but on the parameter of liquidity ratio is statistically significant at 5%.It implies that liquidity ratio haslong-term association with life expectancy. Similarly, low inflation rate has a significant impact on high life expectancy.Meanwhile, gross fixed capital formation and domestic credit to private sector by banks to GDP ratio have had a long-term negative impact on life expectancy. Only the negative impact of gross fixed capital formation to GDP ratio on life expectancy is significant at 5% level. As a result, a 10% change in investment results in a 2.2% drop in life expectancy.</w:t>
      </w:r>
    </w:p>
    <w:p>
      <w:pPr>
        <w:spacing w:after="120" w:line="480" w:lineRule="auto"/>
        <w:jc w:val="both"/>
        <w:rPr>
          <w:rFonts w:ascii="Times New Roman" w:hAnsi="Times New Roman"/>
          <w:sz w:val="24"/>
          <w:szCs w:val="24"/>
        </w:rPr>
      </w:pPr>
      <w:r>
        <w:rPr>
          <w:rFonts w:ascii="Times New Roman" w:hAnsi="Times New Roman"/>
          <w:sz w:val="24"/>
          <w:szCs w:val="24"/>
        </w:rPr>
        <w:t>The adjusted R</w:t>
      </w:r>
      <w:r>
        <w:rPr>
          <w:rFonts w:ascii="Times New Roman" w:hAnsi="Times New Roman"/>
          <w:sz w:val="24"/>
          <w:szCs w:val="24"/>
          <w:vertAlign w:val="superscript"/>
        </w:rPr>
        <w:t>2</w:t>
      </w:r>
      <w:r>
        <w:rPr>
          <w:rFonts w:ascii="Times New Roman" w:hAnsi="Times New Roman"/>
          <w:sz w:val="24"/>
          <w:szCs w:val="24"/>
        </w:rPr>
        <w:t xml:space="preserve"> (coefficient of determination) is high (81.34%), indicating that the model variables accounted for approximately 81.34% of all differences in life expectancy. It merely stated that the changes in bank sector development and other contributing factors accounted for 81.34% of the variations in life expectancy. The overall test using the F-statistic (120.79), which is statistically significant at the 5% level of significance, demonstrates that the model is accurately specified and statistically significant. The model lacks serial autocorrelation, as demonstrated by the Durbin-Watson score of 2.1244.</w:t>
      </w:r>
    </w:p>
    <w:p>
      <w:pPr>
        <w:spacing w:after="120" w:line="480" w:lineRule="auto"/>
        <w:jc w:val="both"/>
        <w:rPr>
          <w:rFonts w:ascii="Times New Roman" w:hAnsi="Times New Roman" w:cs="Times New Roman"/>
          <w:b/>
          <w:sz w:val="24"/>
          <w:szCs w:val="24"/>
        </w:rPr>
      </w:pPr>
      <w:r>
        <w:rPr>
          <w:rFonts w:ascii="Times New Roman" w:hAnsi="Times New Roman" w:cs="Times New Roman"/>
          <w:b/>
          <w:sz w:val="24"/>
          <w:szCs w:val="24"/>
        </w:rPr>
        <w:t>Diagnostic Test</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The estimated ARDL model examines heteroscedasticity, serial correlation, functional form misspecification, parameter stability, and normality testing. The results of these tests are shown in Table 4.11.The calculated ARDL model passed the serial correlation, normality, and heteroskedasticity tests. It shows that the error terms are not serially related and have the same variances as their normal distribution. Furthermore, the ARDL model passes the Ramsey RESET test, indicating that it is evenly specified. Furthermore, the cumulative sum (CUSUM) and cumulative sum of squares (CUSUMSQ), as shown in Figures 4.7a and 4.7b, are stable.</w:t>
      </w:r>
    </w:p>
    <w:p>
      <w:pPr>
        <w:rPr>
          <w:rFonts w:ascii="Times New Roman" w:hAnsi="Times New Roman" w:cs="Times New Roman"/>
          <w:sz w:val="24"/>
          <w:szCs w:val="24"/>
        </w:rPr>
      </w:pPr>
      <w:r>
        <w:rPr>
          <w:rFonts w:ascii="Times New Roman" w:hAnsi="Times New Roman" w:cs="Times New Roman"/>
          <w:sz w:val="24"/>
          <w:szCs w:val="24"/>
        </w:rPr>
        <w:br w:type="page"/>
      </w:r>
    </w:p>
    <w:p>
      <w:pPr>
        <w:spacing w:after="0" w:line="240" w:lineRule="auto"/>
        <w:rPr>
          <w:rFonts w:ascii="Times New Roman" w:hAnsi="Times New Roman" w:cs="Times New Roman"/>
          <w:sz w:val="24"/>
          <w:szCs w:val="24"/>
        </w:rPr>
      </w:pPr>
      <w:r>
        <w:rPr>
          <w:rFonts w:ascii="Times New Roman" w:hAnsi="Times New Roman" w:cs="Times New Roman"/>
          <w:b/>
          <w:sz w:val="24"/>
          <w:szCs w:val="24"/>
        </w:rPr>
        <w:t>Table 4.11:</w:t>
      </w:r>
      <w:r>
        <w:rPr>
          <w:rFonts w:ascii="Times New Roman" w:hAnsi="Times New Roman" w:cs="Times New Roman"/>
          <w:sz w:val="24"/>
          <w:szCs w:val="24"/>
        </w:rPr>
        <w:t xml:space="preserve"> Diagnostic tests of selected ARDL model</w:t>
      </w:r>
    </w:p>
    <w:tbl>
      <w:tblPr>
        <w:tblStyle w:val="6"/>
        <w:tblW w:w="0" w:type="auto"/>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077"/>
        <w:gridCol w:w="4820"/>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8897" w:type="dxa"/>
            <w:gridSpan w:val="2"/>
            <w:tcBorders>
              <w:top w:val="single" w:color="auto" w:sz="4" w:space="0"/>
              <w:bottom w:val="single" w:color="auto" w:sz="4" w:space="0"/>
            </w:tcBorders>
            <w:shd w:val="clear" w:color="auto" w:fill="auto"/>
          </w:tcPr>
          <w:p>
            <w:pPr>
              <w:spacing w:before="40" w:after="40" w:line="360" w:lineRule="auto"/>
              <w:ind w:left="11" w:hanging="11"/>
              <w:jc w:val="center"/>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Results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077" w:type="dxa"/>
            <w:tcBorders>
              <w:top w:val="single" w:color="auto" w:sz="4" w:space="0"/>
            </w:tcBorders>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Serial Correlation:</w:t>
            </w:r>
            <w:r>
              <w:rPr>
                <w:rFonts w:ascii="Times New Roman" w:hAnsi="Times New Roman" w:eastAsia="SimSun" w:cs="Times New Roman"/>
                <w:sz w:val="24"/>
                <w:szCs w:val="24"/>
                <w:lang w:eastAsia="en-GB"/>
              </w:rPr>
              <w:t>3.0762 [0.0724]</w:t>
            </w:r>
          </w:p>
        </w:tc>
        <w:tc>
          <w:tcPr>
            <w:tcW w:w="4820" w:type="dxa"/>
            <w:tcBorders>
              <w:top w:val="single" w:color="auto" w:sz="4" w:space="0"/>
            </w:tcBorders>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Normality Test:</w:t>
            </w:r>
            <w:r>
              <w:rPr>
                <w:rFonts w:ascii="Times New Roman" w:hAnsi="Times New Roman" w:eastAsia="SimSun" w:cs="Times New Roman"/>
                <w:sz w:val="24"/>
                <w:szCs w:val="24"/>
                <w:lang w:eastAsia="en-GB"/>
              </w:rPr>
              <w:t>5.5477 [0.0624]</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077" w:type="dxa"/>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Functional Form:</w:t>
            </w:r>
            <w:r>
              <w:rPr>
                <w:rFonts w:ascii="Times New Roman" w:hAnsi="Times New Roman" w:eastAsia="SimSun" w:cs="Times New Roman"/>
                <w:sz w:val="24"/>
                <w:szCs w:val="24"/>
                <w:lang w:eastAsia="en-GB"/>
              </w:rPr>
              <w:t xml:space="preserve"> 1.8811 [0.0762]</w:t>
            </w:r>
          </w:p>
        </w:tc>
        <w:tc>
          <w:tcPr>
            <w:tcW w:w="4820" w:type="dxa"/>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Heteroskedasticity Test:</w:t>
            </w:r>
            <w:r>
              <w:rPr>
                <w:rFonts w:ascii="Times New Roman" w:hAnsi="Times New Roman" w:eastAsia="SimSun" w:cs="Times New Roman"/>
                <w:sz w:val="24"/>
                <w:szCs w:val="24"/>
                <w:lang w:eastAsia="en-GB"/>
              </w:rPr>
              <w:t>0.3795 [0.9723]</w:t>
            </w:r>
          </w:p>
        </w:tc>
      </w:tr>
    </w:tbl>
    <w:p>
      <w:pPr>
        <w:spacing w:after="120" w:line="480" w:lineRule="auto"/>
        <w:jc w:val="both"/>
        <w:rPr>
          <w:rFonts w:ascii="Times New Roman" w:hAnsi="Times New Roman" w:cs="Times New Roman"/>
          <w:sz w:val="24"/>
          <w:szCs w:val="24"/>
        </w:rPr>
      </w:pPr>
      <w:r>
        <w:rPr>
          <w:rFonts w:ascii="Times New Roman" w:hAnsi="Times New Roman" w:cs="Times New Roman"/>
          <w:b/>
          <w:sz w:val="24"/>
          <w:szCs w:val="24"/>
        </w:rPr>
        <w:t>Source:</w:t>
      </w:r>
      <w:r>
        <w:rPr>
          <w:rFonts w:ascii="Times New Roman" w:hAnsi="Times New Roman" w:cs="Times New Roman"/>
          <w:sz w:val="24"/>
          <w:szCs w:val="24"/>
        </w:rPr>
        <w:t xml:space="preserve"> Author’s computation (2023).</w:t>
      </w:r>
    </w:p>
    <w:p>
      <w:pPr>
        <w:spacing w:after="120" w:line="480" w:lineRule="auto"/>
        <w:jc w:val="both"/>
        <w:rPr>
          <w:rFonts w:ascii="Times New Roman" w:hAnsi="Times New Roman" w:cs="Times New Roman"/>
          <w:sz w:val="24"/>
          <w:szCs w:val="24"/>
        </w:rPr>
      </w:pPr>
    </w:p>
    <w:tbl>
      <w:tblPr>
        <w:tblStyle w:val="22"/>
        <w:tblW w:w="10758" w:type="dxa"/>
        <w:tblInd w:w="-60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352"/>
        <w:gridCol w:w="54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368" w:type="dxa"/>
          </w:tcPr>
          <w:p>
            <w:pPr>
              <w:spacing w:after="0" w:line="276" w:lineRule="auto"/>
              <w:ind w:left="-108" w:right="-51"/>
              <w:jc w:val="both"/>
              <w:rPr>
                <w:rFonts w:ascii="Times New Roman" w:hAnsi="Times New Roman" w:cs="Times New Roman"/>
                <w:sz w:val="24"/>
                <w:szCs w:val="24"/>
              </w:rPr>
            </w:pPr>
            <w:r>
              <w:object>
                <v:shape id="_x0000_i1045" o:spt="75" type="#_x0000_t75" style="height:255pt;width:264.75pt;" o:ole="t" filled="f" o:preferrelative="t" stroked="f" coordsize="21600,21600">
                  <v:path/>
                  <v:fill on="f" focussize="0,0"/>
                  <v:stroke on="f" joinstyle="miter"/>
                  <v:imagedata r:id="rId55" o:title=""/>
                  <o:lock v:ext="edit" aspectratio="t"/>
                  <w10:wrap type="none"/>
                  <w10:anchorlock/>
                </v:shape>
                <o:OLEObject Type="Embed" ProgID="EViews.Workfile.2" ShapeID="_x0000_i1045" DrawAspect="Content" ObjectID="_1468075745" r:id="rId54">
                  <o:LockedField>false</o:LockedField>
                </o:OLEObject>
              </w:object>
            </w:r>
          </w:p>
        </w:tc>
        <w:tc>
          <w:tcPr>
            <w:tcW w:w="5390" w:type="dxa"/>
          </w:tcPr>
          <w:p>
            <w:pPr>
              <w:spacing w:after="0" w:line="276" w:lineRule="auto"/>
              <w:ind w:left="-108" w:right="-51"/>
              <w:jc w:val="both"/>
              <w:rPr>
                <w:rFonts w:ascii="Times New Roman" w:hAnsi="Times New Roman" w:cs="Times New Roman"/>
                <w:sz w:val="24"/>
                <w:szCs w:val="24"/>
              </w:rPr>
            </w:pPr>
            <w:r>
              <w:object>
                <v:shape id="_x0000_i1046" o:spt="75" type="#_x0000_t75" style="height:255pt;width:267.75pt;" o:ole="t" filled="f" o:preferrelative="t" stroked="f" coordsize="21600,21600">
                  <v:path/>
                  <v:fill on="f" focussize="0,0"/>
                  <v:stroke on="f" joinstyle="miter"/>
                  <v:imagedata r:id="rId57" o:title=""/>
                  <o:lock v:ext="edit" aspectratio="t"/>
                  <w10:wrap type="none"/>
                  <w10:anchorlock/>
                </v:shape>
                <o:OLEObject Type="Embed" ProgID="EViews.Workfile.2" ShapeID="_x0000_i1046" DrawAspect="Content" ObjectID="_1468075746" r:id="rId56">
                  <o:LockedField>false</o:LockedField>
                </o:OLEObject>
              </w:objec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368" w:type="dxa"/>
          </w:tcPr>
          <w:p>
            <w:pPr>
              <w:spacing w:after="0" w:line="276" w:lineRule="auto"/>
              <w:ind w:left="-108" w:right="-51"/>
              <w:jc w:val="both"/>
              <w:rPr>
                <w:rFonts w:ascii="Times New Roman" w:hAnsi="Times New Roman" w:cs="Times New Roman"/>
                <w:sz w:val="24"/>
                <w:szCs w:val="24"/>
              </w:rPr>
            </w:pPr>
            <w:r>
              <w:rPr>
                <w:rFonts w:ascii="Times New Roman" w:hAnsi="Times New Roman" w:cs="Times New Roman"/>
                <w:b/>
                <w:sz w:val="24"/>
                <w:szCs w:val="24"/>
              </w:rPr>
              <w:t>Figure 4.7a:</w:t>
            </w:r>
            <w:r>
              <w:rPr>
                <w:rFonts w:ascii="Times New Roman" w:hAnsi="Times New Roman" w:cs="Times New Roman"/>
                <w:sz w:val="24"/>
                <w:szCs w:val="24"/>
              </w:rPr>
              <w:t xml:space="preserve"> Cumulative Sum (CUSUM)</w:t>
            </w:r>
          </w:p>
        </w:tc>
        <w:tc>
          <w:tcPr>
            <w:tcW w:w="5390" w:type="dxa"/>
          </w:tcPr>
          <w:p>
            <w:pPr>
              <w:spacing w:after="0" w:line="276" w:lineRule="auto"/>
              <w:ind w:left="-108" w:right="-51"/>
              <w:jc w:val="both"/>
              <w:rPr>
                <w:rFonts w:ascii="Times New Roman" w:hAnsi="Times New Roman" w:cs="Times New Roman"/>
                <w:sz w:val="24"/>
                <w:szCs w:val="24"/>
              </w:rPr>
            </w:pPr>
            <w:r>
              <w:rPr>
                <w:rFonts w:ascii="Times New Roman" w:hAnsi="Times New Roman" w:cs="Times New Roman"/>
                <w:b/>
                <w:sz w:val="24"/>
                <w:szCs w:val="24"/>
              </w:rPr>
              <w:t>Figure 4.7b:</w:t>
            </w:r>
            <w:r>
              <w:rPr>
                <w:rFonts w:ascii="Times New Roman" w:hAnsi="Times New Roman" w:cs="Times New Roman"/>
                <w:sz w:val="24"/>
                <w:szCs w:val="24"/>
              </w:rPr>
              <w:t xml:space="preserve"> Cumulative Sum of Square (CUSUMQ)</w:t>
            </w:r>
          </w:p>
        </w:tc>
      </w:tr>
    </w:tbl>
    <w:p>
      <w:pPr>
        <w:rPr>
          <w:rFonts w:ascii="Times New Roman" w:hAnsi="Times New Roman" w:cs="Times New Roman"/>
          <w:sz w:val="24"/>
          <w:szCs w:val="24"/>
        </w:rPr>
      </w:pPr>
      <w:r>
        <w:rPr>
          <w:rFonts w:ascii="Times New Roman" w:hAnsi="Times New Roman" w:cs="Times New Roman"/>
          <w:sz w:val="24"/>
          <w:szCs w:val="24"/>
        </w:rPr>
        <w:br w:type="page"/>
      </w:r>
    </w:p>
    <w:p>
      <w:pPr>
        <w:spacing w:after="120" w:line="480" w:lineRule="auto"/>
        <w:jc w:val="both"/>
        <w:rPr>
          <w:rFonts w:ascii="Times New Roman" w:hAnsi="Times New Roman" w:cs="Times New Roman"/>
          <w:b/>
          <w:sz w:val="24"/>
          <w:szCs w:val="24"/>
        </w:rPr>
      </w:pPr>
      <w:r>
        <w:rPr>
          <w:rFonts w:ascii="Times New Roman" w:hAnsi="Times New Roman" w:cs="Times New Roman"/>
          <w:b/>
          <w:sz w:val="24"/>
          <w:szCs w:val="24"/>
        </w:rPr>
        <w:t>C) Short-run and Long-run Estimates of Bank Sector Development Quality and Child Mortality</w:t>
      </w:r>
    </w:p>
    <w:p>
      <w:pPr>
        <w:spacing w:after="120" w:line="480" w:lineRule="auto"/>
        <w:jc w:val="both"/>
        <w:rPr>
          <w:rFonts w:ascii="Times New Roman" w:hAnsi="Times New Roman"/>
          <w:sz w:val="24"/>
          <w:szCs w:val="24"/>
        </w:rPr>
      </w:pPr>
      <w:r>
        <w:rPr>
          <w:rFonts w:ascii="Times New Roman" w:hAnsi="Times New Roman"/>
          <w:sz w:val="24"/>
          <w:szCs w:val="24"/>
        </w:rPr>
        <w:t>In this section, this study examined the null hypothesis that bank sector development has no significant effect on child mortality in Nigeria. It assesses the short-run and long-run relationship estimates of bank sector development and other controllable factors on child mortality in Nigeria using the estimated ARDL approach, which was completely addressed in the preceding chapter. The calculated ARDL model is a combination of short-run and long-run estimates of the relationships among the series considered in this study. Based on statistics on bank sector development, gross fixed capital creation, financial sector development, trade openness, and inflation rate, Table 4.12 provides conclusive evidence for our empirical estimates.</w:t>
      </w:r>
    </w:p>
    <w:p>
      <w:pPr>
        <w:spacing w:after="120" w:line="480" w:lineRule="auto"/>
        <w:jc w:val="both"/>
        <w:rPr>
          <w:rFonts w:ascii="Times New Roman" w:hAnsi="Times New Roman"/>
          <w:sz w:val="24"/>
          <w:szCs w:val="24"/>
        </w:rPr>
      </w:pPr>
      <w:r>
        <w:rPr>
          <w:rFonts w:ascii="Times New Roman" w:hAnsi="Times New Roman"/>
          <w:sz w:val="24"/>
          <w:szCs w:val="24"/>
        </w:rPr>
        <w:t>The short-run estimation results show the error correction mechanism, which measures the rate or intensity of adjustment. It quantifies the rate at which the outcome variable responds to changes in the explanatory variables. The dynamic pattern of the model is revealed in the short run analysis, which also checks to determine if the dynamics of the model have not been confined by incorrect lag length constraints. Based on the automatic selection of the Akaike Information Criterion, the model’s lag length was set at three to ensure a sufficient degree of freedom, and the ARDL test automatically selected the lag duration on all variables. The short-term estimates of the connection between institutional quality and newborn mortality are shown in Table 4.12.The coefficient of the ECT is found to be negative and statistically significant at the conventional level. The ECT value (-0.0838) implied that the model corrects its short-run disequilibrium by 8.38% speed of adjustment in order to return to the long run equilibrium.</w:t>
      </w:r>
    </w:p>
    <w:p>
      <w:pPr>
        <w:rPr>
          <w:rFonts w:ascii="Times New Roman" w:hAnsi="Times New Roman"/>
          <w:sz w:val="24"/>
          <w:szCs w:val="24"/>
        </w:rPr>
      </w:pPr>
      <w:r>
        <w:rPr>
          <w:rFonts w:ascii="Times New Roman" w:hAnsi="Times New Roman"/>
          <w:sz w:val="24"/>
          <w:szCs w:val="24"/>
        </w:rPr>
        <w:br w:type="page"/>
      </w:r>
    </w:p>
    <w:p>
      <w:pPr>
        <w:spacing w:after="0"/>
        <w:jc w:val="both"/>
        <w:rPr>
          <w:rFonts w:ascii="Times New Roman" w:hAnsi="Times New Roman"/>
          <w:sz w:val="24"/>
          <w:szCs w:val="24"/>
        </w:rPr>
      </w:pPr>
      <w:bookmarkStart w:id="6" w:name="_Hlk151101410"/>
      <w:r>
        <w:rPr>
          <w:rFonts w:ascii="Times New Roman" w:hAnsi="Times New Roman"/>
          <w:b/>
          <w:sz w:val="24"/>
          <w:szCs w:val="24"/>
        </w:rPr>
        <w:t xml:space="preserve">Table 4.12: </w:t>
      </w:r>
      <w:r>
        <w:rPr>
          <w:rFonts w:ascii="Times New Roman" w:hAnsi="Times New Roman"/>
          <w:sz w:val="24"/>
          <w:szCs w:val="24"/>
        </w:rPr>
        <w:t>Results of estimated ARDL model of child mortality</w:t>
      </w:r>
    </w:p>
    <w:tbl>
      <w:tblPr>
        <w:tblStyle w:val="6"/>
        <w:tblW w:w="9205" w:type="dxa"/>
        <w:tblInd w:w="-142"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385"/>
        <w:gridCol w:w="1717"/>
        <w:gridCol w:w="180"/>
        <w:gridCol w:w="102"/>
        <w:gridCol w:w="1419"/>
        <w:gridCol w:w="810"/>
        <w:gridCol w:w="891"/>
        <w:gridCol w:w="1701"/>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9205" w:type="dxa"/>
            <w:gridSpan w:val="8"/>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 xml:space="preserve">Dependent Variable: </w:t>
            </w:r>
            <w:r>
              <w:rPr>
                <w:rFonts w:ascii="Times New Roman" w:hAnsi="Times New Roman" w:cs="Times New Roman"/>
                <w:sz w:val="24"/>
                <w:szCs w:val="24"/>
              </w:rPr>
              <w:t>Child mortality (un5m)</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9205" w:type="dxa"/>
            <w:gridSpan w:val="8"/>
            <w:tcBorders>
              <w:bottom w:val="nil"/>
            </w:tcBorders>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 xml:space="preserve">Selected Model: </w:t>
            </w:r>
            <w:r>
              <w:rPr>
                <w:rFonts w:ascii="Times New Roman" w:hAnsi="Times New Roman" w:cs="Times New Roman"/>
                <w:sz w:val="24"/>
                <w:szCs w:val="24"/>
              </w:rPr>
              <w:t>ARDL(2, 2, 1, 2, 2, 0, 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83" w:hRule="atLeast"/>
        </w:trPr>
        <w:tc>
          <w:tcPr>
            <w:tcW w:w="4384" w:type="dxa"/>
            <w:gridSpan w:val="4"/>
            <w:tcBorders>
              <w:top w:val="nil"/>
              <w:bottom w:val="single" w:color="auto" w:sz="4" w:space="0"/>
            </w:tcBorders>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Sample:</w:t>
            </w:r>
            <w:r>
              <w:rPr>
                <w:rFonts w:ascii="Times New Roman" w:hAnsi="Times New Roman" w:cs="Times New Roman"/>
                <w:sz w:val="24"/>
                <w:szCs w:val="24"/>
              </w:rPr>
              <w:t xml:space="preserve"> 1985 2022</w:t>
            </w:r>
          </w:p>
        </w:tc>
        <w:tc>
          <w:tcPr>
            <w:tcW w:w="4821" w:type="dxa"/>
            <w:gridSpan w:val="4"/>
            <w:tcBorders>
              <w:top w:val="nil"/>
              <w:bottom w:val="single" w:color="auto" w:sz="4" w:space="0"/>
            </w:tcBorders>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Included observations:</w:t>
            </w:r>
            <w:r>
              <w:rPr>
                <w:rFonts w:ascii="Times New Roman" w:hAnsi="Times New Roman" w:cs="Times New Roman"/>
                <w:sz w:val="24"/>
                <w:szCs w:val="24"/>
              </w:rPr>
              <w:t xml:space="preserve"> 36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9205" w:type="dxa"/>
            <w:gridSpan w:val="8"/>
            <w:tcBorders>
              <w:top w:val="single" w:color="auto" w:sz="4" w:space="0"/>
              <w:bottom w:val="single" w:color="auto" w:sz="4" w:space="0"/>
            </w:tcBorders>
            <w:vAlign w:val="bottom"/>
          </w:tcPr>
          <w:p>
            <w:pPr>
              <w:autoSpaceDE w:val="0"/>
              <w:autoSpaceDN w:val="0"/>
              <w:adjustRightInd w:val="0"/>
              <w:spacing w:after="0" w:line="276" w:lineRule="auto"/>
              <w:jc w:val="center"/>
              <w:rPr>
                <w:rFonts w:ascii="Times New Roman" w:hAnsi="Times New Roman" w:cs="Times New Roman"/>
                <w:b/>
                <w:i/>
                <w:sz w:val="24"/>
                <w:szCs w:val="24"/>
              </w:rPr>
            </w:pPr>
            <w:r>
              <w:rPr>
                <w:rFonts w:ascii="Times New Roman" w:hAnsi="Times New Roman" w:cs="Times New Roman"/>
                <w:b/>
                <w:i/>
                <w:sz w:val="24"/>
                <w:szCs w:val="24"/>
              </w:rPr>
              <w:t>Short-Run Estimates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top w:val="single" w:color="auto" w:sz="4" w:space="0"/>
              <w:bottom w:val="single" w:color="auto" w:sz="4" w:space="0"/>
            </w:tcBorders>
            <w:vAlign w:val="center"/>
          </w:tcPr>
          <w:p>
            <w:pPr>
              <w:autoSpaceDE w:val="0"/>
              <w:autoSpaceDN w:val="0"/>
              <w:adjustRightInd w:val="0"/>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Variable</w:t>
            </w:r>
          </w:p>
        </w:tc>
        <w:tc>
          <w:tcPr>
            <w:tcW w:w="1717" w:type="dxa"/>
            <w:tcBorders>
              <w:top w:val="single" w:color="auto" w:sz="4" w:space="0"/>
              <w:bottom w:val="single" w:color="auto" w:sz="4" w:space="0"/>
            </w:tcBorders>
            <w:vAlign w:val="center"/>
          </w:tcPr>
          <w:p>
            <w:pPr>
              <w:autoSpaceDE w:val="0"/>
              <w:autoSpaceDN w:val="0"/>
              <w:adjustRightInd w:val="0"/>
              <w:spacing w:after="0" w:line="276" w:lineRule="auto"/>
              <w:ind w:right="11"/>
              <w:jc w:val="center"/>
              <w:rPr>
                <w:rFonts w:ascii="Times New Roman" w:hAnsi="Times New Roman" w:cs="Times New Roman"/>
                <w:b/>
                <w:sz w:val="24"/>
                <w:szCs w:val="24"/>
              </w:rPr>
            </w:pPr>
            <w:r>
              <w:rPr>
                <w:rFonts w:ascii="Times New Roman" w:hAnsi="Times New Roman" w:cs="Times New Roman"/>
                <w:b/>
                <w:sz w:val="24"/>
                <w:szCs w:val="24"/>
              </w:rPr>
              <w:t>Coefficient</w:t>
            </w:r>
          </w:p>
        </w:tc>
        <w:tc>
          <w:tcPr>
            <w:tcW w:w="1701" w:type="dxa"/>
            <w:gridSpan w:val="3"/>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sz w:val="24"/>
                <w:szCs w:val="24"/>
              </w:rPr>
            </w:pPr>
            <w:r>
              <w:rPr>
                <w:rFonts w:ascii="Times New Roman" w:hAnsi="Times New Roman" w:cs="Times New Roman"/>
                <w:b/>
                <w:sz w:val="24"/>
                <w:szCs w:val="24"/>
              </w:rPr>
              <w:t>Std. Error</w:t>
            </w:r>
          </w:p>
        </w:tc>
        <w:tc>
          <w:tcPr>
            <w:tcW w:w="1701" w:type="dxa"/>
            <w:gridSpan w:val="2"/>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sz w:val="24"/>
                <w:szCs w:val="24"/>
              </w:rPr>
            </w:pPr>
            <w:r>
              <w:rPr>
                <w:rFonts w:ascii="Times New Roman" w:hAnsi="Times New Roman" w:cs="Times New Roman"/>
                <w:b/>
                <w:sz w:val="24"/>
                <w:szCs w:val="24"/>
              </w:rPr>
              <w:t>t-Statistic</w:t>
            </w:r>
          </w:p>
        </w:tc>
        <w:tc>
          <w:tcPr>
            <w:tcW w:w="1701" w:type="dxa"/>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sz w:val="24"/>
                <w:szCs w:val="24"/>
              </w:rPr>
            </w:pPr>
            <w:r>
              <w:rPr>
                <w:rFonts w:ascii="Times New Roman" w:hAnsi="Times New Roman" w:cs="Times New Roman"/>
                <w:b/>
                <w:sz w:val="24"/>
                <w:szCs w:val="24"/>
              </w:rPr>
              <w:t>Prob.</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top w:val="single" w:color="auto" w:sz="4" w:space="0"/>
            </w:tcBorders>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LOG(UN5M(-1))</w:t>
            </w:r>
          </w:p>
        </w:tc>
        <w:tc>
          <w:tcPr>
            <w:tcW w:w="1717" w:type="dxa"/>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0.864722</w:t>
            </w:r>
          </w:p>
        </w:tc>
        <w:tc>
          <w:tcPr>
            <w:tcW w:w="1701" w:type="dxa"/>
            <w:gridSpan w:val="3"/>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0.022311</w:t>
            </w:r>
          </w:p>
        </w:tc>
        <w:tc>
          <w:tcPr>
            <w:tcW w:w="1701" w:type="dxa"/>
            <w:gridSpan w:val="2"/>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38.75760</w:t>
            </w:r>
          </w:p>
        </w:tc>
        <w:tc>
          <w:tcPr>
            <w:tcW w:w="1701" w:type="dxa"/>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(LR)</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-0.000120</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3.26E-05</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-3.695332</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0.0015</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(LR(-1))</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0.000156</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3.67E-05</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4.254955</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0.0004</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(LDR)</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0.000125</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3.78E-05</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3.312637</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0.0037</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(DCPS)</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8.31E-05</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0.000197</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0.420931</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0.6785</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(DCPS(-1))</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0.000457</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0.000205</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2.232187</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0.0378</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(INF)</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-3.41E-05</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3.08E-05</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-1.108008</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0.2817</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(INF(-1))</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0.000128</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3.05E-05</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4.213501</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0.0005</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(GFCF)</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-0.000246</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0.000136</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-1.801910</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0.0874</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bottom w:val="single" w:color="auto" w:sz="4" w:space="0"/>
            </w:tcBorders>
            <w:vAlign w:val="center"/>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ECT(-1)</w:t>
            </w:r>
          </w:p>
        </w:tc>
        <w:tc>
          <w:tcPr>
            <w:tcW w:w="1717" w:type="dxa"/>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-0.083786</w:t>
            </w:r>
          </w:p>
        </w:tc>
        <w:tc>
          <w:tcPr>
            <w:tcW w:w="1701" w:type="dxa"/>
            <w:gridSpan w:val="3"/>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0.007624</w:t>
            </w:r>
          </w:p>
        </w:tc>
        <w:tc>
          <w:tcPr>
            <w:tcW w:w="1701" w:type="dxa"/>
            <w:gridSpan w:val="2"/>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-10.98974</w:t>
            </w:r>
          </w:p>
        </w:tc>
        <w:tc>
          <w:tcPr>
            <w:tcW w:w="1701" w:type="dxa"/>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9205" w:type="dxa"/>
            <w:gridSpan w:val="8"/>
            <w:tcBorders>
              <w:top w:val="single" w:color="auto" w:sz="4" w:space="0"/>
              <w:bottom w:val="single" w:color="auto" w:sz="4" w:space="0"/>
            </w:tcBorders>
            <w:vAlign w:val="center"/>
          </w:tcPr>
          <w:p>
            <w:pPr>
              <w:autoSpaceDE w:val="0"/>
              <w:autoSpaceDN w:val="0"/>
              <w:adjustRightInd w:val="0"/>
              <w:spacing w:after="0" w:line="276" w:lineRule="auto"/>
              <w:ind w:right="11"/>
              <w:jc w:val="center"/>
              <w:rPr>
                <w:rFonts w:ascii="Times New Roman" w:hAnsi="Times New Roman" w:cs="Times New Roman"/>
                <w:b/>
                <w:i/>
                <w:sz w:val="24"/>
                <w:szCs w:val="24"/>
              </w:rPr>
            </w:pPr>
            <w:r>
              <w:rPr>
                <w:rFonts w:ascii="Times New Roman" w:hAnsi="Times New Roman" w:cs="Times New Roman"/>
                <w:b/>
                <w:i/>
                <w:sz w:val="24"/>
                <w:szCs w:val="24"/>
              </w:rPr>
              <w:t>Long-Run Estimates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top w:val="single" w:color="auto" w:sz="4" w:space="0"/>
            </w:tcBorders>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LR</w:t>
            </w:r>
          </w:p>
        </w:tc>
        <w:tc>
          <w:tcPr>
            <w:tcW w:w="1717" w:type="dxa"/>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-0.005163</w:t>
            </w:r>
          </w:p>
        </w:tc>
        <w:tc>
          <w:tcPr>
            <w:tcW w:w="1701" w:type="dxa"/>
            <w:gridSpan w:val="3"/>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0.001119</w:t>
            </w:r>
          </w:p>
        </w:tc>
        <w:tc>
          <w:tcPr>
            <w:tcW w:w="1701" w:type="dxa"/>
            <w:gridSpan w:val="2"/>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-4.612869</w:t>
            </w:r>
          </w:p>
        </w:tc>
        <w:tc>
          <w:tcPr>
            <w:tcW w:w="1701" w:type="dxa"/>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0.0002</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LDR</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-0.000136</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0.000575</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-0.236587</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0.8155</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DCPS</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-0.009854</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0.004609</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-2.138244</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0.0457</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INF</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-0.000216</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0.000664</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-0.324660</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0.7490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TOPEN</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0.002520</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0.000995</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2.532994</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0.0203</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GFCF</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0.011349</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0.002214</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5.125408</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bottom w:val="single" w:color="auto" w:sz="4" w:space="0"/>
            </w:tcBorders>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C</w:t>
            </w:r>
          </w:p>
        </w:tc>
        <w:tc>
          <w:tcPr>
            <w:tcW w:w="1717" w:type="dxa"/>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4.997465</w:t>
            </w:r>
          </w:p>
        </w:tc>
        <w:tc>
          <w:tcPr>
            <w:tcW w:w="1701" w:type="dxa"/>
            <w:gridSpan w:val="3"/>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0.136213</w:t>
            </w:r>
          </w:p>
        </w:tc>
        <w:tc>
          <w:tcPr>
            <w:tcW w:w="1701" w:type="dxa"/>
            <w:gridSpan w:val="2"/>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36.68861</w:t>
            </w:r>
          </w:p>
        </w:tc>
        <w:tc>
          <w:tcPr>
            <w:tcW w:w="1701" w:type="dxa"/>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143" w:hRule="atLeast"/>
        </w:trPr>
        <w:tc>
          <w:tcPr>
            <w:tcW w:w="9205" w:type="dxa"/>
            <w:gridSpan w:val="8"/>
            <w:tcBorders>
              <w:top w:val="single" w:color="auto" w:sz="4" w:space="0"/>
            </w:tcBorders>
            <w:vAlign w:val="bottom"/>
          </w:tcPr>
          <w:p>
            <w:pPr>
              <w:autoSpaceDE w:val="0"/>
              <w:autoSpaceDN w:val="0"/>
              <w:adjustRightInd w:val="0"/>
              <w:spacing w:after="0" w:line="276" w:lineRule="auto"/>
              <w:ind w:right="10"/>
              <w:jc w:val="right"/>
              <w:rPr>
                <w:rFonts w:ascii="Times New Roman" w:hAnsi="Times New Roman" w:cs="Times New Roman"/>
                <w:sz w:val="12"/>
                <w:szCs w:val="12"/>
              </w:rPr>
            </w:pP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rPr>
                <w:rFonts w:ascii="Times New Roman" w:hAnsi="Times New Roman" w:cs="Times New Roman"/>
                <w:b/>
                <w:sz w:val="24"/>
                <w:szCs w:val="24"/>
              </w:rPr>
            </w:pPr>
            <w:r>
              <w:rPr>
                <w:rFonts w:ascii="Times New Roman" w:hAnsi="Times New Roman" w:cs="Times New Roman"/>
                <w:b/>
                <w:sz w:val="24"/>
                <w:szCs w:val="24"/>
              </w:rPr>
              <w:t>R-squared</w:t>
            </w:r>
          </w:p>
        </w:tc>
        <w:tc>
          <w:tcPr>
            <w:tcW w:w="1897"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0.7676</w:t>
            </w:r>
          </w:p>
        </w:tc>
        <w:tc>
          <w:tcPr>
            <w:tcW w:w="2331" w:type="dxa"/>
            <w:gridSpan w:val="3"/>
            <w:vAlign w:val="bottom"/>
          </w:tcPr>
          <w:p>
            <w:pPr>
              <w:autoSpaceDE w:val="0"/>
              <w:autoSpaceDN w:val="0"/>
              <w:adjustRightInd w:val="0"/>
              <w:spacing w:after="0" w:line="276" w:lineRule="auto"/>
              <w:ind w:right="10"/>
              <w:rPr>
                <w:rFonts w:ascii="Times New Roman" w:hAnsi="Times New Roman" w:cs="Times New Roman"/>
                <w:b/>
                <w:sz w:val="24"/>
                <w:szCs w:val="24"/>
              </w:rPr>
            </w:pPr>
            <w:r>
              <w:rPr>
                <w:rFonts w:ascii="Times New Roman" w:hAnsi="Times New Roman" w:cs="Times New Roman"/>
                <w:b/>
                <w:sz w:val="24"/>
                <w:szCs w:val="24"/>
              </w:rPr>
              <w:t>F-stat</w:t>
            </w:r>
          </w:p>
        </w:tc>
        <w:tc>
          <w:tcPr>
            <w:tcW w:w="2592"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139.97 (0.0000)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rPr>
                <w:rFonts w:ascii="Times New Roman" w:hAnsi="Times New Roman" w:cs="Times New Roman"/>
                <w:b/>
                <w:sz w:val="24"/>
                <w:szCs w:val="24"/>
              </w:rPr>
            </w:pPr>
            <w:r>
              <w:rPr>
                <w:rFonts w:ascii="Times New Roman" w:hAnsi="Times New Roman" w:cs="Times New Roman"/>
                <w:b/>
                <w:sz w:val="24"/>
                <w:szCs w:val="24"/>
              </w:rPr>
              <w:t>Adj. R-squared</w:t>
            </w:r>
          </w:p>
        </w:tc>
        <w:tc>
          <w:tcPr>
            <w:tcW w:w="1897"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0.7564</w:t>
            </w:r>
          </w:p>
        </w:tc>
        <w:tc>
          <w:tcPr>
            <w:tcW w:w="2331" w:type="dxa"/>
            <w:gridSpan w:val="3"/>
            <w:vAlign w:val="bottom"/>
          </w:tcPr>
          <w:p>
            <w:pPr>
              <w:autoSpaceDE w:val="0"/>
              <w:autoSpaceDN w:val="0"/>
              <w:adjustRightInd w:val="0"/>
              <w:spacing w:after="0" w:line="276" w:lineRule="auto"/>
              <w:ind w:right="10"/>
              <w:rPr>
                <w:rFonts w:ascii="Times New Roman" w:hAnsi="Times New Roman" w:cs="Times New Roman"/>
                <w:b/>
                <w:sz w:val="24"/>
                <w:szCs w:val="24"/>
              </w:rPr>
            </w:pPr>
            <w:r>
              <w:rPr>
                <w:rFonts w:ascii="Times New Roman" w:hAnsi="Times New Roman" w:cs="Times New Roman"/>
                <w:b/>
                <w:sz w:val="24"/>
                <w:szCs w:val="24"/>
              </w:rPr>
              <w:t>D-Watson</w:t>
            </w:r>
          </w:p>
        </w:tc>
        <w:tc>
          <w:tcPr>
            <w:tcW w:w="2592"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1.8554</w:t>
            </w:r>
          </w:p>
        </w:tc>
      </w:tr>
    </w:tbl>
    <w:p>
      <w:pPr>
        <w:spacing w:after="120" w:line="480" w:lineRule="auto"/>
        <w:jc w:val="both"/>
        <w:rPr>
          <w:rFonts w:ascii="Times New Roman" w:hAnsi="Times New Roman"/>
          <w:sz w:val="24"/>
          <w:szCs w:val="24"/>
        </w:rPr>
      </w:pPr>
      <w:r>
        <w:rPr>
          <w:rFonts w:ascii="Times New Roman" w:hAnsi="Times New Roman"/>
          <w:b/>
          <w:sz w:val="24"/>
          <w:szCs w:val="24"/>
        </w:rPr>
        <w:t>Source:</w:t>
      </w:r>
      <w:r>
        <w:rPr>
          <w:rFonts w:ascii="Times New Roman" w:hAnsi="Times New Roman"/>
          <w:sz w:val="24"/>
          <w:szCs w:val="24"/>
        </w:rPr>
        <w:t xml:space="preserve"> Author’s computation (2023).</w:t>
      </w:r>
    </w:p>
    <w:bookmarkEnd w:id="6"/>
    <w:p>
      <w:pPr>
        <w:rPr>
          <w:rFonts w:ascii="Times New Roman" w:hAnsi="Times New Roman"/>
          <w:sz w:val="24"/>
          <w:szCs w:val="24"/>
        </w:rPr>
      </w:pPr>
      <w:r>
        <w:rPr>
          <w:rFonts w:ascii="Times New Roman" w:hAnsi="Times New Roman"/>
          <w:sz w:val="24"/>
          <w:szCs w:val="24"/>
        </w:rPr>
        <w:br w:type="page"/>
      </w:r>
    </w:p>
    <w:p>
      <w:pPr>
        <w:spacing w:after="120" w:line="480" w:lineRule="auto"/>
        <w:jc w:val="both"/>
        <w:rPr>
          <w:rFonts w:ascii="Times New Roman" w:hAnsi="Times New Roman"/>
          <w:sz w:val="24"/>
          <w:szCs w:val="24"/>
        </w:rPr>
      </w:pPr>
      <w:r>
        <w:rPr>
          <w:rFonts w:ascii="Times New Roman" w:hAnsi="Times New Roman"/>
          <w:sz w:val="24"/>
          <w:szCs w:val="24"/>
        </w:rPr>
        <w:t>The short-run coefficient of change in under-5 mortality at lags one is positive at the conventional level.While the first is negative and statistically significant, the short-run liquidity ratio negatively and significantly impact under-5 mortality in Nigeria. Furthermore, at 5%, the existing short run loan to deposit ratio was assessed to be positive and statistically significant. It means that the loan to deposit ratio had a short-term positive and significant impact on child mortality. The short-run domestic credit to private sector by banks to GDP at lag one has direct and significant effect on under-5 mortality rate in Nigeria. Although the current level of inflation rate has an indirect and insignificant impact on under-5 mortality, only its first lag is positive and significantstatistically. In addition, the findings showed that the current level of gross fixed capital formation had a significant and negative impact on under-5 mortality.</w:t>
      </w:r>
    </w:p>
    <w:p>
      <w:pPr>
        <w:spacing w:after="120" w:line="480" w:lineRule="auto"/>
        <w:jc w:val="both"/>
        <w:rPr>
          <w:rFonts w:ascii="Times New Roman" w:hAnsi="Times New Roman"/>
          <w:sz w:val="24"/>
          <w:szCs w:val="24"/>
        </w:rPr>
      </w:pPr>
      <w:r>
        <w:rPr>
          <w:rFonts w:ascii="Times New Roman" w:hAnsi="Times New Roman"/>
          <w:sz w:val="24"/>
          <w:szCs w:val="24"/>
        </w:rPr>
        <w:t xml:space="preserve">According to the long-term estimates presented in Table 4.12, liquidity ratio, loan to deposit ratio and domestic credit to private sector by banks to GDP ratio have a negative impact on child mortality in Nigeria. The seriesfollow the theoretical prediction, and only liquidity ratio and domestic credit to private sector by banks to GDP are statistically significant at 5%.It implies that </w:t>
      </w:r>
      <w:bookmarkStart w:id="7" w:name="_Hlk151114354"/>
      <w:r>
        <w:rPr>
          <w:rFonts w:ascii="Times New Roman" w:hAnsi="Times New Roman"/>
          <w:sz w:val="24"/>
          <w:szCs w:val="24"/>
        </w:rPr>
        <w:t>liquidity ratio and domestic credit to private sector by banks to GDP</w:t>
      </w:r>
      <w:bookmarkEnd w:id="7"/>
      <w:r>
        <w:rPr>
          <w:rFonts w:ascii="Times New Roman" w:hAnsi="Times New Roman"/>
          <w:sz w:val="24"/>
          <w:szCs w:val="24"/>
        </w:rPr>
        <w:t>have a beneficial impact on child mortality reduction. In terms of magnitude, a 100% increase in liquidity ratio and domestic credit to private sector by banks to GDP results in 0.52% and 0.014% reduction in child mortality. Low inflation has also been linked to an increase in under-5 mortality. As a result, a 100% decrease in inflation resulted in a 0.022% decrease in child mortality. Furthermore, during the study period, gross fixed capital formation to GDP ratio and trade openness had a significant direct impact on child mortality at 5% level. As a result, for every 10% increase in gross fixed capital formation to GDP ratio and trade openness, child mortality rises by 0.25% and 1.14%, respectively.</w:t>
      </w:r>
    </w:p>
    <w:p>
      <w:pPr>
        <w:spacing w:after="120" w:line="480" w:lineRule="auto"/>
        <w:jc w:val="both"/>
        <w:rPr>
          <w:rFonts w:ascii="Times New Roman" w:hAnsi="Times New Roman"/>
          <w:sz w:val="24"/>
          <w:szCs w:val="24"/>
        </w:rPr>
      </w:pPr>
      <w:r>
        <w:rPr>
          <w:rFonts w:ascii="Times New Roman" w:hAnsi="Times New Roman"/>
          <w:sz w:val="24"/>
          <w:szCs w:val="24"/>
        </w:rPr>
        <w:t>The adjusted R</w:t>
      </w:r>
      <w:r>
        <w:rPr>
          <w:rFonts w:ascii="Times New Roman" w:hAnsi="Times New Roman"/>
          <w:sz w:val="24"/>
          <w:szCs w:val="24"/>
          <w:vertAlign w:val="superscript"/>
        </w:rPr>
        <w:t>2</w:t>
      </w:r>
      <w:r>
        <w:rPr>
          <w:rFonts w:ascii="Times New Roman" w:hAnsi="Times New Roman"/>
          <w:sz w:val="24"/>
          <w:szCs w:val="24"/>
        </w:rPr>
        <w:t xml:space="preserve"> (coefficient of determination) is high (75.64%), indicating that the model variables accounted for approximately 75.64% of all variations in child mortality. It merely stated that changes in bank sector development and other contributing factors were responsible for 75.64% of the total variations in child mortality. The overall test using the F-statistic (139.97), which is statistically significant at the 5% level of significance, demonstrates that the model is accurately specified and statistically significant. The model lacks serial autocorrelation, as demonstrated by the Durbin-Watson score of 1.8554.</w:t>
      </w:r>
    </w:p>
    <w:p>
      <w:pPr>
        <w:spacing w:after="120" w:line="480" w:lineRule="auto"/>
        <w:jc w:val="both"/>
        <w:rPr>
          <w:rFonts w:ascii="Times New Roman" w:hAnsi="Times New Roman" w:cs="Times New Roman"/>
          <w:b/>
          <w:sz w:val="24"/>
          <w:szCs w:val="24"/>
        </w:rPr>
      </w:pPr>
      <w:r>
        <w:rPr>
          <w:rFonts w:ascii="Times New Roman" w:hAnsi="Times New Roman" w:cs="Times New Roman"/>
          <w:b/>
          <w:sz w:val="24"/>
          <w:szCs w:val="24"/>
        </w:rPr>
        <w:t>Diagnostic Test</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The estimated ARDL model examines heteroscedasticity, serial correlation, functional form misspecification, parameter stability, and normality testing. The results of these tests are shown in Table 4.13.The calculated ARDL model passed the serial correlation, normality, and heteroskedasticity tests. It shows that the error terms are not serially related and have the same variances as well as the normality distribution test. Furthermore, the ARDL model passes the Ramsey RESET test, indicating that it is evenly specified. In addition, the cumulative sum (CUSUM) and cumulative sum of squares (CUSUMSQ), as shown in Figures 4.8a and 4.8b, are stable.</w:t>
      </w:r>
    </w:p>
    <w:p>
      <w:pPr>
        <w:rPr>
          <w:rFonts w:ascii="Times New Roman" w:hAnsi="Times New Roman" w:cs="Times New Roman"/>
          <w:sz w:val="24"/>
          <w:szCs w:val="24"/>
        </w:rPr>
      </w:pPr>
      <w:r>
        <w:rPr>
          <w:rFonts w:ascii="Times New Roman" w:hAnsi="Times New Roman" w:cs="Times New Roman"/>
          <w:sz w:val="24"/>
          <w:szCs w:val="24"/>
        </w:rPr>
        <w:br w:type="page"/>
      </w:r>
    </w:p>
    <w:p>
      <w:pPr>
        <w:spacing w:after="0" w:line="240" w:lineRule="auto"/>
        <w:rPr>
          <w:rFonts w:ascii="Times New Roman" w:hAnsi="Times New Roman" w:cs="Times New Roman"/>
          <w:sz w:val="24"/>
          <w:szCs w:val="24"/>
        </w:rPr>
      </w:pPr>
      <w:r>
        <w:rPr>
          <w:rFonts w:ascii="Times New Roman" w:hAnsi="Times New Roman" w:cs="Times New Roman"/>
          <w:b/>
          <w:sz w:val="24"/>
          <w:szCs w:val="24"/>
        </w:rPr>
        <w:t>Table 4.13:</w:t>
      </w:r>
      <w:r>
        <w:rPr>
          <w:rFonts w:ascii="Times New Roman" w:hAnsi="Times New Roman" w:cs="Times New Roman"/>
          <w:sz w:val="24"/>
          <w:szCs w:val="24"/>
        </w:rPr>
        <w:t xml:space="preserve"> Diagnostic Tests of Selected ARDL Model</w:t>
      </w:r>
    </w:p>
    <w:tbl>
      <w:tblPr>
        <w:tblStyle w:val="6"/>
        <w:tblW w:w="0" w:type="auto"/>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077"/>
        <w:gridCol w:w="4820"/>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8897" w:type="dxa"/>
            <w:gridSpan w:val="2"/>
            <w:tcBorders>
              <w:top w:val="single" w:color="auto" w:sz="4" w:space="0"/>
              <w:bottom w:val="single" w:color="auto" w:sz="4" w:space="0"/>
            </w:tcBorders>
            <w:shd w:val="clear" w:color="auto" w:fill="auto"/>
          </w:tcPr>
          <w:p>
            <w:pPr>
              <w:spacing w:before="40" w:after="40" w:line="360" w:lineRule="auto"/>
              <w:ind w:left="11" w:hanging="11"/>
              <w:jc w:val="center"/>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Results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077" w:type="dxa"/>
            <w:tcBorders>
              <w:top w:val="single" w:color="auto" w:sz="4" w:space="0"/>
            </w:tcBorders>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Serial Correlation:</w:t>
            </w:r>
            <w:r>
              <w:rPr>
                <w:rFonts w:ascii="Times New Roman" w:hAnsi="Times New Roman" w:eastAsia="SimSun" w:cs="Times New Roman"/>
                <w:sz w:val="24"/>
                <w:szCs w:val="24"/>
                <w:lang w:eastAsia="en-GB"/>
              </w:rPr>
              <w:t>1.5213 [0.2467]</w:t>
            </w:r>
          </w:p>
        </w:tc>
        <w:tc>
          <w:tcPr>
            <w:tcW w:w="4820" w:type="dxa"/>
            <w:tcBorders>
              <w:top w:val="single" w:color="auto" w:sz="4" w:space="0"/>
            </w:tcBorders>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Normality Test:</w:t>
            </w:r>
            <w:r>
              <w:rPr>
                <w:rFonts w:ascii="Times New Roman" w:hAnsi="Times New Roman" w:eastAsia="SimSun" w:cs="Times New Roman"/>
                <w:sz w:val="24"/>
                <w:szCs w:val="24"/>
                <w:lang w:eastAsia="en-GB"/>
              </w:rPr>
              <w:t>0.2179 [0.8968]</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077" w:type="dxa"/>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Functional Form:</w:t>
            </w:r>
            <w:r>
              <w:rPr>
                <w:rFonts w:ascii="Times New Roman" w:hAnsi="Times New Roman" w:eastAsia="SimSun" w:cs="Times New Roman"/>
                <w:sz w:val="24"/>
                <w:szCs w:val="24"/>
                <w:lang w:eastAsia="en-GB"/>
              </w:rPr>
              <w:t xml:space="preserve"> 0.3233 [0.7502]</w:t>
            </w:r>
          </w:p>
        </w:tc>
        <w:tc>
          <w:tcPr>
            <w:tcW w:w="4820" w:type="dxa"/>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Heteroskedasticity Test:</w:t>
            </w:r>
            <w:r>
              <w:rPr>
                <w:rFonts w:ascii="Times New Roman" w:hAnsi="Times New Roman" w:eastAsia="SimSun" w:cs="Times New Roman"/>
                <w:sz w:val="24"/>
                <w:szCs w:val="24"/>
                <w:lang w:eastAsia="en-GB"/>
              </w:rPr>
              <w:t>1.6597 [0.2106]</w:t>
            </w:r>
          </w:p>
        </w:tc>
      </w:tr>
    </w:tbl>
    <w:p>
      <w:pPr>
        <w:spacing w:after="120" w:line="480" w:lineRule="auto"/>
        <w:jc w:val="both"/>
        <w:rPr>
          <w:rFonts w:ascii="Times New Roman" w:hAnsi="Times New Roman" w:cs="Times New Roman"/>
          <w:sz w:val="24"/>
          <w:szCs w:val="24"/>
        </w:rPr>
      </w:pPr>
      <w:r>
        <w:rPr>
          <w:rFonts w:ascii="Times New Roman" w:hAnsi="Times New Roman" w:cs="Times New Roman"/>
          <w:b/>
          <w:sz w:val="24"/>
          <w:szCs w:val="24"/>
        </w:rPr>
        <w:t>Source:</w:t>
      </w:r>
      <w:r>
        <w:rPr>
          <w:rFonts w:ascii="Times New Roman" w:hAnsi="Times New Roman" w:cs="Times New Roman"/>
          <w:sz w:val="24"/>
          <w:szCs w:val="24"/>
        </w:rPr>
        <w:t xml:space="preserve"> Author’s computation (2023).</w:t>
      </w:r>
    </w:p>
    <w:p>
      <w:pPr>
        <w:spacing w:after="120" w:line="480" w:lineRule="auto"/>
        <w:jc w:val="both"/>
        <w:rPr>
          <w:rFonts w:ascii="Times New Roman" w:hAnsi="Times New Roman" w:cs="Times New Roman"/>
          <w:sz w:val="24"/>
          <w:szCs w:val="24"/>
        </w:rPr>
      </w:pPr>
    </w:p>
    <w:tbl>
      <w:tblPr>
        <w:tblStyle w:val="22"/>
        <w:tblW w:w="10758" w:type="dxa"/>
        <w:tblInd w:w="-60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368"/>
        <w:gridCol w:w="53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368" w:type="dxa"/>
          </w:tcPr>
          <w:p>
            <w:pPr>
              <w:spacing w:after="0" w:line="276" w:lineRule="auto"/>
              <w:ind w:left="-108" w:right="-51"/>
              <w:jc w:val="both"/>
              <w:rPr>
                <w:rFonts w:ascii="Times New Roman" w:hAnsi="Times New Roman" w:cs="Times New Roman"/>
                <w:sz w:val="24"/>
                <w:szCs w:val="24"/>
              </w:rPr>
            </w:pPr>
            <w:r>
              <w:object>
                <v:shape id="_x0000_i1047" o:spt="75" type="#_x0000_t75" style="height:255pt;width:263.25pt;" o:ole="t" filled="f" o:preferrelative="t" stroked="f" coordsize="21600,21600">
                  <v:path/>
                  <v:fill on="f" focussize="0,0"/>
                  <v:stroke on="f" joinstyle="miter"/>
                  <v:imagedata r:id="rId59" o:title=""/>
                  <o:lock v:ext="edit" aspectratio="t"/>
                  <w10:wrap type="none"/>
                  <w10:anchorlock/>
                </v:shape>
                <o:OLEObject Type="Embed" ProgID="EViews.Workfile.2" ShapeID="_x0000_i1047" DrawAspect="Content" ObjectID="_1468075747" r:id="rId58">
                  <o:LockedField>false</o:LockedField>
                </o:OLEObject>
              </w:object>
            </w:r>
          </w:p>
        </w:tc>
        <w:tc>
          <w:tcPr>
            <w:tcW w:w="5390" w:type="dxa"/>
          </w:tcPr>
          <w:p>
            <w:pPr>
              <w:spacing w:after="0" w:line="276" w:lineRule="auto"/>
              <w:ind w:left="-108" w:right="-51"/>
              <w:jc w:val="both"/>
              <w:rPr>
                <w:rFonts w:ascii="Times New Roman" w:hAnsi="Times New Roman" w:cs="Times New Roman"/>
                <w:sz w:val="24"/>
                <w:szCs w:val="24"/>
              </w:rPr>
            </w:pPr>
            <w:r>
              <w:object>
                <v:shape id="_x0000_i1048" o:spt="75" type="#_x0000_t75" style="height:255pt;width:264.75pt;" o:ole="t" filled="f" o:preferrelative="t" stroked="f" coordsize="21600,21600">
                  <v:path/>
                  <v:fill on="f" focussize="0,0"/>
                  <v:stroke on="f" joinstyle="miter"/>
                  <v:imagedata r:id="rId61" o:title=""/>
                  <o:lock v:ext="edit" aspectratio="t"/>
                  <w10:wrap type="none"/>
                  <w10:anchorlock/>
                </v:shape>
                <o:OLEObject Type="Embed" ProgID="EViews.Workfile.2" ShapeID="_x0000_i1048" DrawAspect="Content" ObjectID="_1468075748" r:id="rId60">
                  <o:LockedField>false</o:LockedField>
                </o:OLEObject>
              </w:objec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368" w:type="dxa"/>
          </w:tcPr>
          <w:p>
            <w:pPr>
              <w:spacing w:after="0" w:line="276" w:lineRule="auto"/>
              <w:ind w:left="-108" w:right="-51"/>
              <w:jc w:val="both"/>
              <w:rPr>
                <w:rFonts w:ascii="Times New Roman" w:hAnsi="Times New Roman" w:cs="Times New Roman"/>
                <w:sz w:val="24"/>
                <w:szCs w:val="24"/>
              </w:rPr>
            </w:pPr>
            <w:r>
              <w:rPr>
                <w:rFonts w:ascii="Times New Roman" w:hAnsi="Times New Roman" w:cs="Times New Roman"/>
                <w:b/>
                <w:sz w:val="24"/>
                <w:szCs w:val="24"/>
              </w:rPr>
              <w:t>Figure 4.8a:</w:t>
            </w:r>
            <w:r>
              <w:rPr>
                <w:rFonts w:ascii="Times New Roman" w:hAnsi="Times New Roman" w:cs="Times New Roman"/>
                <w:sz w:val="24"/>
                <w:szCs w:val="24"/>
              </w:rPr>
              <w:t xml:space="preserve"> Cumulative Sum (CUSUM)</w:t>
            </w:r>
          </w:p>
        </w:tc>
        <w:tc>
          <w:tcPr>
            <w:tcW w:w="5390" w:type="dxa"/>
          </w:tcPr>
          <w:p>
            <w:pPr>
              <w:spacing w:after="0" w:line="276" w:lineRule="auto"/>
              <w:ind w:left="-108" w:right="-51"/>
              <w:jc w:val="both"/>
              <w:rPr>
                <w:rFonts w:ascii="Times New Roman" w:hAnsi="Times New Roman" w:cs="Times New Roman"/>
                <w:sz w:val="24"/>
                <w:szCs w:val="24"/>
              </w:rPr>
            </w:pPr>
            <w:r>
              <w:rPr>
                <w:rFonts w:ascii="Times New Roman" w:hAnsi="Times New Roman" w:cs="Times New Roman"/>
                <w:b/>
                <w:sz w:val="24"/>
                <w:szCs w:val="24"/>
              </w:rPr>
              <w:t>Figure 4.8b:</w:t>
            </w:r>
            <w:r>
              <w:rPr>
                <w:rFonts w:ascii="Times New Roman" w:hAnsi="Times New Roman" w:cs="Times New Roman"/>
                <w:sz w:val="24"/>
                <w:szCs w:val="24"/>
              </w:rPr>
              <w:t xml:space="preserve"> Cumulative Sum of Square (CUSUMQ)</w:t>
            </w:r>
          </w:p>
        </w:tc>
      </w:tr>
    </w:tbl>
    <w:p>
      <w:pPr>
        <w:rPr>
          <w:rFonts w:ascii="Times New Roman" w:hAnsi="Times New Roman" w:cs="Times New Roman"/>
          <w:sz w:val="24"/>
          <w:szCs w:val="24"/>
        </w:rPr>
      </w:pPr>
      <w:r>
        <w:rPr>
          <w:rFonts w:ascii="Times New Roman" w:hAnsi="Times New Roman" w:cs="Times New Roman"/>
          <w:sz w:val="24"/>
          <w:szCs w:val="24"/>
        </w:rPr>
        <w:br w:type="page"/>
      </w:r>
    </w:p>
    <w:p>
      <w:pPr>
        <w:spacing w:after="120" w:line="480" w:lineRule="auto"/>
        <w:ind w:left="709" w:hanging="709"/>
        <w:jc w:val="both"/>
        <w:rPr>
          <w:rFonts w:ascii="Times New Roman" w:hAnsi="Times New Roman" w:cs="Times New Roman"/>
          <w:b/>
          <w:sz w:val="24"/>
          <w:szCs w:val="24"/>
        </w:rPr>
      </w:pPr>
      <w:r>
        <w:rPr>
          <w:rFonts w:ascii="Times New Roman" w:hAnsi="Times New Roman" w:cs="Times New Roman"/>
          <w:b/>
          <w:sz w:val="24"/>
          <w:szCs w:val="24"/>
        </w:rPr>
        <w:t>4.4.3</w:t>
      </w:r>
      <w:r>
        <w:rPr>
          <w:rFonts w:ascii="Times New Roman" w:hAnsi="Times New Roman" w:cs="Times New Roman"/>
          <w:b/>
          <w:sz w:val="24"/>
          <w:szCs w:val="24"/>
        </w:rPr>
        <w:tab/>
      </w:r>
      <w:r>
        <w:rPr>
          <w:rFonts w:ascii="Times New Roman" w:hAnsi="Times New Roman" w:cs="Times New Roman"/>
          <w:b/>
          <w:sz w:val="24"/>
          <w:szCs w:val="24"/>
        </w:rPr>
        <w:t>Empirical Results of the Effects of Stock Market Development on Health Outcomes</w:t>
      </w:r>
    </w:p>
    <w:p>
      <w:pPr>
        <w:spacing w:after="120" w:line="480" w:lineRule="auto"/>
        <w:rPr>
          <w:rFonts w:ascii="Times New Roman" w:hAnsi="Times New Roman" w:cs="Times New Roman"/>
          <w:b/>
          <w:sz w:val="24"/>
          <w:szCs w:val="24"/>
        </w:rPr>
      </w:pPr>
      <w:r>
        <w:rPr>
          <w:rFonts w:ascii="Times New Roman" w:hAnsi="Times New Roman" w:cs="Times New Roman"/>
          <w:b/>
          <w:sz w:val="24"/>
          <w:szCs w:val="24"/>
        </w:rPr>
        <w:t>A) Cointegration Test Result</w:t>
      </w:r>
    </w:p>
    <w:p>
      <w:pPr>
        <w:spacing w:after="120" w:line="480" w:lineRule="auto"/>
        <w:jc w:val="both"/>
        <w:rPr>
          <w:rFonts w:ascii="Times New Roman" w:hAnsi="Times New Roman"/>
          <w:sz w:val="24"/>
          <w:szCs w:val="24"/>
        </w:rPr>
      </w:pPr>
      <w:r>
        <w:rPr>
          <w:rFonts w:ascii="Times New Roman" w:hAnsi="Times New Roman"/>
          <w:sz w:val="24"/>
          <w:szCs w:val="24"/>
        </w:rPr>
        <w:t>Before estimating the short-run and long-run parameters, the study uses the autoregressive distributed lag (ARDL) bound cointegration tests to examine the long-run relationships among stock market development, health outcomes and other controllable variables in the context of the proposed hypotheses. The ARDL bound test is used for the model illustrating the relationship among stock market development, health outcomes, and other controllable variables since it is appropriate for variables at various orders of integration. Table 4.14 provides the F-statistics estimate for examining the possibility of a long-term relationship among stock market development, health outcomes, and other confounding factors in Nigeria.</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table, the normalized estimated F-statistics (Farb = 7.2584 and 23.599) of the equations exceed both the lower and upper critical bounds at a 5% level of significance. This suggests that at a 5% significance level, the null hypothesis that there is no long-term association is rejected. In accordance with the estimation above, </w:t>
      </w:r>
      <w:r>
        <w:rPr>
          <w:rFonts w:ascii="Times New Roman" w:hAnsi="Times New Roman"/>
          <w:sz w:val="24"/>
          <w:szCs w:val="24"/>
        </w:rPr>
        <w:t>public health expenditure, institutional quality</w:t>
      </w:r>
      <w:r>
        <w:rPr>
          <w:rFonts w:ascii="Times New Roman" w:hAnsi="Times New Roman" w:cs="Times New Roman"/>
          <w:sz w:val="24"/>
          <w:szCs w:val="24"/>
        </w:rPr>
        <w:t xml:space="preserve">, control variables (including gross fixed capital creation, trade openness, and inflation rate), and health outcomes all have equilibrium conditions that maintain them together throughout time. As a result, in Nigeria, there is a long-term connection among </w:t>
      </w:r>
      <w:r>
        <w:rPr>
          <w:rFonts w:ascii="Times New Roman" w:hAnsi="Times New Roman"/>
          <w:sz w:val="24"/>
          <w:szCs w:val="24"/>
        </w:rPr>
        <w:t>stock market development</w:t>
      </w:r>
      <w:r>
        <w:rPr>
          <w:rFonts w:ascii="Times New Roman" w:hAnsi="Times New Roman" w:cs="Times New Roman"/>
          <w:sz w:val="24"/>
          <w:szCs w:val="24"/>
        </w:rPr>
        <w:t>and health outcomes.</w:t>
      </w:r>
    </w:p>
    <w:p>
      <w:pPr>
        <w:rPr>
          <w:rFonts w:ascii="Times New Roman" w:hAnsi="Times New Roman"/>
          <w:sz w:val="24"/>
          <w:szCs w:val="24"/>
        </w:rPr>
      </w:pPr>
      <w:r>
        <w:rPr>
          <w:rFonts w:ascii="Times New Roman" w:hAnsi="Times New Roman"/>
          <w:sz w:val="24"/>
          <w:szCs w:val="24"/>
        </w:rPr>
        <w:br w:type="page"/>
      </w:r>
    </w:p>
    <w:p>
      <w:pPr>
        <w:spacing w:after="0" w:line="240" w:lineRule="auto"/>
        <w:rPr>
          <w:rFonts w:ascii="Times New Roman" w:hAnsi="Times New Roman"/>
          <w:sz w:val="24"/>
          <w:szCs w:val="24"/>
        </w:rPr>
      </w:pPr>
      <w:r>
        <w:rPr>
          <w:rFonts w:ascii="Times New Roman" w:hAnsi="Times New Roman" w:cs="Times New Roman"/>
          <w:b/>
          <w:sz w:val="24"/>
          <w:szCs w:val="24"/>
        </w:rPr>
        <w:t xml:space="preserve">Table 4.14: </w:t>
      </w:r>
      <w:r>
        <w:rPr>
          <w:rFonts w:ascii="Times New Roman" w:hAnsi="Times New Roman" w:cs="Times New Roman"/>
          <w:sz w:val="24"/>
          <w:szCs w:val="24"/>
        </w:rPr>
        <w:t>Existence of longrun between stock market development and health outcomes</w:t>
      </w:r>
    </w:p>
    <w:tbl>
      <w:tblPr>
        <w:tblStyle w:val="6"/>
        <w:tblW w:w="10065" w:type="dxa"/>
        <w:tblInd w:w="-284"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7514"/>
        <w:gridCol w:w="1276"/>
        <w:gridCol w:w="1275"/>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7514" w:type="dxa"/>
            <w:tcBorders>
              <w:top w:val="single" w:color="auto" w:sz="4" w:space="0"/>
              <w:bottom w:val="single" w:color="auto" w:sz="4" w:space="0"/>
            </w:tcBorders>
            <w:vAlign w:val="bottom"/>
          </w:tcPr>
          <w:p>
            <w:pPr>
              <w:autoSpaceDE w:val="0"/>
              <w:autoSpaceDN w:val="0"/>
              <w:adjustRightInd w:val="0"/>
              <w:spacing w:before="60" w:after="60" w:line="360" w:lineRule="auto"/>
              <w:ind w:left="11" w:hanging="11"/>
              <w:rPr>
                <w:rFonts w:ascii="Times New Roman" w:hAnsi="Times New Roman" w:cs="Times New Roman"/>
                <w:b/>
                <w:sz w:val="24"/>
                <w:szCs w:val="24"/>
              </w:rPr>
            </w:pPr>
            <w:r>
              <w:rPr>
                <w:rFonts w:ascii="Times New Roman" w:hAnsi="Times New Roman" w:cs="Times New Roman"/>
                <w:b/>
                <w:sz w:val="24"/>
                <w:szCs w:val="24"/>
              </w:rPr>
              <w:t>Test Statistics</w:t>
            </w:r>
          </w:p>
        </w:tc>
        <w:tc>
          <w:tcPr>
            <w:tcW w:w="1276" w:type="dxa"/>
            <w:tcBorders>
              <w:top w:val="single" w:color="auto" w:sz="4" w:space="0"/>
              <w:bottom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b/>
                <w:sz w:val="24"/>
                <w:szCs w:val="24"/>
              </w:rPr>
            </w:pPr>
            <w:r>
              <w:rPr>
                <w:rFonts w:ascii="Times New Roman" w:hAnsi="Times New Roman" w:cs="Times New Roman"/>
                <w:b/>
                <w:sz w:val="24"/>
                <w:szCs w:val="24"/>
              </w:rPr>
              <w:t>Value</w:t>
            </w:r>
          </w:p>
        </w:tc>
        <w:tc>
          <w:tcPr>
            <w:tcW w:w="1275" w:type="dxa"/>
            <w:tcBorders>
              <w:top w:val="single" w:color="auto" w:sz="4" w:space="0"/>
              <w:bottom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b/>
                <w:sz w:val="24"/>
                <w:szCs w:val="24"/>
              </w:rPr>
            </w:pPr>
            <w:r>
              <w:rPr>
                <w:rFonts w:ascii="Times New Roman" w:hAnsi="Times New Roman" w:cs="Times New Roman"/>
                <w:b/>
                <w:sz w:val="24"/>
                <w:szCs w:val="24"/>
              </w:rPr>
              <w:t>K</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7514" w:type="dxa"/>
            <w:tcBorders>
              <w:top w:val="single" w:color="auto" w:sz="4" w:space="0"/>
            </w:tcBorders>
            <w:vAlign w:val="bottom"/>
          </w:tcPr>
          <w:p>
            <w:pPr>
              <w:autoSpaceDE w:val="0"/>
              <w:autoSpaceDN w:val="0"/>
              <w:adjustRightInd w:val="0"/>
              <w:spacing w:before="60" w:after="60" w:line="360" w:lineRule="auto"/>
              <w:ind w:left="11" w:hanging="11"/>
              <w:rPr>
                <w:rFonts w:ascii="Times New Roman" w:hAnsi="Times New Roman" w:cs="Times New Roman"/>
                <w:sz w:val="24"/>
                <w:szCs w:val="24"/>
              </w:rPr>
            </w:pPr>
            <w:r>
              <w:rPr>
                <w:rFonts w:ascii="Times New Roman" w:hAnsi="Times New Roman" w:cs="Times New Roman"/>
                <w:sz w:val="24"/>
                <w:szCs w:val="24"/>
              </w:rPr>
              <w:t>F-statistics (lexp| smk,tstv, asi, inf, topen,gfcf) (2, 0, 2, 2, 2, 1, 2)</w:t>
            </w:r>
          </w:p>
        </w:tc>
        <w:tc>
          <w:tcPr>
            <w:tcW w:w="1276" w:type="dxa"/>
            <w:tcBorders>
              <w:top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7.2584</w:t>
            </w:r>
          </w:p>
        </w:tc>
        <w:tc>
          <w:tcPr>
            <w:tcW w:w="1275" w:type="dxa"/>
            <w:tcBorders>
              <w:top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7514" w:type="dxa"/>
            <w:tcBorders>
              <w:bottom w:val="single" w:color="auto" w:sz="4" w:space="0"/>
            </w:tcBorders>
            <w:vAlign w:val="bottom"/>
          </w:tcPr>
          <w:p>
            <w:pPr>
              <w:autoSpaceDE w:val="0"/>
              <w:autoSpaceDN w:val="0"/>
              <w:adjustRightInd w:val="0"/>
              <w:spacing w:before="60" w:after="60" w:line="360" w:lineRule="auto"/>
              <w:ind w:left="11" w:hanging="11"/>
              <w:rPr>
                <w:rFonts w:ascii="Times New Roman" w:hAnsi="Times New Roman" w:cs="Times New Roman"/>
                <w:sz w:val="24"/>
                <w:szCs w:val="24"/>
              </w:rPr>
            </w:pPr>
            <w:r>
              <w:rPr>
                <w:rFonts w:ascii="Times New Roman" w:hAnsi="Times New Roman" w:cs="Times New Roman"/>
                <w:sz w:val="24"/>
                <w:szCs w:val="24"/>
              </w:rPr>
              <w:t>F-statistics (un5m| smk,tstv, asi, inf, topen,gfcf) (4, 3, 3, 3, 0, 3, 2)</w:t>
            </w:r>
          </w:p>
        </w:tc>
        <w:tc>
          <w:tcPr>
            <w:tcW w:w="1276" w:type="dxa"/>
            <w:tcBorders>
              <w:bottom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23.599</w:t>
            </w:r>
          </w:p>
        </w:tc>
        <w:tc>
          <w:tcPr>
            <w:tcW w:w="1275" w:type="dxa"/>
            <w:tcBorders>
              <w:bottom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10065" w:type="dxa"/>
            <w:gridSpan w:val="3"/>
            <w:tcBorders>
              <w:top w:val="single" w:color="auto" w:sz="4" w:space="0"/>
            </w:tcBorders>
            <w:vAlign w:val="bottom"/>
          </w:tcPr>
          <w:p>
            <w:pPr>
              <w:autoSpaceDE w:val="0"/>
              <w:autoSpaceDN w:val="0"/>
              <w:adjustRightInd w:val="0"/>
              <w:spacing w:before="60" w:after="60" w:line="360" w:lineRule="auto"/>
              <w:ind w:left="11" w:hanging="11"/>
              <w:rPr>
                <w:rFonts w:ascii="Times New Roman" w:hAnsi="Times New Roman" w:cs="Times New Roman"/>
                <w:b/>
                <w:sz w:val="24"/>
                <w:szCs w:val="24"/>
              </w:rPr>
            </w:pPr>
            <w:r>
              <w:rPr>
                <w:rFonts w:ascii="Times New Roman" w:hAnsi="Times New Roman" w:cs="Times New Roman"/>
                <w:b/>
                <w:sz w:val="24"/>
                <w:szCs w:val="24"/>
              </w:rPr>
              <w:t>Critical Value Bounds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7514" w:type="dxa"/>
            <w:tcBorders>
              <w:bottom w:val="single" w:color="auto" w:sz="4" w:space="0"/>
            </w:tcBorders>
            <w:vAlign w:val="bottom"/>
          </w:tcPr>
          <w:p>
            <w:pPr>
              <w:autoSpaceDE w:val="0"/>
              <w:autoSpaceDN w:val="0"/>
              <w:adjustRightInd w:val="0"/>
              <w:spacing w:before="60" w:after="60" w:line="360" w:lineRule="auto"/>
              <w:ind w:left="11" w:hanging="11"/>
              <w:rPr>
                <w:rFonts w:ascii="Times New Roman" w:hAnsi="Times New Roman" w:cs="Times New Roman"/>
                <w:b/>
                <w:sz w:val="24"/>
                <w:szCs w:val="24"/>
              </w:rPr>
            </w:pPr>
            <w:r>
              <w:rPr>
                <w:rFonts w:ascii="Times New Roman" w:hAnsi="Times New Roman" w:cs="Times New Roman"/>
                <w:b/>
                <w:sz w:val="24"/>
                <w:szCs w:val="24"/>
              </w:rPr>
              <w:t>Significance</w:t>
            </w:r>
          </w:p>
        </w:tc>
        <w:tc>
          <w:tcPr>
            <w:tcW w:w="1276" w:type="dxa"/>
            <w:tcBorders>
              <w:bottom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b/>
                <w:sz w:val="24"/>
                <w:szCs w:val="24"/>
              </w:rPr>
            </w:pPr>
            <w:r>
              <w:rPr>
                <w:rFonts w:ascii="Times New Roman" w:hAnsi="Times New Roman" w:cs="Times New Roman"/>
                <w:b/>
                <w:sz w:val="24"/>
                <w:szCs w:val="24"/>
              </w:rPr>
              <w:t>I(0) Bound</w:t>
            </w:r>
          </w:p>
        </w:tc>
        <w:tc>
          <w:tcPr>
            <w:tcW w:w="1275" w:type="dxa"/>
            <w:tcBorders>
              <w:bottom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b/>
                <w:sz w:val="24"/>
                <w:szCs w:val="24"/>
              </w:rPr>
            </w:pPr>
            <w:r>
              <w:rPr>
                <w:rFonts w:ascii="Times New Roman" w:hAnsi="Times New Roman" w:cs="Times New Roman"/>
                <w:b/>
                <w:sz w:val="24"/>
                <w:szCs w:val="24"/>
              </w:rPr>
              <w:t>I(1) Bound</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7514" w:type="dxa"/>
            <w:tcBorders>
              <w:top w:val="single" w:color="auto" w:sz="4" w:space="0"/>
            </w:tcBorders>
            <w:vAlign w:val="bottom"/>
          </w:tcPr>
          <w:p>
            <w:pPr>
              <w:autoSpaceDE w:val="0"/>
              <w:autoSpaceDN w:val="0"/>
              <w:adjustRightInd w:val="0"/>
              <w:spacing w:before="60" w:after="60" w:line="360" w:lineRule="auto"/>
              <w:ind w:left="11" w:hanging="11"/>
              <w:rPr>
                <w:rFonts w:ascii="Times New Roman" w:hAnsi="Times New Roman" w:cs="Times New Roman"/>
                <w:sz w:val="24"/>
                <w:szCs w:val="24"/>
              </w:rPr>
            </w:pPr>
            <w:r>
              <w:rPr>
                <w:rFonts w:ascii="Times New Roman" w:hAnsi="Times New Roman" w:cs="Times New Roman"/>
                <w:sz w:val="24"/>
                <w:szCs w:val="24"/>
              </w:rPr>
              <w:t>10%</w:t>
            </w:r>
          </w:p>
        </w:tc>
        <w:tc>
          <w:tcPr>
            <w:tcW w:w="1276" w:type="dxa"/>
            <w:tcBorders>
              <w:top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1.99</w:t>
            </w:r>
          </w:p>
        </w:tc>
        <w:tc>
          <w:tcPr>
            <w:tcW w:w="1275" w:type="dxa"/>
            <w:tcBorders>
              <w:top w:val="single" w:color="auto" w:sz="4" w:space="0"/>
            </w:tcBorders>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2.94</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7514" w:type="dxa"/>
            <w:vAlign w:val="bottom"/>
          </w:tcPr>
          <w:p>
            <w:pPr>
              <w:autoSpaceDE w:val="0"/>
              <w:autoSpaceDN w:val="0"/>
              <w:adjustRightInd w:val="0"/>
              <w:spacing w:before="60" w:after="60" w:line="360" w:lineRule="auto"/>
              <w:ind w:left="11" w:hanging="11"/>
              <w:rPr>
                <w:rFonts w:ascii="Times New Roman" w:hAnsi="Times New Roman" w:cs="Times New Roman"/>
                <w:sz w:val="24"/>
                <w:szCs w:val="24"/>
              </w:rPr>
            </w:pPr>
            <w:r>
              <w:rPr>
                <w:rFonts w:ascii="Times New Roman" w:hAnsi="Times New Roman" w:cs="Times New Roman"/>
                <w:sz w:val="24"/>
                <w:szCs w:val="24"/>
              </w:rPr>
              <w:t>5%</w:t>
            </w:r>
          </w:p>
        </w:tc>
        <w:tc>
          <w:tcPr>
            <w:tcW w:w="1276" w:type="dxa"/>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2.27</w:t>
            </w:r>
          </w:p>
        </w:tc>
        <w:tc>
          <w:tcPr>
            <w:tcW w:w="1275" w:type="dxa"/>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3.28</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7514" w:type="dxa"/>
            <w:vAlign w:val="bottom"/>
          </w:tcPr>
          <w:p>
            <w:pPr>
              <w:autoSpaceDE w:val="0"/>
              <w:autoSpaceDN w:val="0"/>
              <w:adjustRightInd w:val="0"/>
              <w:spacing w:before="60" w:after="60" w:line="360" w:lineRule="auto"/>
              <w:ind w:left="11" w:hanging="11"/>
              <w:rPr>
                <w:rFonts w:ascii="Times New Roman" w:hAnsi="Times New Roman" w:cs="Times New Roman"/>
                <w:sz w:val="24"/>
                <w:szCs w:val="24"/>
              </w:rPr>
            </w:pPr>
            <w:r>
              <w:rPr>
                <w:rFonts w:ascii="Times New Roman" w:hAnsi="Times New Roman" w:cs="Times New Roman"/>
                <w:sz w:val="24"/>
                <w:szCs w:val="24"/>
              </w:rPr>
              <w:t>2.5%</w:t>
            </w:r>
          </w:p>
        </w:tc>
        <w:tc>
          <w:tcPr>
            <w:tcW w:w="1276" w:type="dxa"/>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2.55</w:t>
            </w:r>
          </w:p>
        </w:tc>
        <w:tc>
          <w:tcPr>
            <w:tcW w:w="1275" w:type="dxa"/>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3.61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7514" w:type="dxa"/>
            <w:vAlign w:val="bottom"/>
          </w:tcPr>
          <w:p>
            <w:pPr>
              <w:autoSpaceDE w:val="0"/>
              <w:autoSpaceDN w:val="0"/>
              <w:adjustRightInd w:val="0"/>
              <w:spacing w:before="60" w:after="60" w:line="360" w:lineRule="auto"/>
              <w:ind w:left="11" w:hanging="11"/>
              <w:rPr>
                <w:rFonts w:ascii="Times New Roman" w:hAnsi="Times New Roman" w:cs="Times New Roman"/>
                <w:sz w:val="24"/>
                <w:szCs w:val="24"/>
              </w:rPr>
            </w:pPr>
            <w:r>
              <w:rPr>
                <w:rFonts w:ascii="Times New Roman" w:hAnsi="Times New Roman" w:cs="Times New Roman"/>
                <w:sz w:val="24"/>
                <w:szCs w:val="24"/>
              </w:rPr>
              <w:t>1%</w:t>
            </w:r>
          </w:p>
        </w:tc>
        <w:tc>
          <w:tcPr>
            <w:tcW w:w="1276" w:type="dxa"/>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2.88</w:t>
            </w:r>
          </w:p>
        </w:tc>
        <w:tc>
          <w:tcPr>
            <w:tcW w:w="1275" w:type="dxa"/>
            <w:vAlign w:val="bottom"/>
          </w:tcPr>
          <w:p>
            <w:pPr>
              <w:autoSpaceDE w:val="0"/>
              <w:autoSpaceDN w:val="0"/>
              <w:adjustRightInd w:val="0"/>
              <w:spacing w:before="60" w:after="60" w:line="360" w:lineRule="auto"/>
              <w:ind w:left="11" w:hanging="11"/>
              <w:jc w:val="center"/>
              <w:rPr>
                <w:rFonts w:ascii="Times New Roman" w:hAnsi="Times New Roman" w:cs="Times New Roman"/>
                <w:sz w:val="24"/>
                <w:szCs w:val="24"/>
              </w:rPr>
            </w:pPr>
            <w:r>
              <w:rPr>
                <w:rFonts w:ascii="Times New Roman" w:hAnsi="Times New Roman" w:cs="Times New Roman"/>
                <w:sz w:val="24"/>
                <w:szCs w:val="24"/>
              </w:rPr>
              <w:t>3.99</w:t>
            </w:r>
          </w:p>
        </w:tc>
      </w:tr>
    </w:tbl>
    <w:p>
      <w:pPr>
        <w:spacing w:after="120" w:line="480" w:lineRule="auto"/>
        <w:rPr>
          <w:rFonts w:ascii="Times New Roman" w:hAnsi="Times New Roman" w:cs="Times New Roman"/>
          <w:sz w:val="24"/>
          <w:szCs w:val="24"/>
        </w:rPr>
      </w:pPr>
      <w:r>
        <w:rPr>
          <w:rFonts w:ascii="Times New Roman" w:hAnsi="Times New Roman" w:cs="Times New Roman"/>
          <w:b/>
          <w:sz w:val="24"/>
          <w:szCs w:val="24"/>
        </w:rPr>
        <w:t>Source:</w:t>
      </w:r>
      <w:r>
        <w:rPr>
          <w:rFonts w:ascii="Times New Roman" w:hAnsi="Times New Roman" w:cs="Times New Roman"/>
          <w:sz w:val="24"/>
          <w:szCs w:val="24"/>
        </w:rPr>
        <w:t xml:space="preserve"> Author’s computation (2023).</w:t>
      </w:r>
    </w:p>
    <w:p>
      <w:pPr>
        <w:rPr>
          <w:rFonts w:ascii="Times New Roman" w:hAnsi="Times New Roman" w:cs="Times New Roman"/>
          <w:sz w:val="24"/>
          <w:szCs w:val="24"/>
        </w:rPr>
      </w:pPr>
      <w:r>
        <w:rPr>
          <w:rFonts w:ascii="Times New Roman" w:hAnsi="Times New Roman" w:cs="Times New Roman"/>
          <w:sz w:val="24"/>
          <w:szCs w:val="24"/>
        </w:rPr>
        <w:br w:type="page"/>
      </w:r>
    </w:p>
    <w:p>
      <w:pPr>
        <w:spacing w:after="120" w:line="480" w:lineRule="auto"/>
        <w:ind w:left="284" w:hanging="284"/>
        <w:jc w:val="both"/>
        <w:rPr>
          <w:rFonts w:ascii="Times New Roman" w:hAnsi="Times New Roman" w:cs="Times New Roman"/>
          <w:b/>
          <w:sz w:val="24"/>
          <w:szCs w:val="24"/>
        </w:rPr>
      </w:pPr>
      <w:r>
        <w:rPr>
          <w:rFonts w:ascii="Times New Roman" w:hAnsi="Times New Roman" w:cs="Times New Roman"/>
          <w:b/>
          <w:sz w:val="24"/>
          <w:szCs w:val="24"/>
        </w:rPr>
        <w:t>B) Short-run and Long-run Estimates of Stock Market Development and Life Expectancy</w:t>
      </w:r>
    </w:p>
    <w:p>
      <w:pPr>
        <w:spacing w:after="120" w:line="480" w:lineRule="auto"/>
        <w:jc w:val="both"/>
        <w:rPr>
          <w:rFonts w:ascii="Times New Roman" w:hAnsi="Times New Roman"/>
          <w:sz w:val="24"/>
          <w:szCs w:val="24"/>
        </w:rPr>
      </w:pPr>
      <w:r>
        <w:rPr>
          <w:rFonts w:ascii="Times New Roman" w:hAnsi="Times New Roman"/>
          <w:sz w:val="24"/>
          <w:szCs w:val="24"/>
        </w:rPr>
        <w:t>The null hypothesis, that stock market development has no significant effect on life expectancy in Nigeria, is addressed in this section. Using the estimated ARDL approach, which was fully discussed in the preceding chapter, it evaluates both the short-run and long-run relationship estimates of stock market development and other controllable factors in Nigeria. A combination of short-run and long-run estimates of the relationships among the series taken into consideration in this study makes up the estimated ARDL model. Table 4.15 provides conclusive evidence for our empirical estimations based on data on stock market development measures, gross fixed capital creation, trade openness, and inflation rate.</w:t>
      </w:r>
    </w:p>
    <w:p>
      <w:pPr>
        <w:spacing w:after="120" w:line="480" w:lineRule="auto"/>
        <w:jc w:val="both"/>
        <w:rPr>
          <w:rFonts w:ascii="Times New Roman" w:hAnsi="Times New Roman"/>
          <w:sz w:val="24"/>
          <w:szCs w:val="24"/>
        </w:rPr>
      </w:pPr>
      <w:r>
        <w:rPr>
          <w:rFonts w:ascii="Times New Roman" w:hAnsi="Times New Roman"/>
          <w:sz w:val="24"/>
          <w:szCs w:val="24"/>
        </w:rPr>
        <w:t>The findings of the short-run estimation demonstrate the error correction mechanism, which gauges the rate or intensity of adjustment. It measures the rate of adjustment at which the outcome variable adjusts to changes in the explanatory variables. The model’s dynamic pattern is displayed in the short run analysis, which also checks to see if the model’s dynamics haven’t been restricted by erroneous lag length specifications. The model’s lag length was set at three to ensure an adequate degree of freedom based on automatic selection of the Akaike Information Criterion, and the ARDL test automatically select the lag duration on all variables. Table 4.15 shows the short-term estimates of the relationship betweenstock market development and life expectancy. The coefficient of the ECT is found to be negative and statistically significant at the conventional level. The ECT value (-0.</w:t>
      </w:r>
      <w:r>
        <w:rPr>
          <w:rFonts w:ascii="Times New Roman" w:hAnsi="Times New Roman" w:cs="Times New Roman"/>
          <w:sz w:val="24"/>
          <w:szCs w:val="24"/>
        </w:rPr>
        <w:t>1335</w:t>
      </w:r>
      <w:r>
        <w:rPr>
          <w:rFonts w:ascii="Times New Roman" w:hAnsi="Times New Roman"/>
          <w:sz w:val="24"/>
          <w:szCs w:val="24"/>
        </w:rPr>
        <w:t>) implied that the model corrects its short-run disequilibrium by 13.35% speed of adjustment in order to return to the long run equilibrium.</w:t>
      </w:r>
    </w:p>
    <w:p>
      <w:pPr>
        <w:spacing w:after="0" w:line="240" w:lineRule="auto"/>
        <w:rPr>
          <w:rFonts w:ascii="Times New Roman" w:hAnsi="Times New Roman"/>
          <w:b/>
          <w:sz w:val="24"/>
          <w:szCs w:val="24"/>
        </w:rPr>
      </w:pPr>
      <w:r>
        <w:rPr>
          <w:rFonts w:ascii="Times New Roman" w:hAnsi="Times New Roman"/>
          <w:b/>
          <w:sz w:val="24"/>
          <w:szCs w:val="24"/>
        </w:rPr>
        <w:br w:type="page"/>
      </w:r>
    </w:p>
    <w:p>
      <w:pPr>
        <w:spacing w:after="0"/>
        <w:jc w:val="both"/>
        <w:rPr>
          <w:rFonts w:ascii="Times New Roman" w:hAnsi="Times New Roman"/>
          <w:sz w:val="24"/>
          <w:szCs w:val="24"/>
        </w:rPr>
      </w:pPr>
      <w:bookmarkStart w:id="8" w:name="_Hlk151115873"/>
      <w:r>
        <w:rPr>
          <w:rFonts w:ascii="Times New Roman" w:hAnsi="Times New Roman"/>
          <w:b/>
          <w:sz w:val="24"/>
          <w:szCs w:val="24"/>
        </w:rPr>
        <w:t xml:space="preserve">Table 4.15: </w:t>
      </w:r>
      <w:r>
        <w:rPr>
          <w:rFonts w:ascii="Times New Roman" w:hAnsi="Times New Roman"/>
          <w:sz w:val="24"/>
          <w:szCs w:val="24"/>
        </w:rPr>
        <w:t>Results of estimated ARDL model of life expectancy</w:t>
      </w:r>
    </w:p>
    <w:tbl>
      <w:tblPr>
        <w:tblStyle w:val="6"/>
        <w:tblW w:w="9205" w:type="dxa"/>
        <w:tblInd w:w="-142"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385"/>
        <w:gridCol w:w="1717"/>
        <w:gridCol w:w="180"/>
        <w:gridCol w:w="102"/>
        <w:gridCol w:w="1419"/>
        <w:gridCol w:w="810"/>
        <w:gridCol w:w="891"/>
        <w:gridCol w:w="1701"/>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9205" w:type="dxa"/>
            <w:gridSpan w:val="8"/>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 xml:space="preserve">Dependent Variable: </w:t>
            </w:r>
            <w:r>
              <w:rPr>
                <w:rFonts w:ascii="Times New Roman" w:hAnsi="Times New Roman" w:cs="Times New Roman"/>
                <w:sz w:val="24"/>
                <w:szCs w:val="24"/>
              </w:rPr>
              <w:t>Life Expectancy (lexp)</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9205" w:type="dxa"/>
            <w:gridSpan w:val="8"/>
            <w:tcBorders>
              <w:bottom w:val="nil"/>
            </w:tcBorders>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 xml:space="preserve">Selected Model: </w:t>
            </w:r>
            <w:r>
              <w:rPr>
                <w:rFonts w:ascii="Times New Roman" w:hAnsi="Times New Roman" w:cs="Times New Roman"/>
                <w:sz w:val="24"/>
                <w:szCs w:val="24"/>
              </w:rPr>
              <w:t>ARDL(2, 0, 2, 2, 2, 1, 2)</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83" w:hRule="atLeast"/>
        </w:trPr>
        <w:tc>
          <w:tcPr>
            <w:tcW w:w="4384" w:type="dxa"/>
            <w:gridSpan w:val="4"/>
            <w:tcBorders>
              <w:top w:val="nil"/>
              <w:bottom w:val="single" w:color="auto" w:sz="4" w:space="0"/>
            </w:tcBorders>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Sample:</w:t>
            </w:r>
            <w:r>
              <w:rPr>
                <w:rFonts w:ascii="Times New Roman" w:hAnsi="Times New Roman" w:cs="Times New Roman"/>
                <w:sz w:val="24"/>
                <w:szCs w:val="24"/>
              </w:rPr>
              <w:t xml:space="preserve"> 1985 2022</w:t>
            </w:r>
          </w:p>
        </w:tc>
        <w:tc>
          <w:tcPr>
            <w:tcW w:w="4821" w:type="dxa"/>
            <w:gridSpan w:val="4"/>
            <w:tcBorders>
              <w:top w:val="nil"/>
              <w:bottom w:val="single" w:color="auto" w:sz="4" w:space="0"/>
            </w:tcBorders>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Included observations:</w:t>
            </w:r>
            <w:r>
              <w:rPr>
                <w:rFonts w:ascii="Times New Roman" w:hAnsi="Times New Roman" w:cs="Times New Roman"/>
                <w:sz w:val="24"/>
                <w:szCs w:val="24"/>
              </w:rPr>
              <w:t xml:space="preserve"> 36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9205" w:type="dxa"/>
            <w:gridSpan w:val="8"/>
            <w:tcBorders>
              <w:top w:val="single" w:color="auto" w:sz="4" w:space="0"/>
              <w:bottom w:val="single" w:color="auto" w:sz="4" w:space="0"/>
            </w:tcBorders>
            <w:vAlign w:val="bottom"/>
          </w:tcPr>
          <w:p>
            <w:pPr>
              <w:autoSpaceDE w:val="0"/>
              <w:autoSpaceDN w:val="0"/>
              <w:adjustRightInd w:val="0"/>
              <w:spacing w:after="0" w:line="276" w:lineRule="auto"/>
              <w:jc w:val="center"/>
              <w:rPr>
                <w:rFonts w:ascii="Times New Roman" w:hAnsi="Times New Roman" w:cs="Times New Roman"/>
                <w:b/>
                <w:i/>
                <w:sz w:val="24"/>
                <w:szCs w:val="24"/>
              </w:rPr>
            </w:pPr>
            <w:r>
              <w:rPr>
                <w:rFonts w:ascii="Times New Roman" w:hAnsi="Times New Roman" w:cs="Times New Roman"/>
                <w:b/>
                <w:i/>
                <w:sz w:val="24"/>
                <w:szCs w:val="24"/>
              </w:rPr>
              <w:t>Short-Run Estimates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top w:val="single" w:color="auto" w:sz="4" w:space="0"/>
              <w:bottom w:val="single" w:color="auto" w:sz="4" w:space="0"/>
            </w:tcBorders>
            <w:vAlign w:val="center"/>
          </w:tcPr>
          <w:p>
            <w:pPr>
              <w:autoSpaceDE w:val="0"/>
              <w:autoSpaceDN w:val="0"/>
              <w:adjustRightInd w:val="0"/>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Variable</w:t>
            </w:r>
          </w:p>
        </w:tc>
        <w:tc>
          <w:tcPr>
            <w:tcW w:w="1717" w:type="dxa"/>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sz w:val="24"/>
                <w:szCs w:val="24"/>
              </w:rPr>
            </w:pPr>
            <w:r>
              <w:rPr>
                <w:rFonts w:ascii="Times New Roman" w:hAnsi="Times New Roman" w:cs="Times New Roman"/>
                <w:b/>
                <w:sz w:val="24"/>
                <w:szCs w:val="24"/>
              </w:rPr>
              <w:t>Coefficient</w:t>
            </w:r>
          </w:p>
        </w:tc>
        <w:tc>
          <w:tcPr>
            <w:tcW w:w="1701" w:type="dxa"/>
            <w:gridSpan w:val="3"/>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sz w:val="24"/>
                <w:szCs w:val="24"/>
              </w:rPr>
            </w:pPr>
            <w:r>
              <w:rPr>
                <w:rFonts w:ascii="Times New Roman" w:hAnsi="Times New Roman" w:cs="Times New Roman"/>
                <w:b/>
                <w:sz w:val="24"/>
                <w:szCs w:val="24"/>
              </w:rPr>
              <w:t>Std. Error</w:t>
            </w:r>
          </w:p>
        </w:tc>
        <w:tc>
          <w:tcPr>
            <w:tcW w:w="1701" w:type="dxa"/>
            <w:gridSpan w:val="2"/>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sz w:val="24"/>
                <w:szCs w:val="24"/>
              </w:rPr>
            </w:pPr>
            <w:r>
              <w:rPr>
                <w:rFonts w:ascii="Times New Roman" w:hAnsi="Times New Roman" w:cs="Times New Roman"/>
                <w:b/>
                <w:sz w:val="24"/>
                <w:szCs w:val="24"/>
              </w:rPr>
              <w:t>t-Statistic</w:t>
            </w:r>
          </w:p>
        </w:tc>
        <w:tc>
          <w:tcPr>
            <w:tcW w:w="1701" w:type="dxa"/>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sz w:val="24"/>
                <w:szCs w:val="24"/>
              </w:rPr>
            </w:pPr>
            <w:r>
              <w:rPr>
                <w:rFonts w:ascii="Times New Roman" w:hAnsi="Times New Roman" w:cs="Times New Roman"/>
                <w:b/>
                <w:sz w:val="24"/>
                <w:szCs w:val="24"/>
              </w:rPr>
              <w:t>Prob.</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top w:val="single" w:color="auto" w:sz="4" w:space="0"/>
            </w:tcBorders>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(LEXP(-1))</w:t>
            </w:r>
          </w:p>
        </w:tc>
        <w:tc>
          <w:tcPr>
            <w:tcW w:w="1717" w:type="dxa"/>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0.241097</w:t>
            </w:r>
          </w:p>
        </w:tc>
        <w:tc>
          <w:tcPr>
            <w:tcW w:w="1701" w:type="dxa"/>
            <w:gridSpan w:val="3"/>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0.086376</w:t>
            </w:r>
          </w:p>
        </w:tc>
        <w:tc>
          <w:tcPr>
            <w:tcW w:w="1701" w:type="dxa"/>
            <w:gridSpan w:val="2"/>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2.791231</w:t>
            </w:r>
          </w:p>
        </w:tc>
        <w:tc>
          <w:tcPr>
            <w:tcW w:w="1701" w:type="dxa"/>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0.0121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(TSTV)</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0.032121</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0.038829</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0.827241</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0.4189</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(TSTV(-1))</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0.125216</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0.030618</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4.089612</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0.0007</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(ASI)</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2.77E-06</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2.59E-06</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1.068033</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0.2996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(ASI(-1))</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-1.79E-05</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3.35E-06</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-5.334115</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(INF)</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-0.001951</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0.001233</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-1.582580</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0.1309</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(INF(-1))</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0.008346</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0.001422</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5.869643</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(TOPEN)</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0.012355</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0.001959</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6.307433</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(GFCF)</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-0.004948</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0.005164</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-0.958022</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0.3507</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Arial" w:hAnsi="Arial" w:cs="Arial"/>
                <w:color w:val="202124"/>
                <w:sz w:val="30"/>
                <w:szCs w:val="30"/>
                <w:shd w:val="clear" w:color="auto" w:fill="FFFFFF"/>
              </w:rPr>
              <w:t>δ</w:t>
            </w:r>
            <w:r>
              <w:rPr>
                <w:rFonts w:ascii="Times New Roman" w:hAnsi="Times New Roman" w:cs="Times New Roman"/>
                <w:sz w:val="24"/>
                <w:szCs w:val="24"/>
              </w:rPr>
              <w:t xml:space="preserve"> (GFCF(-1))</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0.016792</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0.005740</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2.925550</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0.0090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bottom w:val="single" w:color="auto" w:sz="4" w:space="0"/>
            </w:tcBorders>
            <w:vAlign w:val="center"/>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ECT(-1)</w:t>
            </w:r>
          </w:p>
        </w:tc>
        <w:tc>
          <w:tcPr>
            <w:tcW w:w="1717" w:type="dxa"/>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-0.133470</w:t>
            </w:r>
          </w:p>
        </w:tc>
        <w:tc>
          <w:tcPr>
            <w:tcW w:w="1701" w:type="dxa"/>
            <w:gridSpan w:val="3"/>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0.014862</w:t>
            </w:r>
          </w:p>
        </w:tc>
        <w:tc>
          <w:tcPr>
            <w:tcW w:w="1701" w:type="dxa"/>
            <w:gridSpan w:val="2"/>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-8.980493</w:t>
            </w:r>
          </w:p>
        </w:tc>
        <w:tc>
          <w:tcPr>
            <w:tcW w:w="1701" w:type="dxa"/>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9205" w:type="dxa"/>
            <w:gridSpan w:val="8"/>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i/>
                <w:sz w:val="24"/>
                <w:szCs w:val="24"/>
              </w:rPr>
            </w:pPr>
            <w:r>
              <w:rPr>
                <w:rFonts w:ascii="Times New Roman" w:hAnsi="Times New Roman" w:cs="Times New Roman"/>
                <w:b/>
                <w:i/>
                <w:sz w:val="24"/>
                <w:szCs w:val="24"/>
              </w:rPr>
              <w:t>Long-Run Estimates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top w:val="single" w:color="auto" w:sz="4" w:space="0"/>
            </w:tcBorders>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SMK</w:t>
            </w:r>
          </w:p>
        </w:tc>
        <w:tc>
          <w:tcPr>
            <w:tcW w:w="1717" w:type="dxa"/>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-0.037287</w:t>
            </w:r>
          </w:p>
        </w:tc>
        <w:tc>
          <w:tcPr>
            <w:tcW w:w="1701" w:type="dxa"/>
            <w:gridSpan w:val="3"/>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0.093586</w:t>
            </w:r>
          </w:p>
        </w:tc>
        <w:tc>
          <w:tcPr>
            <w:tcW w:w="1701" w:type="dxa"/>
            <w:gridSpan w:val="2"/>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-0.398428</w:t>
            </w:r>
          </w:p>
        </w:tc>
        <w:tc>
          <w:tcPr>
            <w:tcW w:w="1701" w:type="dxa"/>
            <w:tcBorders>
              <w:top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0.6950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TSTV</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-1.171321</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0.442915</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-2.644574</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0.0165</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ASI</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0.000116</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5.57E-05</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2.086613</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0.0514</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INF</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-0.068545</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0.020173</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-3.397803</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0.0032</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TOPEN</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0.037947</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0.031440</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1.206982</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0.2431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GFCF</w:t>
            </w:r>
          </w:p>
        </w:tc>
        <w:tc>
          <w:tcPr>
            <w:tcW w:w="1717"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-0.152624</w:t>
            </w:r>
          </w:p>
        </w:tc>
        <w:tc>
          <w:tcPr>
            <w:tcW w:w="1701" w:type="dxa"/>
            <w:gridSpan w:val="3"/>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0.032509</w:t>
            </w:r>
          </w:p>
        </w:tc>
        <w:tc>
          <w:tcPr>
            <w:tcW w:w="1701" w:type="dxa"/>
            <w:gridSpan w:val="2"/>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-4.694825</w:t>
            </w:r>
          </w:p>
        </w:tc>
        <w:tc>
          <w:tcPr>
            <w:tcW w:w="1701" w:type="dxa"/>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0.0002</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bottom w:val="single" w:color="auto" w:sz="4" w:space="0"/>
            </w:tcBorders>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C</w:t>
            </w:r>
          </w:p>
        </w:tc>
        <w:tc>
          <w:tcPr>
            <w:tcW w:w="1717" w:type="dxa"/>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54.02490</w:t>
            </w:r>
          </w:p>
        </w:tc>
        <w:tc>
          <w:tcPr>
            <w:tcW w:w="1701" w:type="dxa"/>
            <w:gridSpan w:val="3"/>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1.822913</w:t>
            </w:r>
          </w:p>
        </w:tc>
        <w:tc>
          <w:tcPr>
            <w:tcW w:w="1701" w:type="dxa"/>
            <w:gridSpan w:val="2"/>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29.63657</w:t>
            </w:r>
          </w:p>
        </w:tc>
        <w:tc>
          <w:tcPr>
            <w:tcW w:w="1701" w:type="dxa"/>
            <w:tcBorders>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143" w:hRule="atLeast"/>
        </w:trPr>
        <w:tc>
          <w:tcPr>
            <w:tcW w:w="9205" w:type="dxa"/>
            <w:gridSpan w:val="8"/>
            <w:tcBorders>
              <w:top w:val="single" w:color="auto" w:sz="4" w:space="0"/>
            </w:tcBorders>
            <w:vAlign w:val="bottom"/>
          </w:tcPr>
          <w:p>
            <w:pPr>
              <w:autoSpaceDE w:val="0"/>
              <w:autoSpaceDN w:val="0"/>
              <w:adjustRightInd w:val="0"/>
              <w:spacing w:after="0" w:line="276" w:lineRule="auto"/>
              <w:ind w:right="10"/>
              <w:jc w:val="right"/>
              <w:rPr>
                <w:rFonts w:ascii="Times New Roman" w:hAnsi="Times New Roman" w:cs="Times New Roman"/>
                <w:sz w:val="12"/>
                <w:szCs w:val="12"/>
              </w:rPr>
            </w:pP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rPr>
                <w:rFonts w:ascii="Times New Roman" w:hAnsi="Times New Roman" w:cs="Times New Roman"/>
                <w:b/>
                <w:sz w:val="24"/>
                <w:szCs w:val="24"/>
              </w:rPr>
            </w:pPr>
            <w:r>
              <w:rPr>
                <w:rFonts w:ascii="Times New Roman" w:hAnsi="Times New Roman" w:cs="Times New Roman"/>
                <w:b/>
                <w:sz w:val="24"/>
                <w:szCs w:val="24"/>
              </w:rPr>
              <w:t>R-squared</w:t>
            </w:r>
          </w:p>
        </w:tc>
        <w:tc>
          <w:tcPr>
            <w:tcW w:w="1897"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0.8872</w:t>
            </w:r>
          </w:p>
        </w:tc>
        <w:tc>
          <w:tcPr>
            <w:tcW w:w="2331" w:type="dxa"/>
            <w:gridSpan w:val="3"/>
            <w:vAlign w:val="bottom"/>
          </w:tcPr>
          <w:p>
            <w:pPr>
              <w:autoSpaceDE w:val="0"/>
              <w:autoSpaceDN w:val="0"/>
              <w:adjustRightInd w:val="0"/>
              <w:spacing w:after="0" w:line="276" w:lineRule="auto"/>
              <w:ind w:right="10"/>
              <w:rPr>
                <w:rFonts w:ascii="Times New Roman" w:hAnsi="Times New Roman" w:cs="Times New Roman"/>
                <w:b/>
                <w:sz w:val="24"/>
                <w:szCs w:val="24"/>
              </w:rPr>
            </w:pPr>
            <w:r>
              <w:rPr>
                <w:rFonts w:ascii="Times New Roman" w:hAnsi="Times New Roman" w:cs="Times New Roman"/>
                <w:b/>
                <w:sz w:val="24"/>
                <w:szCs w:val="24"/>
              </w:rPr>
              <w:t>F-stat</w:t>
            </w:r>
          </w:p>
        </w:tc>
        <w:tc>
          <w:tcPr>
            <w:tcW w:w="2592"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132.37 (0.0000)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rPr>
                <w:rFonts w:ascii="Times New Roman" w:hAnsi="Times New Roman" w:cs="Times New Roman"/>
                <w:b/>
                <w:sz w:val="24"/>
                <w:szCs w:val="24"/>
              </w:rPr>
            </w:pPr>
            <w:r>
              <w:rPr>
                <w:rFonts w:ascii="Times New Roman" w:hAnsi="Times New Roman" w:cs="Times New Roman"/>
                <w:b/>
                <w:sz w:val="24"/>
                <w:szCs w:val="24"/>
              </w:rPr>
              <w:t>Adj. R-squared</w:t>
            </w:r>
          </w:p>
        </w:tc>
        <w:tc>
          <w:tcPr>
            <w:tcW w:w="1897"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0.8421</w:t>
            </w:r>
          </w:p>
        </w:tc>
        <w:tc>
          <w:tcPr>
            <w:tcW w:w="2331" w:type="dxa"/>
            <w:gridSpan w:val="3"/>
            <w:vAlign w:val="bottom"/>
          </w:tcPr>
          <w:p>
            <w:pPr>
              <w:autoSpaceDE w:val="0"/>
              <w:autoSpaceDN w:val="0"/>
              <w:adjustRightInd w:val="0"/>
              <w:spacing w:after="0" w:line="276" w:lineRule="auto"/>
              <w:ind w:right="10"/>
              <w:rPr>
                <w:rFonts w:ascii="Times New Roman" w:hAnsi="Times New Roman" w:cs="Times New Roman"/>
                <w:b/>
                <w:sz w:val="24"/>
                <w:szCs w:val="24"/>
              </w:rPr>
            </w:pPr>
            <w:r>
              <w:rPr>
                <w:rFonts w:ascii="Times New Roman" w:hAnsi="Times New Roman" w:cs="Times New Roman"/>
                <w:b/>
                <w:sz w:val="24"/>
                <w:szCs w:val="24"/>
              </w:rPr>
              <w:t>D-Watson</w:t>
            </w:r>
          </w:p>
        </w:tc>
        <w:tc>
          <w:tcPr>
            <w:tcW w:w="2592"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1.8508</w:t>
            </w:r>
          </w:p>
        </w:tc>
      </w:tr>
    </w:tbl>
    <w:p>
      <w:pPr>
        <w:spacing w:after="120"/>
        <w:jc w:val="both"/>
        <w:rPr>
          <w:rFonts w:ascii="Times New Roman" w:hAnsi="Times New Roman"/>
          <w:sz w:val="24"/>
          <w:szCs w:val="24"/>
        </w:rPr>
      </w:pPr>
      <w:r>
        <w:rPr>
          <w:rFonts w:ascii="Times New Roman" w:hAnsi="Times New Roman"/>
          <w:b/>
          <w:sz w:val="24"/>
          <w:szCs w:val="24"/>
        </w:rPr>
        <w:t>Source:</w:t>
      </w:r>
      <w:r>
        <w:rPr>
          <w:rFonts w:ascii="Times New Roman" w:hAnsi="Times New Roman"/>
          <w:sz w:val="24"/>
          <w:szCs w:val="24"/>
        </w:rPr>
        <w:t xml:space="preserve"> Author’s computation (2023).</w:t>
      </w:r>
    </w:p>
    <w:bookmarkEnd w:id="8"/>
    <w:p>
      <w:pPr>
        <w:rPr>
          <w:rFonts w:ascii="Times New Roman" w:hAnsi="Times New Roman"/>
          <w:sz w:val="24"/>
          <w:szCs w:val="24"/>
        </w:rPr>
      </w:pPr>
      <w:r>
        <w:rPr>
          <w:rFonts w:ascii="Times New Roman" w:hAnsi="Times New Roman"/>
          <w:sz w:val="24"/>
          <w:szCs w:val="24"/>
        </w:rPr>
        <w:br w:type="page"/>
      </w:r>
    </w:p>
    <w:p>
      <w:pPr>
        <w:spacing w:after="120" w:line="480" w:lineRule="auto"/>
        <w:jc w:val="both"/>
        <w:rPr>
          <w:rFonts w:ascii="Times New Roman" w:hAnsi="Times New Roman"/>
          <w:sz w:val="24"/>
          <w:szCs w:val="24"/>
        </w:rPr>
      </w:pPr>
      <w:r>
        <w:rPr>
          <w:rFonts w:ascii="Times New Roman" w:hAnsi="Times New Roman"/>
          <w:sz w:val="24"/>
          <w:szCs w:val="24"/>
        </w:rPr>
        <w:t>At the 5% level, the short-run coefficients of the change in life expectancy at lag one is significant and positive. While the first lag is statistically insignificant and negative, the short-run parameter estimates of all share index were determined to be positive and statistically significant at 5%. It follows that all share index public health spending had a short-term positive influence on life expectancy. Also, the current and lag one of the total stocks traded value have a direct impact on life expectancy in the short run. The current and first lag of gross fixed capital formation to GDP ratio at lag one had a significant direct impact on life expectancy while the current level is not significant statistically. Life expectancy was positive and significantly impacted by the rise of e total trade to GDP ratio in the short run. Apart from the current level which is negative and statistically insignificant at 5%, the first lag of inflation rate is positive and statistically significant.</w:t>
      </w:r>
    </w:p>
    <w:p>
      <w:pPr>
        <w:spacing w:after="120" w:line="480" w:lineRule="auto"/>
        <w:jc w:val="both"/>
        <w:rPr>
          <w:rFonts w:ascii="Times New Roman" w:hAnsi="Times New Roman"/>
          <w:sz w:val="24"/>
          <w:szCs w:val="24"/>
        </w:rPr>
      </w:pPr>
      <w:r>
        <w:rPr>
          <w:rFonts w:ascii="Times New Roman" w:hAnsi="Times New Roman"/>
          <w:sz w:val="24"/>
          <w:szCs w:val="24"/>
        </w:rPr>
        <w:t>According to the long-run results in Table 4.15, stock market capitalization and total stock traded value negatively impacted life expectancy in Nigeria. The parameters werenot in line with theoretic assumptions, and only the result of total stocks traded value is statistically significant at 5%. Likewise, the study discovered that all share index have the potential to significantly impact life expectancy positivelyin the long run at 10% level. In magnitude terms, a 100% rise in all share index led to about 0.012% increase in life expectancy. Also, low inflation has demonstrated to have a positive and significant impact on life expectancy. Thus, a 100% decline in inflation rate results in a 6.86% change in life expectancy. However, for the research years, trade openness and gross fixed capital formation have direct and indirect effects on life expectancy in Nigeria respectively. As a result, life expectancy decreases by 1.53% with every 10% rise in gross fixed capital formation.</w:t>
      </w:r>
    </w:p>
    <w:p>
      <w:pPr>
        <w:spacing w:after="120" w:line="480" w:lineRule="auto"/>
        <w:jc w:val="both"/>
        <w:rPr>
          <w:rFonts w:ascii="Times New Roman" w:hAnsi="Times New Roman"/>
          <w:sz w:val="24"/>
          <w:szCs w:val="24"/>
        </w:rPr>
      </w:pPr>
      <w:r>
        <w:rPr>
          <w:rFonts w:ascii="Times New Roman" w:hAnsi="Times New Roman"/>
          <w:sz w:val="24"/>
          <w:szCs w:val="24"/>
        </w:rPr>
        <w:t>The adjusted R</w:t>
      </w:r>
      <w:r>
        <w:rPr>
          <w:rFonts w:ascii="Times New Roman" w:hAnsi="Times New Roman"/>
          <w:sz w:val="24"/>
          <w:szCs w:val="24"/>
          <w:vertAlign w:val="superscript"/>
        </w:rPr>
        <w:t xml:space="preserve">2 </w:t>
      </w:r>
      <w:r>
        <w:rPr>
          <w:rFonts w:ascii="Times New Roman" w:hAnsi="Times New Roman"/>
          <w:sz w:val="24"/>
          <w:szCs w:val="24"/>
        </w:rPr>
        <w:t>(coefficient of determination) is high (84.21%), meaning that the variables in the model accounted for around 84.21% of all variations in life expectancy. It only said that variations in stock market development and other influencing factors accounted for 84.21% of the range in changes in life expectancy. The model is properly described and statistically significant as shown by the overall test using the F-statistic (132.37), which is statistically significant at the 5% level of significance. Serial autocorrelation is not present in the model, as evidenced by the Durbin-Watson value of 1.8508.</w:t>
      </w:r>
    </w:p>
    <w:p>
      <w:pPr>
        <w:spacing w:after="120" w:line="480" w:lineRule="auto"/>
        <w:jc w:val="both"/>
        <w:rPr>
          <w:rFonts w:ascii="Times New Roman" w:hAnsi="Times New Roman" w:cs="Times New Roman"/>
          <w:b/>
          <w:sz w:val="24"/>
          <w:szCs w:val="24"/>
        </w:rPr>
      </w:pPr>
      <w:r>
        <w:rPr>
          <w:rFonts w:ascii="Times New Roman" w:hAnsi="Times New Roman" w:cs="Times New Roman"/>
          <w:b/>
          <w:sz w:val="24"/>
          <w:szCs w:val="24"/>
        </w:rPr>
        <w:t>Diagnostic Test</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Heteroscedasticity, serial correlation, functional form misspecification, parameter stability, and normality tests are all examined in the calculated ARDL model. Table 4.16 displays the outcomes of these examinations. The serial correlation, normality, and heteroskedasticity tests were all passed by the estimated ARDL model. It indicates that the error terms are not serially associated and have the same variances as their normal distribution. Additionally, the ARDL model passed the Ramsey RESET test, showing that the model is evenly specified. Additionally, the cumulative sum (CUSUM) and cumulative sum of squares (CUSUMSQ), respectively, as shown in Figures 4.9a and 4.9b are steady.</w:t>
      </w:r>
    </w:p>
    <w:p>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p>
    <w:p>
      <w:pPr>
        <w:spacing w:after="0" w:line="240" w:lineRule="auto"/>
        <w:rPr>
          <w:rFonts w:ascii="Times New Roman" w:hAnsi="Times New Roman" w:cs="Times New Roman"/>
          <w:sz w:val="24"/>
          <w:szCs w:val="24"/>
        </w:rPr>
      </w:pPr>
      <w:r>
        <w:rPr>
          <w:rFonts w:ascii="Times New Roman" w:hAnsi="Times New Roman" w:cs="Times New Roman"/>
          <w:b/>
          <w:sz w:val="24"/>
          <w:szCs w:val="24"/>
        </w:rPr>
        <w:t>Table 4.16:</w:t>
      </w:r>
      <w:r>
        <w:rPr>
          <w:rFonts w:ascii="Times New Roman" w:hAnsi="Times New Roman" w:cs="Times New Roman"/>
          <w:sz w:val="24"/>
          <w:szCs w:val="24"/>
        </w:rPr>
        <w:t xml:space="preserve"> Diagnostic Tests of Selected ARDL Model</w:t>
      </w:r>
    </w:p>
    <w:tbl>
      <w:tblPr>
        <w:tblStyle w:val="6"/>
        <w:tblW w:w="0" w:type="auto"/>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077"/>
        <w:gridCol w:w="4820"/>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8897" w:type="dxa"/>
            <w:gridSpan w:val="2"/>
            <w:tcBorders>
              <w:top w:val="single" w:color="auto" w:sz="4" w:space="0"/>
              <w:bottom w:val="single" w:color="auto" w:sz="4" w:space="0"/>
            </w:tcBorders>
            <w:shd w:val="clear" w:color="auto" w:fill="auto"/>
          </w:tcPr>
          <w:p>
            <w:pPr>
              <w:spacing w:before="40" w:after="40" w:line="360" w:lineRule="auto"/>
              <w:ind w:left="11" w:hanging="11"/>
              <w:jc w:val="center"/>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Results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077" w:type="dxa"/>
            <w:tcBorders>
              <w:top w:val="single" w:color="auto" w:sz="4" w:space="0"/>
            </w:tcBorders>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Serial Correlation:</w:t>
            </w:r>
            <w:r>
              <w:rPr>
                <w:rFonts w:ascii="Times New Roman" w:hAnsi="Times New Roman" w:eastAsia="SimSun" w:cs="Times New Roman"/>
                <w:sz w:val="24"/>
                <w:szCs w:val="24"/>
                <w:lang w:eastAsia="en-GB"/>
              </w:rPr>
              <w:t>1.1020 [0.3562]</w:t>
            </w:r>
          </w:p>
        </w:tc>
        <w:tc>
          <w:tcPr>
            <w:tcW w:w="4820" w:type="dxa"/>
            <w:tcBorders>
              <w:top w:val="single" w:color="auto" w:sz="4" w:space="0"/>
            </w:tcBorders>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Normality Test:</w:t>
            </w:r>
            <w:r>
              <w:rPr>
                <w:rFonts w:ascii="Times New Roman" w:hAnsi="Times New Roman" w:eastAsia="SimSun" w:cs="Times New Roman"/>
                <w:sz w:val="24"/>
                <w:szCs w:val="24"/>
                <w:lang w:eastAsia="en-GB"/>
              </w:rPr>
              <w:t>2.0903 [0.3516]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077" w:type="dxa"/>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Functional Form:</w:t>
            </w:r>
            <w:r>
              <w:rPr>
                <w:rFonts w:ascii="Times New Roman" w:hAnsi="Times New Roman" w:eastAsia="SimSun" w:cs="Times New Roman"/>
                <w:sz w:val="24"/>
                <w:szCs w:val="24"/>
                <w:lang w:eastAsia="en-GB"/>
              </w:rPr>
              <w:t>0.5383 [0.5973]</w:t>
            </w:r>
          </w:p>
        </w:tc>
        <w:tc>
          <w:tcPr>
            <w:tcW w:w="4820" w:type="dxa"/>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Heteroskedasticity Test:</w:t>
            </w:r>
            <w:r>
              <w:rPr>
                <w:rFonts w:ascii="Times New Roman" w:hAnsi="Times New Roman" w:eastAsia="SimSun" w:cs="Times New Roman"/>
                <w:sz w:val="24"/>
                <w:szCs w:val="24"/>
                <w:lang w:eastAsia="en-GB"/>
              </w:rPr>
              <w:t>0.3341 [0.9858]</w:t>
            </w:r>
          </w:p>
        </w:tc>
      </w:tr>
    </w:tbl>
    <w:p>
      <w:pPr>
        <w:spacing w:after="120" w:line="480" w:lineRule="auto"/>
        <w:jc w:val="both"/>
        <w:rPr>
          <w:rFonts w:ascii="Times New Roman" w:hAnsi="Times New Roman" w:cs="Times New Roman"/>
          <w:sz w:val="24"/>
          <w:szCs w:val="24"/>
        </w:rPr>
      </w:pPr>
      <w:r>
        <w:rPr>
          <w:rFonts w:ascii="Times New Roman" w:hAnsi="Times New Roman" w:cs="Times New Roman"/>
          <w:b/>
          <w:sz w:val="24"/>
          <w:szCs w:val="24"/>
        </w:rPr>
        <w:t>Source:</w:t>
      </w:r>
      <w:r>
        <w:rPr>
          <w:rFonts w:ascii="Times New Roman" w:hAnsi="Times New Roman" w:cs="Times New Roman"/>
          <w:sz w:val="24"/>
          <w:szCs w:val="24"/>
        </w:rPr>
        <w:t xml:space="preserve"> Author’s computation (2023).</w:t>
      </w:r>
    </w:p>
    <w:tbl>
      <w:tblPr>
        <w:tblStyle w:val="22"/>
        <w:tblW w:w="10758" w:type="dxa"/>
        <w:tblInd w:w="-60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364"/>
        <w:gridCol w:w="53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5364" w:type="dxa"/>
          </w:tcPr>
          <w:p>
            <w:pPr>
              <w:spacing w:after="0" w:line="276" w:lineRule="auto"/>
              <w:ind w:left="-108" w:right="-51"/>
              <w:jc w:val="both"/>
              <w:rPr>
                <w:rFonts w:ascii="Times New Roman" w:hAnsi="Times New Roman" w:cs="Times New Roman"/>
                <w:sz w:val="24"/>
                <w:szCs w:val="24"/>
              </w:rPr>
            </w:pPr>
            <w:r>
              <w:object>
                <v:shape id="_x0000_i1049" o:spt="75" type="#_x0000_t75" style="height:255pt;width:264.75pt;" o:ole="t" filled="f" o:preferrelative="t" stroked="f" coordsize="21600,21600">
                  <v:path/>
                  <v:fill on="f" focussize="0,0"/>
                  <v:stroke on="f" joinstyle="miter"/>
                  <v:imagedata r:id="rId63" o:title=""/>
                  <o:lock v:ext="edit" aspectratio="t"/>
                  <w10:wrap type="none"/>
                  <w10:anchorlock/>
                </v:shape>
                <o:OLEObject Type="Embed" ProgID="EViews.Workfile.2" ShapeID="_x0000_i1049" DrawAspect="Content" ObjectID="_1468075749" r:id="rId62">
                  <o:LockedField>false</o:LockedField>
                </o:OLEObject>
              </w:object>
            </w:r>
          </w:p>
        </w:tc>
        <w:tc>
          <w:tcPr>
            <w:tcW w:w="5394" w:type="dxa"/>
          </w:tcPr>
          <w:p>
            <w:pPr>
              <w:spacing w:after="0" w:line="276" w:lineRule="auto"/>
              <w:ind w:left="-108" w:right="-51"/>
              <w:jc w:val="both"/>
              <w:rPr>
                <w:rFonts w:ascii="Times New Roman" w:hAnsi="Times New Roman" w:cs="Times New Roman"/>
                <w:sz w:val="24"/>
                <w:szCs w:val="24"/>
              </w:rPr>
            </w:pPr>
            <w:r>
              <w:object>
                <v:shape id="_x0000_i1050" o:spt="75" type="#_x0000_t75" style="height:255pt;width:266.25pt;" o:ole="t" filled="f" o:preferrelative="t" stroked="f" coordsize="21600,21600">
                  <v:path/>
                  <v:fill on="f" focussize="0,0"/>
                  <v:stroke on="f" joinstyle="miter"/>
                  <v:imagedata r:id="rId65" o:title=""/>
                  <o:lock v:ext="edit" aspectratio="t"/>
                  <w10:wrap type="none"/>
                  <w10:anchorlock/>
                </v:shape>
                <o:OLEObject Type="Embed" ProgID="EViews.Workfile.2" ShapeID="_x0000_i1050" DrawAspect="Content" ObjectID="_1468075750" r:id="rId64">
                  <o:LockedField>false</o:LockedField>
                </o:OLEObject>
              </w:objec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364" w:type="dxa"/>
          </w:tcPr>
          <w:p>
            <w:pPr>
              <w:spacing w:after="0" w:line="276" w:lineRule="auto"/>
              <w:ind w:left="-108" w:right="-51"/>
              <w:jc w:val="both"/>
              <w:rPr>
                <w:rFonts w:ascii="Times New Roman" w:hAnsi="Times New Roman" w:cs="Times New Roman"/>
                <w:sz w:val="24"/>
                <w:szCs w:val="24"/>
              </w:rPr>
            </w:pPr>
            <w:r>
              <w:rPr>
                <w:rFonts w:ascii="Times New Roman" w:hAnsi="Times New Roman" w:cs="Times New Roman"/>
                <w:b/>
                <w:sz w:val="24"/>
                <w:szCs w:val="24"/>
              </w:rPr>
              <w:t>Figure 4.9a:</w:t>
            </w:r>
            <w:r>
              <w:rPr>
                <w:rFonts w:ascii="Times New Roman" w:hAnsi="Times New Roman" w:cs="Times New Roman"/>
                <w:sz w:val="24"/>
                <w:szCs w:val="24"/>
              </w:rPr>
              <w:t xml:space="preserve"> Cumulative Sum (CUSUM)</w:t>
            </w:r>
          </w:p>
        </w:tc>
        <w:tc>
          <w:tcPr>
            <w:tcW w:w="5394" w:type="dxa"/>
          </w:tcPr>
          <w:p>
            <w:pPr>
              <w:spacing w:after="0" w:line="276" w:lineRule="auto"/>
              <w:ind w:left="-108" w:right="-51"/>
              <w:jc w:val="both"/>
              <w:rPr>
                <w:rFonts w:ascii="Times New Roman" w:hAnsi="Times New Roman" w:cs="Times New Roman"/>
                <w:sz w:val="24"/>
                <w:szCs w:val="24"/>
              </w:rPr>
            </w:pPr>
            <w:r>
              <w:rPr>
                <w:rFonts w:ascii="Times New Roman" w:hAnsi="Times New Roman" w:cs="Times New Roman"/>
                <w:b/>
                <w:sz w:val="24"/>
                <w:szCs w:val="24"/>
              </w:rPr>
              <w:t>Figure 4.9b:</w:t>
            </w:r>
            <w:r>
              <w:rPr>
                <w:rFonts w:ascii="Times New Roman" w:hAnsi="Times New Roman" w:cs="Times New Roman"/>
                <w:sz w:val="24"/>
                <w:szCs w:val="24"/>
              </w:rPr>
              <w:t xml:space="preserve"> Cumulative Sum of Square (CUSUMQ)</w:t>
            </w:r>
          </w:p>
        </w:tc>
      </w:tr>
    </w:tbl>
    <w:p>
      <w:pPr>
        <w:rPr>
          <w:rFonts w:ascii="Times New Roman" w:hAnsi="Times New Roman" w:cs="Times New Roman"/>
          <w:sz w:val="24"/>
          <w:szCs w:val="24"/>
        </w:rPr>
      </w:pPr>
      <w:r>
        <w:rPr>
          <w:rFonts w:ascii="Times New Roman" w:hAnsi="Times New Roman" w:cs="Times New Roman"/>
          <w:sz w:val="24"/>
          <w:szCs w:val="24"/>
        </w:rPr>
        <w:br w:type="page"/>
      </w:r>
    </w:p>
    <w:p>
      <w:pPr>
        <w:spacing w:after="120" w:line="480" w:lineRule="auto"/>
        <w:ind w:left="426" w:hanging="426"/>
        <w:jc w:val="both"/>
        <w:rPr>
          <w:rFonts w:ascii="Times New Roman" w:hAnsi="Times New Roman" w:cs="Times New Roman"/>
          <w:b/>
          <w:sz w:val="24"/>
          <w:szCs w:val="24"/>
        </w:rPr>
      </w:pPr>
      <w:r>
        <w:rPr>
          <w:rFonts w:ascii="Times New Roman" w:hAnsi="Times New Roman" w:cs="Times New Roman"/>
          <w:b/>
          <w:sz w:val="24"/>
          <w:szCs w:val="24"/>
        </w:rPr>
        <w:t>C) Short-run and Long-run Estimates of Stock Market Development and Child Mortality</w:t>
      </w:r>
    </w:p>
    <w:p>
      <w:pPr>
        <w:spacing w:after="120" w:line="480" w:lineRule="auto"/>
        <w:jc w:val="both"/>
        <w:rPr>
          <w:rFonts w:ascii="Times New Roman" w:hAnsi="Times New Roman"/>
          <w:sz w:val="24"/>
          <w:szCs w:val="24"/>
        </w:rPr>
      </w:pPr>
      <w:r>
        <w:rPr>
          <w:rFonts w:ascii="Times New Roman" w:hAnsi="Times New Roman"/>
          <w:sz w:val="24"/>
          <w:szCs w:val="24"/>
        </w:rPr>
        <w:t>In this section, this study addressed the null hypothesis that stock market development has no significant effect on infant mortality in Nigeria. Using the estimated ARDL approach, which was fully discussed in the preceding chapter, this study evaluates both the short-run and long-run relationship estimates of stock market development and other controllable factors on infant mortality in Nigeria. A combination of short-run and long-run estimates of the relationships among the series taken into consideration in this study makes up the estimated ARDL model. Table 4.17 provides conclusive evidence for our empirical estimations based on data on stock market development measures, gross fixed capital creation, trade openness, and inflation rate.</w:t>
      </w:r>
    </w:p>
    <w:p>
      <w:pPr>
        <w:spacing w:after="120" w:line="480" w:lineRule="auto"/>
        <w:jc w:val="both"/>
        <w:rPr>
          <w:rFonts w:ascii="Times New Roman" w:hAnsi="Times New Roman"/>
          <w:sz w:val="24"/>
          <w:szCs w:val="24"/>
        </w:rPr>
      </w:pPr>
      <w:r>
        <w:rPr>
          <w:rFonts w:ascii="Times New Roman" w:hAnsi="Times New Roman"/>
          <w:sz w:val="24"/>
          <w:szCs w:val="24"/>
        </w:rPr>
        <w:t>The results of the short-run estimation demonstrate the error correction mechanism, which gauges the rate or intensity of adjustment. It measures the rate of adjustment at which the outcome variable adjusts to changes in the explanatory variables. The model’s dynamic pattern is displayed in the short run analysis, which also checks to see if the model’s dynamics haven’t been restricted by erroneous lag length specifications. The model’s lag length was set at three to ensure an adequate degree of freedom based on automatic selection of the Akaike Information Criterion, and the ARDL test automatically select the lag duration on all variables. Table 4.17 shows the short-term estimates of the correlation between stock market development and infant mortality. The coefficient of the ECT is found to be negative and statistically significant at the conventional level. The ECT value (-0.0242) implied that the model corrects its short-run disequilibrium by 2.42% speed of adjustment to return to the long run equilibrium.</w:t>
      </w:r>
    </w:p>
    <w:p>
      <w:pPr>
        <w:spacing w:after="120" w:line="480" w:lineRule="auto"/>
        <w:jc w:val="both"/>
        <w:rPr>
          <w:rFonts w:ascii="Times New Roman" w:hAnsi="Times New Roman"/>
          <w:sz w:val="24"/>
          <w:szCs w:val="24"/>
        </w:rPr>
      </w:pPr>
      <w:r>
        <w:rPr>
          <w:rFonts w:ascii="Times New Roman" w:hAnsi="Times New Roman"/>
          <w:sz w:val="24"/>
          <w:szCs w:val="24"/>
        </w:rPr>
        <w:br w:type="page"/>
      </w:r>
    </w:p>
    <w:p>
      <w:pPr>
        <w:spacing w:after="0"/>
        <w:jc w:val="both"/>
        <w:rPr>
          <w:rFonts w:ascii="Times New Roman" w:hAnsi="Times New Roman"/>
          <w:sz w:val="24"/>
          <w:szCs w:val="24"/>
        </w:rPr>
      </w:pPr>
      <w:bookmarkStart w:id="9" w:name="_Hlk151118226"/>
      <w:r>
        <w:rPr>
          <w:rFonts w:ascii="Times New Roman" w:hAnsi="Times New Roman"/>
          <w:b/>
          <w:sz w:val="24"/>
          <w:szCs w:val="24"/>
        </w:rPr>
        <w:t xml:space="preserve">Table 4.17: </w:t>
      </w:r>
      <w:bookmarkStart w:id="10" w:name="_Hlk119162326"/>
      <w:r>
        <w:rPr>
          <w:rFonts w:ascii="Times New Roman" w:hAnsi="Times New Roman"/>
          <w:sz w:val="24"/>
          <w:szCs w:val="24"/>
        </w:rPr>
        <w:t>Results of estimated ARDL model of child mortality</w:t>
      </w:r>
      <w:bookmarkEnd w:id="10"/>
    </w:p>
    <w:tbl>
      <w:tblPr>
        <w:tblStyle w:val="6"/>
        <w:tblW w:w="9205" w:type="dxa"/>
        <w:tblInd w:w="-142"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385"/>
        <w:gridCol w:w="1717"/>
        <w:gridCol w:w="180"/>
        <w:gridCol w:w="102"/>
        <w:gridCol w:w="1419"/>
        <w:gridCol w:w="810"/>
        <w:gridCol w:w="891"/>
        <w:gridCol w:w="1701"/>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9205" w:type="dxa"/>
            <w:gridSpan w:val="8"/>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 xml:space="preserve">Dependent Variable: </w:t>
            </w:r>
            <w:r>
              <w:rPr>
                <w:rFonts w:ascii="Times New Roman" w:hAnsi="Times New Roman" w:cs="Times New Roman"/>
                <w:sz w:val="24"/>
                <w:szCs w:val="24"/>
              </w:rPr>
              <w:t>Child mortality (un5m)</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9205" w:type="dxa"/>
            <w:gridSpan w:val="8"/>
            <w:tcBorders>
              <w:bottom w:val="nil"/>
            </w:tcBorders>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 xml:space="preserve">Selected Model: </w:t>
            </w:r>
            <w:r>
              <w:rPr>
                <w:rFonts w:ascii="Times New Roman" w:hAnsi="Times New Roman" w:cs="Times New Roman"/>
                <w:sz w:val="24"/>
                <w:szCs w:val="24"/>
              </w:rPr>
              <w:t>ARDL(4, 3, 3, 3, 0, 3, 2)</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83" w:hRule="atLeast"/>
        </w:trPr>
        <w:tc>
          <w:tcPr>
            <w:tcW w:w="4384" w:type="dxa"/>
            <w:gridSpan w:val="4"/>
            <w:tcBorders>
              <w:top w:val="nil"/>
              <w:bottom w:val="single" w:color="auto" w:sz="4" w:space="0"/>
            </w:tcBorders>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Sample:</w:t>
            </w:r>
            <w:r>
              <w:rPr>
                <w:rFonts w:ascii="Times New Roman" w:hAnsi="Times New Roman" w:cs="Times New Roman"/>
                <w:sz w:val="24"/>
                <w:szCs w:val="24"/>
              </w:rPr>
              <w:t xml:space="preserve"> 1985 2022</w:t>
            </w:r>
          </w:p>
        </w:tc>
        <w:tc>
          <w:tcPr>
            <w:tcW w:w="4821" w:type="dxa"/>
            <w:gridSpan w:val="4"/>
            <w:tcBorders>
              <w:top w:val="nil"/>
              <w:bottom w:val="single" w:color="auto" w:sz="4" w:space="0"/>
            </w:tcBorders>
            <w:vAlign w:val="bottom"/>
          </w:tcPr>
          <w:p>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b/>
                <w:sz w:val="24"/>
                <w:szCs w:val="24"/>
              </w:rPr>
              <w:t>Included observations:</w:t>
            </w:r>
            <w:r>
              <w:rPr>
                <w:rFonts w:ascii="Times New Roman" w:hAnsi="Times New Roman" w:cs="Times New Roman"/>
                <w:sz w:val="24"/>
                <w:szCs w:val="24"/>
              </w:rPr>
              <w:t xml:space="preserve"> 34</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9205" w:type="dxa"/>
            <w:gridSpan w:val="8"/>
            <w:tcBorders>
              <w:top w:val="single" w:color="auto" w:sz="4" w:space="0"/>
              <w:bottom w:val="single" w:color="auto" w:sz="4" w:space="0"/>
            </w:tcBorders>
            <w:vAlign w:val="bottom"/>
          </w:tcPr>
          <w:p>
            <w:pPr>
              <w:autoSpaceDE w:val="0"/>
              <w:autoSpaceDN w:val="0"/>
              <w:adjustRightInd w:val="0"/>
              <w:spacing w:after="0" w:line="276" w:lineRule="auto"/>
              <w:jc w:val="center"/>
              <w:rPr>
                <w:rFonts w:ascii="Times New Roman" w:hAnsi="Times New Roman" w:cs="Times New Roman"/>
                <w:b/>
                <w:i/>
                <w:sz w:val="24"/>
                <w:szCs w:val="24"/>
              </w:rPr>
            </w:pPr>
            <w:r>
              <w:rPr>
                <w:rFonts w:ascii="Times New Roman" w:hAnsi="Times New Roman" w:cs="Times New Roman"/>
                <w:b/>
                <w:i/>
                <w:sz w:val="24"/>
                <w:szCs w:val="24"/>
              </w:rPr>
              <w:t>Short-Run Estimates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top w:val="single" w:color="auto" w:sz="4" w:space="0"/>
              <w:bottom w:val="single" w:color="auto" w:sz="4" w:space="0"/>
            </w:tcBorders>
            <w:vAlign w:val="center"/>
          </w:tcPr>
          <w:p>
            <w:pPr>
              <w:autoSpaceDE w:val="0"/>
              <w:autoSpaceDN w:val="0"/>
              <w:adjustRightInd w:val="0"/>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Variable</w:t>
            </w:r>
          </w:p>
        </w:tc>
        <w:tc>
          <w:tcPr>
            <w:tcW w:w="1717" w:type="dxa"/>
            <w:tcBorders>
              <w:top w:val="single" w:color="auto" w:sz="4" w:space="0"/>
              <w:bottom w:val="single" w:color="auto" w:sz="4" w:space="0"/>
            </w:tcBorders>
            <w:vAlign w:val="center"/>
          </w:tcPr>
          <w:p>
            <w:pPr>
              <w:autoSpaceDE w:val="0"/>
              <w:autoSpaceDN w:val="0"/>
              <w:adjustRightInd w:val="0"/>
              <w:spacing w:after="0" w:line="276" w:lineRule="auto"/>
              <w:ind w:right="11"/>
              <w:jc w:val="center"/>
              <w:rPr>
                <w:rFonts w:ascii="Times New Roman" w:hAnsi="Times New Roman" w:cs="Times New Roman"/>
                <w:b/>
                <w:sz w:val="24"/>
                <w:szCs w:val="24"/>
              </w:rPr>
            </w:pPr>
            <w:r>
              <w:rPr>
                <w:rFonts w:ascii="Times New Roman" w:hAnsi="Times New Roman" w:cs="Times New Roman"/>
                <w:b/>
                <w:sz w:val="24"/>
                <w:szCs w:val="24"/>
              </w:rPr>
              <w:t>Coefficient</w:t>
            </w:r>
          </w:p>
        </w:tc>
        <w:tc>
          <w:tcPr>
            <w:tcW w:w="1701" w:type="dxa"/>
            <w:gridSpan w:val="3"/>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sz w:val="24"/>
                <w:szCs w:val="24"/>
              </w:rPr>
            </w:pPr>
            <w:r>
              <w:rPr>
                <w:rFonts w:ascii="Times New Roman" w:hAnsi="Times New Roman" w:cs="Times New Roman"/>
                <w:b/>
                <w:sz w:val="24"/>
                <w:szCs w:val="24"/>
              </w:rPr>
              <w:t>Std. Error</w:t>
            </w:r>
          </w:p>
        </w:tc>
        <w:tc>
          <w:tcPr>
            <w:tcW w:w="1701" w:type="dxa"/>
            <w:gridSpan w:val="2"/>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sz w:val="24"/>
                <w:szCs w:val="24"/>
              </w:rPr>
            </w:pPr>
            <w:r>
              <w:rPr>
                <w:rFonts w:ascii="Times New Roman" w:hAnsi="Times New Roman" w:cs="Times New Roman"/>
                <w:b/>
                <w:sz w:val="24"/>
                <w:szCs w:val="24"/>
              </w:rPr>
              <w:t>t-Statistic</w:t>
            </w:r>
          </w:p>
        </w:tc>
        <w:tc>
          <w:tcPr>
            <w:tcW w:w="1701" w:type="dxa"/>
            <w:tcBorders>
              <w:top w:val="single" w:color="auto" w:sz="4" w:space="0"/>
              <w:bottom w:val="single" w:color="auto" w:sz="4" w:space="0"/>
            </w:tcBorders>
            <w:vAlign w:val="center"/>
          </w:tcPr>
          <w:p>
            <w:pPr>
              <w:autoSpaceDE w:val="0"/>
              <w:autoSpaceDN w:val="0"/>
              <w:adjustRightInd w:val="0"/>
              <w:spacing w:after="0" w:line="276" w:lineRule="auto"/>
              <w:ind w:right="10"/>
              <w:jc w:val="center"/>
              <w:rPr>
                <w:rFonts w:ascii="Times New Roman" w:hAnsi="Times New Roman" w:cs="Times New Roman"/>
                <w:b/>
                <w:sz w:val="24"/>
                <w:szCs w:val="24"/>
              </w:rPr>
            </w:pPr>
            <w:r>
              <w:rPr>
                <w:rFonts w:ascii="Times New Roman" w:hAnsi="Times New Roman" w:cs="Times New Roman"/>
                <w:b/>
                <w:sz w:val="24"/>
                <w:szCs w:val="24"/>
              </w:rPr>
              <w:t>Prob.</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top w:val="single" w:color="auto" w:sz="4" w:space="0"/>
            </w:tcBorders>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DLOG(UN5M(-1))</w:t>
            </w:r>
          </w:p>
        </w:tc>
        <w:tc>
          <w:tcPr>
            <w:tcW w:w="1717" w:type="dxa"/>
            <w:tcBorders>
              <w:top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1.815828</w:t>
            </w:r>
          </w:p>
        </w:tc>
        <w:tc>
          <w:tcPr>
            <w:tcW w:w="1701" w:type="dxa"/>
            <w:gridSpan w:val="3"/>
            <w:tcBorders>
              <w:top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0.166594</w:t>
            </w:r>
          </w:p>
        </w:tc>
        <w:tc>
          <w:tcPr>
            <w:tcW w:w="1701" w:type="dxa"/>
            <w:gridSpan w:val="2"/>
            <w:tcBorders>
              <w:top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10.89975</w:t>
            </w:r>
          </w:p>
        </w:tc>
        <w:tc>
          <w:tcPr>
            <w:tcW w:w="1701" w:type="dxa"/>
            <w:tcBorders>
              <w:top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DLOG(UN5M(-2))</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-0.462090</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0.328870</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-1.405083</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0.1936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DLOG(UN5M(-3))</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-0.660964</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0.179607</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-3.680051</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0.0051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D(SMK)</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-0.000742</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0.000118</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-6.302996</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D(SMK(-1))</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-0.002106</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0.000175</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-12.01260</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D(SMK(-2))</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-0.003143</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0.000252</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-12.45588</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D(TSTV)</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-0.000176</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0.000687</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-0.256098</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0.8036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D(TSTV(-1))</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0.010553</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0.001005</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10.50162</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D(TSTV(-2))</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0.002310</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0.000488</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4.731136</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D(ASI)</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6.86E-07</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9.30E-08</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7.375924</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D(ASI(-1))</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-8.24E-08</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8.28E-08</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-0.995057</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0.3457</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D(ASI(-2))</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1.25E-06</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9.50E-08</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13.20058</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D(TOPEN)</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9.31E-05</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2.79E-05</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3.335840</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0.0087</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D(TOPEN(-1))</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0.000135</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2.66E-05</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5.078261</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0.0007</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D(TOPEN(-2))</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5.11E-05</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2.51E-05</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2.035640</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0.0723</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D(GFCF)</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0.000106</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6.73E-05</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1.571000</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0.1506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D(GFCF(-1))</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-0.000294</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8.17E-05</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-3.598124</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0.0058</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bottom w:val="single" w:color="auto" w:sz="4" w:space="0"/>
            </w:tcBorders>
            <w:vAlign w:val="center"/>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ECT(-1)</w:t>
            </w:r>
          </w:p>
        </w:tc>
        <w:tc>
          <w:tcPr>
            <w:tcW w:w="1717" w:type="dxa"/>
            <w:tcBorders>
              <w:bottom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-0.024200</w:t>
            </w:r>
          </w:p>
        </w:tc>
        <w:tc>
          <w:tcPr>
            <w:tcW w:w="1701" w:type="dxa"/>
            <w:gridSpan w:val="3"/>
            <w:tcBorders>
              <w:bottom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0.001321</w:t>
            </w:r>
          </w:p>
        </w:tc>
        <w:tc>
          <w:tcPr>
            <w:tcW w:w="1701" w:type="dxa"/>
            <w:gridSpan w:val="2"/>
            <w:tcBorders>
              <w:bottom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-18.32039</w:t>
            </w:r>
          </w:p>
        </w:tc>
        <w:tc>
          <w:tcPr>
            <w:tcW w:w="1701" w:type="dxa"/>
            <w:tcBorders>
              <w:bottom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9205" w:type="dxa"/>
            <w:gridSpan w:val="8"/>
            <w:tcBorders>
              <w:top w:val="single" w:color="auto" w:sz="4" w:space="0"/>
              <w:bottom w:val="single" w:color="auto" w:sz="4" w:space="0"/>
            </w:tcBorders>
            <w:vAlign w:val="center"/>
          </w:tcPr>
          <w:p>
            <w:pPr>
              <w:autoSpaceDE w:val="0"/>
              <w:autoSpaceDN w:val="0"/>
              <w:adjustRightInd w:val="0"/>
              <w:spacing w:after="0" w:line="276" w:lineRule="auto"/>
              <w:ind w:right="11"/>
              <w:jc w:val="center"/>
              <w:rPr>
                <w:rFonts w:ascii="Times New Roman" w:hAnsi="Times New Roman" w:cs="Times New Roman"/>
                <w:b/>
                <w:i/>
                <w:sz w:val="24"/>
                <w:szCs w:val="24"/>
              </w:rPr>
            </w:pPr>
            <w:r>
              <w:rPr>
                <w:rFonts w:ascii="Times New Roman" w:hAnsi="Times New Roman" w:cs="Times New Roman"/>
                <w:b/>
                <w:i/>
                <w:sz w:val="24"/>
                <w:szCs w:val="24"/>
              </w:rPr>
              <w:t>Long-Run Estimates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top w:val="single" w:color="auto" w:sz="4" w:space="0"/>
            </w:tcBorders>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SMK</w:t>
            </w:r>
          </w:p>
        </w:tc>
        <w:tc>
          <w:tcPr>
            <w:tcW w:w="1717" w:type="dxa"/>
            <w:tcBorders>
              <w:top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-0.077409</w:t>
            </w:r>
          </w:p>
        </w:tc>
        <w:tc>
          <w:tcPr>
            <w:tcW w:w="1701" w:type="dxa"/>
            <w:gridSpan w:val="3"/>
            <w:tcBorders>
              <w:top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0.029221</w:t>
            </w:r>
          </w:p>
        </w:tc>
        <w:tc>
          <w:tcPr>
            <w:tcW w:w="1701" w:type="dxa"/>
            <w:gridSpan w:val="2"/>
            <w:tcBorders>
              <w:top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-2.649132</w:t>
            </w:r>
          </w:p>
        </w:tc>
        <w:tc>
          <w:tcPr>
            <w:tcW w:w="1701" w:type="dxa"/>
            <w:tcBorders>
              <w:top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0.0265</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TSTV</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0.400891</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0.140068</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2.862121</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0.0187</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ASI</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-1.37E-05</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1.17E-05</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-1.175047</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0.2701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INF</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-0.001107</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0.001553</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-0.712983</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0.4939</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TOPEN</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0.001172</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0.005071</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0.231085</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0.8224</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GFCF</w:t>
            </w:r>
          </w:p>
        </w:tc>
        <w:tc>
          <w:tcPr>
            <w:tcW w:w="1717"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-0.026910</w:t>
            </w:r>
          </w:p>
        </w:tc>
        <w:tc>
          <w:tcPr>
            <w:tcW w:w="1701" w:type="dxa"/>
            <w:gridSpan w:val="3"/>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0.014048</w:t>
            </w:r>
          </w:p>
        </w:tc>
        <w:tc>
          <w:tcPr>
            <w:tcW w:w="1701"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-1.915616</w:t>
            </w:r>
          </w:p>
        </w:tc>
        <w:tc>
          <w:tcPr>
            <w:tcW w:w="1701" w:type="dxa"/>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0.0877</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tcBorders>
              <w:bottom w:val="single" w:color="auto" w:sz="4" w:space="0"/>
            </w:tcBorders>
            <w:vAlign w:val="bottom"/>
          </w:tcPr>
          <w:p>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C</w:t>
            </w:r>
          </w:p>
        </w:tc>
        <w:tc>
          <w:tcPr>
            <w:tcW w:w="1717" w:type="dxa"/>
            <w:tcBorders>
              <w:bottom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6.873027</w:t>
            </w:r>
          </w:p>
        </w:tc>
        <w:tc>
          <w:tcPr>
            <w:tcW w:w="1701" w:type="dxa"/>
            <w:gridSpan w:val="3"/>
            <w:tcBorders>
              <w:bottom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0.831258</w:t>
            </w:r>
          </w:p>
        </w:tc>
        <w:tc>
          <w:tcPr>
            <w:tcW w:w="1701" w:type="dxa"/>
            <w:gridSpan w:val="2"/>
            <w:tcBorders>
              <w:bottom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8.268221</w:t>
            </w:r>
          </w:p>
        </w:tc>
        <w:tc>
          <w:tcPr>
            <w:tcW w:w="1701" w:type="dxa"/>
            <w:tcBorders>
              <w:bottom w:val="single" w:color="auto" w:sz="4" w:space="0"/>
            </w:tcBorders>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143" w:hRule="atLeast"/>
        </w:trPr>
        <w:tc>
          <w:tcPr>
            <w:tcW w:w="9205" w:type="dxa"/>
            <w:gridSpan w:val="8"/>
            <w:tcBorders>
              <w:top w:val="single" w:color="auto" w:sz="4" w:space="0"/>
            </w:tcBorders>
            <w:vAlign w:val="bottom"/>
          </w:tcPr>
          <w:p>
            <w:pPr>
              <w:autoSpaceDE w:val="0"/>
              <w:autoSpaceDN w:val="0"/>
              <w:adjustRightInd w:val="0"/>
              <w:spacing w:after="0" w:line="276" w:lineRule="auto"/>
              <w:ind w:right="10"/>
              <w:jc w:val="right"/>
              <w:rPr>
                <w:rFonts w:ascii="Times New Roman" w:hAnsi="Times New Roman" w:cs="Times New Roman"/>
                <w:sz w:val="12"/>
                <w:szCs w:val="12"/>
              </w:rPr>
            </w:pP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rPr>
                <w:rFonts w:ascii="Times New Roman" w:hAnsi="Times New Roman" w:cs="Times New Roman"/>
                <w:b/>
                <w:sz w:val="24"/>
                <w:szCs w:val="24"/>
              </w:rPr>
            </w:pPr>
            <w:r>
              <w:rPr>
                <w:rFonts w:ascii="Times New Roman" w:hAnsi="Times New Roman" w:cs="Times New Roman"/>
                <w:b/>
                <w:sz w:val="24"/>
                <w:szCs w:val="24"/>
              </w:rPr>
              <w:t>R-squared</w:t>
            </w:r>
          </w:p>
        </w:tc>
        <w:tc>
          <w:tcPr>
            <w:tcW w:w="1897"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0.8956</w:t>
            </w:r>
          </w:p>
        </w:tc>
        <w:tc>
          <w:tcPr>
            <w:tcW w:w="2331" w:type="dxa"/>
            <w:gridSpan w:val="3"/>
            <w:vAlign w:val="bottom"/>
          </w:tcPr>
          <w:p>
            <w:pPr>
              <w:autoSpaceDE w:val="0"/>
              <w:autoSpaceDN w:val="0"/>
              <w:adjustRightInd w:val="0"/>
              <w:spacing w:after="0" w:line="276" w:lineRule="auto"/>
              <w:ind w:right="10"/>
              <w:rPr>
                <w:rFonts w:ascii="Times New Roman" w:hAnsi="Times New Roman" w:cs="Times New Roman"/>
                <w:b/>
                <w:sz w:val="24"/>
                <w:szCs w:val="24"/>
              </w:rPr>
            </w:pPr>
            <w:r>
              <w:rPr>
                <w:rFonts w:ascii="Times New Roman" w:hAnsi="Times New Roman" w:cs="Times New Roman"/>
                <w:b/>
                <w:sz w:val="24"/>
                <w:szCs w:val="24"/>
              </w:rPr>
              <w:t>F-stat</w:t>
            </w:r>
          </w:p>
        </w:tc>
        <w:tc>
          <w:tcPr>
            <w:tcW w:w="2592"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35.422 (0.0000)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2385" w:type="dxa"/>
            <w:vAlign w:val="bottom"/>
          </w:tcPr>
          <w:p>
            <w:pPr>
              <w:autoSpaceDE w:val="0"/>
              <w:autoSpaceDN w:val="0"/>
              <w:adjustRightInd w:val="0"/>
              <w:spacing w:after="0" w:line="276" w:lineRule="auto"/>
              <w:rPr>
                <w:rFonts w:ascii="Times New Roman" w:hAnsi="Times New Roman" w:cs="Times New Roman"/>
                <w:b/>
                <w:sz w:val="24"/>
                <w:szCs w:val="24"/>
              </w:rPr>
            </w:pPr>
            <w:r>
              <w:rPr>
                <w:rFonts w:ascii="Times New Roman" w:hAnsi="Times New Roman" w:cs="Times New Roman"/>
                <w:b/>
                <w:sz w:val="24"/>
                <w:szCs w:val="24"/>
              </w:rPr>
              <w:t>Adj. R-squared</w:t>
            </w:r>
          </w:p>
        </w:tc>
        <w:tc>
          <w:tcPr>
            <w:tcW w:w="1897"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0.7806</w:t>
            </w:r>
          </w:p>
        </w:tc>
        <w:tc>
          <w:tcPr>
            <w:tcW w:w="2331" w:type="dxa"/>
            <w:gridSpan w:val="3"/>
            <w:vAlign w:val="bottom"/>
          </w:tcPr>
          <w:p>
            <w:pPr>
              <w:autoSpaceDE w:val="0"/>
              <w:autoSpaceDN w:val="0"/>
              <w:adjustRightInd w:val="0"/>
              <w:spacing w:after="0" w:line="276" w:lineRule="auto"/>
              <w:ind w:right="10"/>
              <w:rPr>
                <w:rFonts w:ascii="Times New Roman" w:hAnsi="Times New Roman" w:cs="Times New Roman"/>
                <w:b/>
                <w:sz w:val="24"/>
                <w:szCs w:val="24"/>
              </w:rPr>
            </w:pPr>
            <w:r>
              <w:rPr>
                <w:rFonts w:ascii="Times New Roman" w:hAnsi="Times New Roman" w:cs="Times New Roman"/>
                <w:b/>
                <w:sz w:val="24"/>
                <w:szCs w:val="24"/>
              </w:rPr>
              <w:t>D-Watson</w:t>
            </w:r>
          </w:p>
        </w:tc>
        <w:tc>
          <w:tcPr>
            <w:tcW w:w="2592" w:type="dxa"/>
            <w:gridSpan w:val="2"/>
            <w:vAlign w:val="bottom"/>
          </w:tcPr>
          <w:p>
            <w:pPr>
              <w:autoSpaceDE w:val="0"/>
              <w:autoSpaceDN w:val="0"/>
              <w:adjustRightInd w:val="0"/>
              <w:spacing w:after="0" w:line="276" w:lineRule="auto"/>
              <w:ind w:right="10"/>
              <w:jc w:val="center"/>
              <w:rPr>
                <w:rFonts w:ascii="Times New Roman" w:hAnsi="Times New Roman" w:cs="Times New Roman"/>
                <w:sz w:val="24"/>
                <w:szCs w:val="24"/>
              </w:rPr>
            </w:pPr>
            <w:r>
              <w:rPr>
                <w:rFonts w:ascii="Times New Roman" w:hAnsi="Times New Roman" w:cs="Times New Roman"/>
                <w:sz w:val="24"/>
                <w:szCs w:val="24"/>
              </w:rPr>
              <w:t>2.0221</w:t>
            </w:r>
          </w:p>
        </w:tc>
      </w:tr>
    </w:tbl>
    <w:p>
      <w:pPr>
        <w:spacing w:after="120" w:line="480" w:lineRule="auto"/>
        <w:jc w:val="both"/>
        <w:rPr>
          <w:rFonts w:ascii="Times New Roman" w:hAnsi="Times New Roman"/>
          <w:sz w:val="24"/>
          <w:szCs w:val="24"/>
        </w:rPr>
      </w:pPr>
      <w:r>
        <w:rPr>
          <w:rFonts w:ascii="Times New Roman" w:hAnsi="Times New Roman"/>
          <w:b/>
          <w:sz w:val="24"/>
          <w:szCs w:val="24"/>
        </w:rPr>
        <w:t>Source:</w:t>
      </w:r>
      <w:r>
        <w:rPr>
          <w:rFonts w:ascii="Times New Roman" w:hAnsi="Times New Roman"/>
          <w:sz w:val="24"/>
          <w:szCs w:val="24"/>
        </w:rPr>
        <w:t xml:space="preserve"> Author’s computation (2023).</w:t>
      </w:r>
    </w:p>
    <w:bookmarkEnd w:id="9"/>
    <w:p>
      <w:pPr>
        <w:rPr>
          <w:rFonts w:ascii="Times New Roman" w:hAnsi="Times New Roman"/>
          <w:sz w:val="24"/>
          <w:szCs w:val="24"/>
        </w:rPr>
      </w:pPr>
      <w:r>
        <w:rPr>
          <w:rFonts w:ascii="Times New Roman" w:hAnsi="Times New Roman"/>
          <w:sz w:val="24"/>
          <w:szCs w:val="24"/>
        </w:rPr>
        <w:br w:type="page"/>
      </w:r>
    </w:p>
    <w:p>
      <w:pPr>
        <w:spacing w:after="120" w:line="480" w:lineRule="auto"/>
        <w:jc w:val="both"/>
        <w:rPr>
          <w:rFonts w:ascii="Times New Roman" w:hAnsi="Times New Roman"/>
          <w:sz w:val="24"/>
          <w:szCs w:val="24"/>
        </w:rPr>
      </w:pPr>
      <w:r>
        <w:rPr>
          <w:rFonts w:ascii="Times New Roman" w:hAnsi="Times New Roman"/>
          <w:sz w:val="24"/>
          <w:szCs w:val="24"/>
        </w:rPr>
        <w:t>At the conventional level, the short-run coefficient of the change in child mortality at lag one is positive and significant statistically which its lags two and three are negative. More so, the current, lags one and twoof stock market capitalizationwas determined to be negative and statistically significant at 5%. It implies that stock market capitalizationhad a short-term negative influence on child mortality. Also, total stocks traded value negatively influenced under-5 mortality in the short run, but it lags one and two impacts on child mortality was positive and significant at 5% level. The current and lag two of all share index negatively influence child mortality in the short run. The current, first and second lags of trade openness had a direct and significant impact on under-5 mortality. With the exception of the current levelwhich is negative, the parameter of gross fixed capital formation at first lag is positive and significantly related to child mortality.</w:t>
      </w:r>
    </w:p>
    <w:p>
      <w:pPr>
        <w:spacing w:after="120" w:line="480" w:lineRule="auto"/>
        <w:jc w:val="both"/>
        <w:rPr>
          <w:rFonts w:ascii="Times New Roman" w:hAnsi="Times New Roman"/>
          <w:sz w:val="24"/>
          <w:szCs w:val="24"/>
        </w:rPr>
      </w:pPr>
      <w:r>
        <w:rPr>
          <w:rFonts w:ascii="Times New Roman" w:hAnsi="Times New Roman"/>
          <w:sz w:val="24"/>
          <w:szCs w:val="24"/>
        </w:rPr>
        <w:t>In accordance with the long-term estimated reported in Table 4.17, stock market capitalization has a negative and significant impact on under-5 mortality rate in the long run.However, total stock transaction value has a direct and significant effect on child mortality. It means that stock market capitalization played a deteriorating effect on child mortality while total stock transaction value amplifies the rate of under-5 deaths. The study discovered that all share index do not have a significant impact on child mortality rate.In addition, for the research years, gross fixed capital formation and inflation rate have an indirect effect on child mortality in Nigeria. The only cofounding factor that significantly impacted child mortality was gross fixed capital formation at 10% level. The positive impact of trade openness on child mortality is not significant statistically at 5% level.</w:t>
      </w:r>
    </w:p>
    <w:p>
      <w:pPr>
        <w:spacing w:after="120" w:line="480" w:lineRule="auto"/>
        <w:jc w:val="both"/>
        <w:rPr>
          <w:rFonts w:ascii="Times New Roman" w:hAnsi="Times New Roman"/>
          <w:sz w:val="24"/>
          <w:szCs w:val="24"/>
        </w:rPr>
      </w:pPr>
      <w:r>
        <w:rPr>
          <w:rFonts w:ascii="Times New Roman" w:hAnsi="Times New Roman"/>
          <w:sz w:val="24"/>
          <w:szCs w:val="24"/>
        </w:rPr>
        <w:t>The adjusted R</w:t>
      </w:r>
      <w:r>
        <w:rPr>
          <w:rFonts w:ascii="Times New Roman" w:hAnsi="Times New Roman"/>
          <w:sz w:val="24"/>
          <w:szCs w:val="24"/>
          <w:vertAlign w:val="superscript"/>
        </w:rPr>
        <w:t>2</w:t>
      </w:r>
      <w:r>
        <w:rPr>
          <w:rFonts w:ascii="Times New Roman" w:hAnsi="Times New Roman"/>
          <w:sz w:val="24"/>
          <w:szCs w:val="24"/>
        </w:rPr>
        <w:t>(coefficient of determination) is high (78.06%), meaning that the variables in the model accounted for around 78.06% of all variations in child mortality. It only said that variations in stock market development and other influencing factors accounted for 78.06% of the range in changes in child mortality. The model is properly described and statistically significant as shown by the overall test using the F-statistic (35.422), which is statistically significant at the 5% level of significance. Serial autocorrelation is not present in the model, as evidenced by the Durbin-Watson value of 2.0221.</w:t>
      </w:r>
    </w:p>
    <w:p>
      <w:pPr>
        <w:spacing w:after="120" w:line="480" w:lineRule="auto"/>
        <w:jc w:val="both"/>
        <w:rPr>
          <w:rFonts w:ascii="Times New Roman" w:hAnsi="Times New Roman" w:cs="Times New Roman"/>
          <w:b/>
          <w:sz w:val="24"/>
          <w:szCs w:val="24"/>
        </w:rPr>
      </w:pPr>
      <w:r>
        <w:rPr>
          <w:rFonts w:ascii="Times New Roman" w:hAnsi="Times New Roman" w:cs="Times New Roman"/>
          <w:b/>
          <w:sz w:val="24"/>
          <w:szCs w:val="24"/>
        </w:rPr>
        <w:t>Diagnostic Test</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Heteroscedasticity, serial correlation, functional form misspecification, parameter stability, and normality tests are all examined in the calculated ARDL model. Table 4.18 displays the outcomes of these examinations. The serial correlation, normality, and heteroskedasticity tests were all passed by the estimated ARDL model. It indicates that the error terms are not serially associated and have the same variances as their normal distribution. Additionally, the ARDL model passed the Ramsey RESET test, showing that the model is evenly specified. Additionally, the cumulative sum (CUSUM) and cumulative sum of squares (CUSUMSQ), respectively, as shown in Figures 4.10a and 4.10b are steady.</w:t>
      </w:r>
    </w:p>
    <w:p>
      <w:pPr>
        <w:rPr>
          <w:rFonts w:ascii="Times New Roman" w:hAnsi="Times New Roman" w:cs="Times New Roman"/>
          <w:sz w:val="24"/>
          <w:szCs w:val="24"/>
        </w:rPr>
      </w:pPr>
      <w:r>
        <w:rPr>
          <w:rFonts w:ascii="Times New Roman" w:hAnsi="Times New Roman" w:cs="Times New Roman"/>
          <w:sz w:val="24"/>
          <w:szCs w:val="24"/>
        </w:rPr>
        <w:br w:type="page"/>
      </w:r>
    </w:p>
    <w:p>
      <w:pPr>
        <w:spacing w:after="0" w:line="240" w:lineRule="auto"/>
        <w:rPr>
          <w:rFonts w:ascii="Times New Roman" w:hAnsi="Times New Roman" w:cs="Times New Roman"/>
          <w:sz w:val="24"/>
          <w:szCs w:val="24"/>
        </w:rPr>
      </w:pPr>
      <w:r>
        <w:rPr>
          <w:rFonts w:ascii="Times New Roman" w:hAnsi="Times New Roman" w:cs="Times New Roman"/>
          <w:b/>
          <w:sz w:val="24"/>
          <w:szCs w:val="24"/>
        </w:rPr>
        <w:t>Table 4.18:</w:t>
      </w:r>
      <w:r>
        <w:rPr>
          <w:rFonts w:ascii="Times New Roman" w:hAnsi="Times New Roman" w:cs="Times New Roman"/>
          <w:sz w:val="24"/>
          <w:szCs w:val="24"/>
        </w:rPr>
        <w:t xml:space="preserve"> Diagnostic Tests of Selected ARDL Model</w:t>
      </w:r>
    </w:p>
    <w:tbl>
      <w:tblPr>
        <w:tblStyle w:val="6"/>
        <w:tblW w:w="0" w:type="auto"/>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077"/>
        <w:gridCol w:w="4820"/>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8897" w:type="dxa"/>
            <w:gridSpan w:val="2"/>
            <w:tcBorders>
              <w:top w:val="single" w:color="auto" w:sz="4" w:space="0"/>
              <w:bottom w:val="single" w:color="auto" w:sz="4" w:space="0"/>
            </w:tcBorders>
            <w:shd w:val="clear" w:color="auto" w:fill="auto"/>
          </w:tcPr>
          <w:p>
            <w:pPr>
              <w:spacing w:before="40" w:after="40" w:line="360" w:lineRule="auto"/>
              <w:ind w:left="11" w:hanging="11"/>
              <w:jc w:val="center"/>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Results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077" w:type="dxa"/>
            <w:tcBorders>
              <w:top w:val="single" w:color="auto" w:sz="4" w:space="0"/>
            </w:tcBorders>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Serial Correlation:</w:t>
            </w:r>
            <w:r>
              <w:rPr>
                <w:rFonts w:ascii="Times New Roman" w:hAnsi="Times New Roman" w:eastAsia="SimSun" w:cs="Times New Roman"/>
                <w:sz w:val="24"/>
                <w:szCs w:val="24"/>
                <w:lang w:eastAsia="en-GB"/>
              </w:rPr>
              <w:t>1.1284 [0.4365]</w:t>
            </w:r>
          </w:p>
        </w:tc>
        <w:tc>
          <w:tcPr>
            <w:tcW w:w="4820" w:type="dxa"/>
            <w:tcBorders>
              <w:top w:val="single" w:color="auto" w:sz="4" w:space="0"/>
            </w:tcBorders>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Normality Test:</w:t>
            </w:r>
            <w:r>
              <w:rPr>
                <w:rFonts w:ascii="Times New Roman" w:hAnsi="Times New Roman" w:eastAsia="SimSun" w:cs="Times New Roman"/>
                <w:sz w:val="24"/>
                <w:szCs w:val="24"/>
                <w:lang w:eastAsia="en-GB"/>
              </w:rPr>
              <w:t>0.7571 [0.6849]</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077" w:type="dxa"/>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Functional Form:</w:t>
            </w:r>
            <w:r>
              <w:rPr>
                <w:rFonts w:ascii="Times New Roman" w:hAnsi="Times New Roman" w:eastAsia="SimSun" w:cs="Times New Roman"/>
                <w:sz w:val="24"/>
                <w:szCs w:val="24"/>
                <w:lang w:eastAsia="en-GB"/>
              </w:rPr>
              <w:t xml:space="preserve"> 1.1765 [0.2732]</w:t>
            </w:r>
          </w:p>
        </w:tc>
        <w:tc>
          <w:tcPr>
            <w:tcW w:w="4820" w:type="dxa"/>
            <w:shd w:val="clear" w:color="auto" w:fill="auto"/>
          </w:tcPr>
          <w:p>
            <w:pPr>
              <w:spacing w:before="40" w:after="40" w:line="360" w:lineRule="auto"/>
              <w:ind w:left="11" w:hanging="11"/>
              <w:rPr>
                <w:rFonts w:ascii="Times New Roman" w:hAnsi="Times New Roman" w:eastAsia="SimSun" w:cs="Times New Roman"/>
                <w:sz w:val="24"/>
                <w:szCs w:val="24"/>
                <w:lang w:eastAsia="en-GB"/>
              </w:rPr>
            </w:pPr>
            <w:r>
              <w:rPr>
                <w:rFonts w:ascii="Times New Roman" w:hAnsi="Times New Roman" w:eastAsia="SimSun" w:cs="Times New Roman"/>
                <w:b/>
                <w:sz w:val="24"/>
                <w:szCs w:val="24"/>
                <w:lang w:eastAsia="en-GB"/>
              </w:rPr>
              <w:t>Heteroskedasticity Test:</w:t>
            </w:r>
            <w:r>
              <w:rPr>
                <w:rFonts w:ascii="Times New Roman" w:hAnsi="Times New Roman" w:eastAsia="SimSun" w:cs="Times New Roman"/>
                <w:sz w:val="24"/>
                <w:szCs w:val="24"/>
                <w:lang w:eastAsia="en-GB"/>
              </w:rPr>
              <w:t>0.4314 [0.9515]</w:t>
            </w:r>
          </w:p>
        </w:tc>
      </w:tr>
    </w:tbl>
    <w:p>
      <w:pPr>
        <w:spacing w:after="120" w:line="480" w:lineRule="auto"/>
        <w:jc w:val="both"/>
        <w:rPr>
          <w:rFonts w:ascii="Times New Roman" w:hAnsi="Times New Roman" w:cs="Times New Roman"/>
          <w:sz w:val="24"/>
          <w:szCs w:val="24"/>
        </w:rPr>
      </w:pPr>
      <w:r>
        <w:rPr>
          <w:rFonts w:ascii="Times New Roman" w:hAnsi="Times New Roman" w:cs="Times New Roman"/>
          <w:b/>
          <w:sz w:val="24"/>
          <w:szCs w:val="24"/>
        </w:rPr>
        <w:t>Source:</w:t>
      </w:r>
      <w:r>
        <w:rPr>
          <w:rFonts w:ascii="Times New Roman" w:hAnsi="Times New Roman" w:cs="Times New Roman"/>
          <w:sz w:val="24"/>
          <w:szCs w:val="24"/>
        </w:rPr>
        <w:t xml:space="preserve"> Author’s computation (2023).</w:t>
      </w:r>
    </w:p>
    <w:p>
      <w:pPr>
        <w:spacing w:after="120" w:line="480" w:lineRule="auto"/>
        <w:jc w:val="both"/>
        <w:rPr>
          <w:rFonts w:ascii="Times New Roman" w:hAnsi="Times New Roman" w:cs="Times New Roman"/>
          <w:sz w:val="24"/>
          <w:szCs w:val="24"/>
        </w:rPr>
      </w:pPr>
    </w:p>
    <w:tbl>
      <w:tblPr>
        <w:tblStyle w:val="22"/>
        <w:tblW w:w="10758" w:type="dxa"/>
        <w:tblInd w:w="-60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368"/>
        <w:gridCol w:w="53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5368" w:type="dxa"/>
          </w:tcPr>
          <w:p>
            <w:pPr>
              <w:spacing w:after="0" w:line="276" w:lineRule="auto"/>
              <w:ind w:left="-108" w:right="-51"/>
              <w:jc w:val="both"/>
              <w:rPr>
                <w:rFonts w:ascii="Times New Roman" w:hAnsi="Times New Roman" w:cs="Times New Roman"/>
                <w:sz w:val="24"/>
                <w:szCs w:val="24"/>
              </w:rPr>
            </w:pPr>
            <w:r>
              <w:object>
                <v:shape id="_x0000_i1051" o:spt="75" type="#_x0000_t75" style="height:255pt;width:263.25pt;" o:ole="t" filled="f" o:preferrelative="t" stroked="f" coordsize="21600,21600">
                  <v:path/>
                  <v:fill on="f" focussize="0,0"/>
                  <v:stroke on="f" joinstyle="miter"/>
                  <v:imagedata r:id="rId67" o:title=""/>
                  <o:lock v:ext="edit" aspectratio="t"/>
                  <w10:wrap type="none"/>
                  <w10:anchorlock/>
                </v:shape>
                <o:OLEObject Type="Embed" ProgID="EViews.Workfile.2" ShapeID="_x0000_i1051" DrawAspect="Content" ObjectID="_1468075751" r:id="rId66">
                  <o:LockedField>false</o:LockedField>
                </o:OLEObject>
              </w:object>
            </w:r>
          </w:p>
        </w:tc>
        <w:tc>
          <w:tcPr>
            <w:tcW w:w="5390" w:type="dxa"/>
          </w:tcPr>
          <w:p>
            <w:pPr>
              <w:spacing w:after="0" w:line="276" w:lineRule="auto"/>
              <w:ind w:left="-108" w:right="-51"/>
              <w:jc w:val="both"/>
              <w:rPr>
                <w:rFonts w:ascii="Times New Roman" w:hAnsi="Times New Roman" w:cs="Times New Roman"/>
                <w:sz w:val="24"/>
                <w:szCs w:val="24"/>
              </w:rPr>
            </w:pPr>
            <w:r>
              <w:object>
                <v:shape id="_x0000_i1052" o:spt="75" type="#_x0000_t75" style="height:255pt;width:264.75pt;" o:ole="t" filled="f" o:preferrelative="t" stroked="f" coordsize="21600,21600">
                  <v:path/>
                  <v:fill on="f" focussize="0,0"/>
                  <v:stroke on="f" joinstyle="miter"/>
                  <v:imagedata r:id="rId69" o:title=""/>
                  <o:lock v:ext="edit" aspectratio="t"/>
                  <w10:wrap type="none"/>
                  <w10:anchorlock/>
                </v:shape>
                <o:OLEObject Type="Embed" ProgID="EViews.Workfile.2" ShapeID="_x0000_i1052" DrawAspect="Content" ObjectID="_1468075752" r:id="rId68">
                  <o:LockedField>false</o:LockedField>
                </o:OLEObject>
              </w:objec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368" w:type="dxa"/>
          </w:tcPr>
          <w:p>
            <w:pPr>
              <w:spacing w:after="0" w:line="276" w:lineRule="auto"/>
              <w:ind w:left="-108" w:right="-51"/>
              <w:jc w:val="both"/>
              <w:rPr>
                <w:rFonts w:ascii="Times New Roman" w:hAnsi="Times New Roman" w:cs="Times New Roman"/>
                <w:sz w:val="24"/>
                <w:szCs w:val="24"/>
              </w:rPr>
            </w:pPr>
            <w:r>
              <w:rPr>
                <w:rFonts w:ascii="Times New Roman" w:hAnsi="Times New Roman" w:cs="Times New Roman"/>
                <w:b/>
                <w:sz w:val="24"/>
                <w:szCs w:val="24"/>
              </w:rPr>
              <w:t>Figure 4.10a:</w:t>
            </w:r>
            <w:r>
              <w:rPr>
                <w:rFonts w:ascii="Times New Roman" w:hAnsi="Times New Roman" w:cs="Times New Roman"/>
                <w:sz w:val="24"/>
                <w:szCs w:val="24"/>
              </w:rPr>
              <w:t xml:space="preserve"> Cumulative Sum (CUSUM)</w:t>
            </w:r>
          </w:p>
        </w:tc>
        <w:tc>
          <w:tcPr>
            <w:tcW w:w="5390" w:type="dxa"/>
          </w:tcPr>
          <w:p>
            <w:pPr>
              <w:spacing w:after="0" w:line="276" w:lineRule="auto"/>
              <w:ind w:left="-108" w:right="-51"/>
              <w:jc w:val="both"/>
              <w:rPr>
                <w:rFonts w:ascii="Times New Roman" w:hAnsi="Times New Roman" w:cs="Times New Roman"/>
                <w:sz w:val="24"/>
                <w:szCs w:val="24"/>
              </w:rPr>
            </w:pPr>
            <w:r>
              <w:rPr>
                <w:rFonts w:ascii="Times New Roman" w:hAnsi="Times New Roman" w:cs="Times New Roman"/>
                <w:b/>
                <w:sz w:val="24"/>
                <w:szCs w:val="24"/>
              </w:rPr>
              <w:t>Figure 4.10b:</w:t>
            </w:r>
            <w:r>
              <w:rPr>
                <w:rFonts w:ascii="Times New Roman" w:hAnsi="Times New Roman" w:cs="Times New Roman"/>
                <w:sz w:val="24"/>
                <w:szCs w:val="24"/>
              </w:rPr>
              <w:t xml:space="preserve"> Cumulative Sum of Square (CUSUMQ)</w:t>
            </w:r>
          </w:p>
        </w:tc>
      </w:tr>
    </w:tbl>
    <w:p>
      <w:pPr>
        <w:rPr>
          <w:rFonts w:ascii="Times New Roman" w:hAnsi="Times New Roman" w:cs="Times New Roman"/>
          <w:sz w:val="24"/>
          <w:szCs w:val="24"/>
        </w:rPr>
      </w:pPr>
      <w:r>
        <w:rPr>
          <w:rFonts w:ascii="Times New Roman" w:hAnsi="Times New Roman" w:cs="Times New Roman"/>
          <w:sz w:val="24"/>
          <w:szCs w:val="24"/>
        </w:rPr>
        <w:br w:type="page"/>
      </w:r>
    </w:p>
    <w:p>
      <w:pPr>
        <w:spacing w:after="120" w:line="480" w:lineRule="auto"/>
        <w:jc w:val="both"/>
        <w:rPr>
          <w:rFonts w:ascii="Times New Roman" w:hAnsi="Times New Roman" w:cs="Times New Roman"/>
          <w:b/>
          <w:sz w:val="24"/>
          <w:szCs w:val="24"/>
        </w:rPr>
      </w:pPr>
      <w:r>
        <w:rPr>
          <w:rFonts w:ascii="Times New Roman" w:hAnsi="Times New Roman" w:cs="Times New Roman"/>
          <w:b/>
          <w:sz w:val="24"/>
          <w:szCs w:val="24"/>
        </w:rPr>
        <w:t>4.5</w:t>
      </w:r>
      <w:r>
        <w:rPr>
          <w:rFonts w:ascii="Times New Roman" w:hAnsi="Times New Roman" w:cs="Times New Roman"/>
          <w:b/>
          <w:sz w:val="24"/>
          <w:szCs w:val="24"/>
        </w:rPr>
        <w:tab/>
      </w:r>
      <w:r>
        <w:rPr>
          <w:rFonts w:ascii="Times New Roman" w:hAnsi="Times New Roman" w:cs="Times New Roman"/>
          <w:b/>
          <w:sz w:val="24"/>
          <w:szCs w:val="24"/>
        </w:rPr>
        <w:t>Discussion of Findings</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Concerning the first objective, the study found that a long run relationship exists between money market development and health outcomes in Nigeria. The findings showed that monetary policy rate and 12-month deposit rate have negative impact on short-run life expectancy in Nigeria. It implies that tightening monetary policies may have adverse effects on the health outcomes of the population in the short term. Meanwhile, the study discovered that life expectancy positively reacted to monetary policy rate but negatively affected by treasury bill rate in the long run. The positive reaction of life expectancy to the monetary policy rate in the long run indicates that, over time, a well-managed monetary policy can contribute positively to overall life expectancy. However, the negative association with the treasury bill rate suggests that certain aspects of monetary policy, such as high treasury bill rates, may have detrimental effects on long-term life expectancy.</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Furthermore, the study showed that treasury bill rate and 12-month deposit rate positively relate with child mortality rate in the short run. The positive relationship between treasury bill rate and 12-month deposit rate with child mortality in the short run underscores the importance of considering health outcomes when setting interest rates. High interest rates may impact families’ abilities to access healthcare and other essential services, contributing to increased child mortality rates. The study does not find a significant link between money market development and child mortality in Nigeria.</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Regarding the second objective, the study found a long run relationship between bank sector development and health outcomes in Nigeria. It discovers that liquidity ratio positively influences life expectancy both in the short and long run. It suggests that maintaining adequate liquidity in the banking sector can contribute to improved life expectancy. This indicates that a stable and liquid banking sector may have positive spillover effects on the overall health and well-being of the population. The impact of other measures of bank sector development on life expectancy is not significant statistically.</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Concerning child mortality rate, the study found that under-5 mortality is positively and negatively influenced by bank sector development measures (liquidity ratio, loan to deposit ratio and domestic credit to private sector by banks to GDP) in the short and long run respectively. All the three measures are significant in the short run but only the liquidity ratio and domestic credit are significant in the long run. The finding that under-5 mortality is positively influenced by bank sector development measures (liquidity ratio, loan to deposit ratio) in the short run but negatively influenced in the long run suggests a nuanced relationship. Short-term impacts may indicate immediate challenges, while long-term effects may reflect sustainable improvements. The significance of liquidity ratio, loan to deposit ratio, and domestic credit to private sector by banks to GDP in the short run implies that these factors play a crucial role in influencing child mortality rates in the short term. In the long run, the significance of liquidity ratio and domestic credit suggests that sustained efforts in managing liquidity and facilitating credit to the private sector can contribute to reducing child mortality.</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As to the third objective, it revealed that there is a long run relationship between stock market development and health outcomes in Nigeria. Total stocks transaction value influences life expectancy positively in the short run but negatively in the long run. The positive influence of total stocks transaction value on life expectancy in the short run suggests that increased stock market activity may have immediate positive effects on population health. However, the negative influence in the long run indicates a potential downside, highlighting the importance of considering sustained impacts. Also, all share index directly influence life expectancy both in the short and long run. The direct positive influence of the all-share index on life expectancy in both the short and long run suggests that a robust and growing stock market may contribute positively to overall life expectancy. This implies that a thriving stock market could be associated with broader economic well-being and improved public health.</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Stock market capitalization negatively influences child mortality both in the short and long run. It implies that a larger stock market capitalization is associated with lower child mortality rates. This suggests that a well-developed and substantial stock market may contribute to overall economic stability and improved child health outcomes. However, total stock transaction value positively relates to under-5 mortality in the short and long run. The positive relationship between total stocks transaction value and under-5 mortality in both the short and long run is counterintuitive. This suggests that increased stock market activity may have adverse effects on child mortality, possibly due to economic volatility or other indirect factors. All share index has a direct influence on child mortality rate in the short run. The direct influence of the all-share index on child mortality in the short run suggests that immediate changes in stock market performance may have specific effects on child mortality rates. This aligns with the findings of previous studies that financial development has positive relationship between life expectancy</w:t>
      </w:r>
      <w:r>
        <w:rPr>
          <w:rFonts w:ascii="Times New Roman" w:hAnsi="Times New Roman" w:cs="Times New Roman"/>
          <w:sz w:val="24"/>
          <w:szCs w:val="24"/>
          <w:vertAlign w:val="superscript"/>
        </w:rPr>
        <w:t>1</w:t>
      </w:r>
      <w:r>
        <w:rPr>
          <w:rFonts w:ascii="Times New Roman" w:hAnsi="Times New Roman" w:cs="Times New Roman"/>
          <w:sz w:val="24"/>
          <w:szCs w:val="24"/>
        </w:rPr>
        <w:t>. This does not align with the study that the provision of facilities to the private sector has a statistically significant and beneficial impact on human capital</w:t>
      </w:r>
      <w:r>
        <w:rPr>
          <w:rFonts w:ascii="Times New Roman" w:hAnsi="Times New Roman" w:cs="Times New Roman"/>
          <w:sz w:val="24"/>
          <w:szCs w:val="24"/>
          <w:vertAlign w:val="superscript"/>
        </w:rPr>
        <w:t>2,3,4,5,6</w:t>
      </w:r>
      <w:r>
        <w:rPr>
          <w:rFonts w:ascii="Times New Roman" w:hAnsi="Times New Roman" w:cs="Times New Roman"/>
          <w:sz w:val="24"/>
          <w:szCs w:val="24"/>
        </w:rPr>
        <w:t>.</w:t>
      </w:r>
    </w:p>
    <w:p>
      <w:pPr>
        <w:rPr>
          <w:rFonts w:ascii="Times New Roman" w:hAnsi="Times New Roman" w:cs="Times New Roman"/>
          <w:sz w:val="24"/>
          <w:szCs w:val="24"/>
        </w:rPr>
      </w:pPr>
      <w:r>
        <w:rPr>
          <w:rFonts w:ascii="Times New Roman" w:hAnsi="Times New Roman" w:cs="Times New Roman"/>
          <w:sz w:val="24"/>
          <w:szCs w:val="24"/>
        </w:rPr>
        <w:br w:type="page"/>
      </w:r>
    </w:p>
    <w:p>
      <w:pPr>
        <w:spacing w:after="120" w:line="480" w:lineRule="auto"/>
        <w:jc w:val="center"/>
        <w:rPr>
          <w:rFonts w:ascii="Times New Roman" w:hAnsi="Times New Roman" w:cs="Times New Roman"/>
          <w:b/>
          <w:sz w:val="24"/>
          <w:szCs w:val="24"/>
        </w:rPr>
      </w:pPr>
      <w:r>
        <w:rPr>
          <w:rFonts w:ascii="Times New Roman" w:hAnsi="Times New Roman" w:cs="Times New Roman"/>
          <w:b/>
          <w:sz w:val="24"/>
          <w:szCs w:val="24"/>
        </w:rPr>
        <w:t>Endnotes</w:t>
      </w:r>
    </w:p>
    <w:p>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1. </w:t>
      </w:r>
      <w:r>
        <w:rPr>
          <w:rFonts w:ascii="Times New Roman" w:hAnsi="Times New Roman" w:eastAsia="Calibri"/>
          <w:sz w:val="24"/>
          <w:szCs w:val="24"/>
        </w:rPr>
        <w:t>G.Shi, D. Wang, &amp;M. Altuntaş.</w:t>
      </w:r>
      <w:r>
        <w:rPr>
          <w:rFonts w:ascii="Times New Roman" w:hAnsi="Times New Roman" w:eastAsia="Calibri"/>
          <w:i/>
          <w:iCs/>
          <w:sz w:val="24"/>
          <w:szCs w:val="24"/>
        </w:rPr>
        <w:t>“Financial development and health outcomes: do financial globalization matter in selected Asian economies?”</w:t>
      </w:r>
      <w:r>
        <w:rPr>
          <w:rFonts w:ascii="Times New Roman" w:hAnsi="Times New Roman" w:eastAsia="Calibri"/>
          <w:sz w:val="24"/>
          <w:szCs w:val="24"/>
        </w:rPr>
        <w:t xml:space="preserve">. </w:t>
      </w:r>
      <w:r>
        <w:rPr>
          <w:rFonts w:ascii="Times New Roman" w:hAnsi="Times New Roman" w:eastAsia="Calibri"/>
          <w:b/>
          <w:bCs/>
          <w:sz w:val="24"/>
          <w:szCs w:val="24"/>
        </w:rPr>
        <w:t>Frontiers in Public Health,</w:t>
      </w:r>
      <w:r>
        <w:rPr>
          <w:rFonts w:ascii="Times New Roman" w:hAnsi="Times New Roman" w:eastAsia="Calibri"/>
          <w:sz w:val="24"/>
          <w:szCs w:val="24"/>
        </w:rPr>
        <w:t xml:space="preserve"> 10, 2022.</w:t>
      </w:r>
    </w:p>
    <w:p>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2. </w:t>
      </w:r>
      <w:r>
        <w:rPr>
          <w:rFonts w:ascii="Times New Roman" w:hAnsi="Times New Roman" w:eastAsia="Calibri"/>
          <w:sz w:val="24"/>
          <w:szCs w:val="24"/>
          <w:shd w:val="clear" w:color="auto" w:fill="FFFFFF"/>
        </w:rPr>
        <w:t xml:space="preserve">S. Abbass, et al. </w:t>
      </w:r>
      <w:r>
        <w:rPr>
          <w:rFonts w:ascii="Times New Roman" w:hAnsi="Times New Roman" w:eastAsia="Calibri"/>
          <w:i/>
          <w:iCs/>
          <w:sz w:val="24"/>
          <w:szCs w:val="24"/>
          <w:shd w:val="clear" w:color="auto" w:fill="FFFFFF"/>
        </w:rPr>
        <w:t>"The Effect of Financial Development on Human Development in Selected Development Countries Using GMM Method."</w:t>
      </w:r>
      <w:r>
        <w:rPr>
          <w:rFonts w:ascii="Times New Roman" w:hAnsi="Times New Roman" w:eastAsia="Calibri"/>
          <w:b/>
          <w:bCs/>
          <w:sz w:val="24"/>
          <w:szCs w:val="24"/>
          <w:shd w:val="clear" w:color="auto" w:fill="FFFFFF"/>
        </w:rPr>
        <w:t>Journal of System Management (JSM),</w:t>
      </w:r>
      <w:r>
        <w:rPr>
          <w:rFonts w:ascii="Times New Roman" w:hAnsi="Times New Roman" w:eastAsia="Calibri"/>
          <w:sz w:val="24"/>
          <w:szCs w:val="24"/>
          <w:shd w:val="clear" w:color="auto" w:fill="FFFFFF"/>
        </w:rPr>
        <w:t xml:space="preserve"> 9(2), 2023.</w:t>
      </w:r>
    </w:p>
    <w:p>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3. </w:t>
      </w:r>
      <w:r>
        <w:rPr>
          <w:rFonts w:ascii="Times New Roman" w:hAnsi="Times New Roman" w:eastAsia="Calibri"/>
          <w:sz w:val="24"/>
          <w:szCs w:val="24"/>
          <w:shd w:val="clear" w:color="auto" w:fill="FFFFFF"/>
        </w:rPr>
        <w:t xml:space="preserve">E. Öncü, &amp; K. Ergun. </w:t>
      </w:r>
      <w:r>
        <w:rPr>
          <w:rFonts w:ascii="Times New Roman" w:hAnsi="Times New Roman" w:eastAsia="Calibri"/>
          <w:i/>
          <w:iCs/>
          <w:sz w:val="24"/>
          <w:szCs w:val="24"/>
          <w:shd w:val="clear" w:color="auto" w:fill="FFFFFF"/>
        </w:rPr>
        <w:t>"Researching the Relationship Between Health and Financial Development: Case of Low-Income African Countries."</w:t>
      </w:r>
      <w:r>
        <w:rPr>
          <w:rFonts w:ascii="Times New Roman" w:hAnsi="Times New Roman" w:eastAsia="Calibri"/>
          <w:b/>
          <w:bCs/>
          <w:i/>
          <w:iCs/>
          <w:sz w:val="24"/>
          <w:szCs w:val="24"/>
          <w:shd w:val="clear" w:color="auto" w:fill="FFFFFF"/>
        </w:rPr>
        <w:t>Journal of Economics and Business Issues,</w:t>
      </w:r>
      <w:r>
        <w:rPr>
          <w:rFonts w:ascii="Times New Roman" w:hAnsi="Times New Roman" w:eastAsia="Calibri"/>
          <w:sz w:val="24"/>
          <w:szCs w:val="24"/>
          <w:shd w:val="clear" w:color="auto" w:fill="FFFFFF"/>
        </w:rPr>
        <w:t xml:space="preserve"> 3(1), 2023, 51-57.</w:t>
      </w:r>
    </w:p>
    <w:p>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4. </w:t>
      </w:r>
      <w:r>
        <w:rPr>
          <w:rFonts w:ascii="Times New Roman" w:hAnsi="Times New Roman" w:eastAsia="Calibri"/>
          <w:sz w:val="24"/>
          <w:szCs w:val="24"/>
          <w:shd w:val="clear" w:color="auto" w:fill="FFFFFF"/>
        </w:rPr>
        <w:t>W. Arafat, et al.</w:t>
      </w:r>
      <w:r>
        <w:rPr>
          <w:rFonts w:ascii="Times New Roman" w:hAnsi="Times New Roman" w:eastAsia="Calibri"/>
          <w:i/>
          <w:iCs/>
          <w:sz w:val="24"/>
          <w:szCs w:val="24"/>
          <w:shd w:val="clear" w:color="auto" w:fill="FFFFFF"/>
        </w:rPr>
        <w:t>“The causal nexus among energy consumption, environmental degradation, financial development and health outcome: empirical study for Pakistan.”</w:t>
      </w:r>
      <w:r>
        <w:rPr>
          <w:rFonts w:ascii="Times New Roman" w:hAnsi="Times New Roman" w:eastAsia="Calibri"/>
          <w:b/>
          <w:bCs/>
          <w:sz w:val="24"/>
          <w:szCs w:val="24"/>
          <w:shd w:val="clear" w:color="auto" w:fill="FFFFFF"/>
        </w:rPr>
        <w:t>Energies</w:t>
      </w:r>
      <w:r>
        <w:rPr>
          <w:rFonts w:ascii="Times New Roman" w:hAnsi="Times New Roman" w:eastAsia="Calibri"/>
          <w:sz w:val="24"/>
          <w:szCs w:val="24"/>
          <w:shd w:val="clear" w:color="auto" w:fill="FFFFFF"/>
        </w:rPr>
        <w:t>, 15(5), 2022, 1859.</w:t>
      </w:r>
    </w:p>
    <w:p>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5. </w:t>
      </w:r>
      <w:r>
        <w:rPr>
          <w:rFonts w:ascii="Times New Roman" w:hAnsi="Times New Roman" w:eastAsia="Calibri"/>
          <w:sz w:val="24"/>
          <w:szCs w:val="24"/>
          <w:shd w:val="clear" w:color="auto" w:fill="FFFFFF"/>
        </w:rPr>
        <w:t>S. Alam, et al.</w:t>
      </w:r>
      <w:r>
        <w:rPr>
          <w:rFonts w:ascii="Times New Roman" w:hAnsi="Times New Roman" w:eastAsia="Calibri"/>
          <w:i/>
          <w:iCs/>
          <w:sz w:val="24"/>
          <w:szCs w:val="24"/>
          <w:shd w:val="clear" w:color="auto" w:fill="FFFFFF"/>
        </w:rPr>
        <w:t>“Rapid rise of life expectancy in Bangladesh: does financial development matter?”</w:t>
      </w:r>
      <w:r>
        <w:rPr>
          <w:rFonts w:ascii="Times New Roman" w:hAnsi="Times New Roman" w:eastAsia="Calibri"/>
          <w:b/>
          <w:bCs/>
          <w:sz w:val="24"/>
          <w:szCs w:val="24"/>
          <w:shd w:val="clear" w:color="auto" w:fill="FFFFFF"/>
        </w:rPr>
        <w:t>International Journal of Finance &amp; Economics,</w:t>
      </w:r>
      <w:r>
        <w:rPr>
          <w:rFonts w:ascii="Times New Roman" w:hAnsi="Times New Roman" w:eastAsia="Calibri"/>
          <w:sz w:val="24"/>
          <w:szCs w:val="24"/>
          <w:shd w:val="clear" w:color="auto" w:fill="FFFFFF"/>
        </w:rPr>
        <w:t xml:space="preserve"> 26(4), 2020, 4918-4931.</w:t>
      </w:r>
    </w:p>
    <w:p>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6. </w:t>
      </w:r>
      <w:r>
        <w:rPr>
          <w:rFonts w:ascii="Times New Roman" w:hAnsi="Times New Roman" w:eastAsia="Calibri"/>
          <w:sz w:val="24"/>
          <w:szCs w:val="24"/>
          <w:shd w:val="clear" w:color="auto" w:fill="FFFFFF"/>
        </w:rPr>
        <w:t xml:space="preserve">T. S Akintunde, &amp;O. D. Olaniran. </w:t>
      </w:r>
      <w:r>
        <w:rPr>
          <w:rFonts w:ascii="Times New Roman" w:hAnsi="Times New Roman" w:eastAsia="Calibri"/>
          <w:i/>
          <w:iCs/>
          <w:sz w:val="24"/>
          <w:szCs w:val="24"/>
          <w:shd w:val="clear" w:color="auto" w:fill="FFFFFF"/>
        </w:rPr>
        <w:t>"Financial development, public health expenditure and health outcomes: Evidence from Nigeria.</w:t>
      </w:r>
      <w:r>
        <w:rPr>
          <w:rFonts w:ascii="Times New Roman" w:hAnsi="Times New Roman" w:eastAsia="Calibri"/>
          <w:sz w:val="24"/>
          <w:szCs w:val="24"/>
          <w:shd w:val="clear" w:color="auto" w:fill="FFFFFF"/>
        </w:rPr>
        <w:t>"</w:t>
      </w:r>
      <w:r>
        <w:rPr>
          <w:rFonts w:ascii="Times New Roman" w:hAnsi="Times New Roman" w:eastAsia="Calibri"/>
          <w:b/>
          <w:bCs/>
          <w:sz w:val="24"/>
          <w:szCs w:val="24"/>
          <w:shd w:val="clear" w:color="auto" w:fill="FFFFFF"/>
        </w:rPr>
        <w:t>Journal of Economics and Allied Research,</w:t>
      </w:r>
      <w:r>
        <w:rPr>
          <w:rFonts w:ascii="Times New Roman" w:hAnsi="Times New Roman" w:eastAsia="Calibri"/>
          <w:sz w:val="24"/>
          <w:szCs w:val="24"/>
          <w:shd w:val="clear" w:color="auto" w:fill="FFFFFF"/>
        </w:rPr>
        <w:t xml:space="preserve"> 7(1), 2022, 13-24.</w:t>
      </w:r>
    </w:p>
    <w:p>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br w:type="page"/>
      </w:r>
    </w:p>
    <w:p>
      <w:pPr>
        <w:spacing w:after="120" w:line="480" w:lineRule="auto"/>
        <w:jc w:val="center"/>
        <w:rPr>
          <w:rFonts w:ascii="Times New Roman" w:hAnsi="Times New Roman" w:cs="Times New Roman"/>
          <w:b/>
          <w:bCs/>
          <w:sz w:val="24"/>
          <w:szCs w:val="24"/>
        </w:rPr>
      </w:pPr>
      <w:r>
        <w:rPr>
          <w:rFonts w:ascii="Times New Roman" w:hAnsi="Times New Roman" w:cs="Times New Roman"/>
          <w:b/>
          <w:bCs/>
          <w:sz w:val="24"/>
          <w:szCs w:val="24"/>
        </w:rPr>
        <w:t>Chapter Five</w:t>
      </w:r>
    </w:p>
    <w:p>
      <w:pPr>
        <w:spacing w:after="120" w:line="480" w:lineRule="auto"/>
        <w:jc w:val="center"/>
        <w:rPr>
          <w:rFonts w:ascii="Times New Roman" w:hAnsi="Times New Roman" w:cs="Times New Roman"/>
          <w:b/>
          <w:bCs/>
          <w:sz w:val="24"/>
          <w:szCs w:val="24"/>
        </w:rPr>
      </w:pPr>
      <w:r>
        <w:rPr>
          <w:rFonts w:ascii="Times New Roman" w:hAnsi="Times New Roman" w:cs="Times New Roman"/>
          <w:b/>
          <w:bCs/>
          <w:sz w:val="24"/>
          <w:szCs w:val="24"/>
        </w:rPr>
        <w:t>Conclusion</w:t>
      </w:r>
    </w:p>
    <w:p>
      <w:pPr>
        <w:spacing w:after="120" w:line="480" w:lineRule="auto"/>
        <w:jc w:val="both"/>
        <w:rPr>
          <w:rFonts w:ascii="Times New Roman" w:hAnsi="Times New Roman" w:cs="Times New Roman"/>
          <w:b/>
          <w:bCs/>
          <w:sz w:val="24"/>
          <w:szCs w:val="24"/>
        </w:rPr>
      </w:pPr>
      <w:r>
        <w:rPr>
          <w:rFonts w:ascii="Times New Roman" w:hAnsi="Times New Roman" w:cs="Times New Roman"/>
          <w:b/>
          <w:bCs/>
          <w:sz w:val="24"/>
          <w:szCs w:val="24"/>
        </w:rPr>
        <w:t>5.1</w:t>
      </w:r>
      <w:r>
        <w:rPr>
          <w:rFonts w:ascii="Times New Roman" w:hAnsi="Times New Roman" w:cs="Times New Roman"/>
          <w:b/>
          <w:bCs/>
          <w:sz w:val="24"/>
          <w:szCs w:val="24"/>
        </w:rPr>
        <w:tab/>
      </w:r>
      <w:r>
        <w:rPr>
          <w:rFonts w:ascii="Times New Roman" w:hAnsi="Times New Roman" w:cs="Times New Roman"/>
          <w:b/>
          <w:bCs/>
          <w:sz w:val="24"/>
          <w:szCs w:val="24"/>
        </w:rPr>
        <w:t>Summary</w:t>
      </w:r>
    </w:p>
    <w:p>
      <w:pPr>
        <w:spacing w:after="120" w:line="480" w:lineRule="auto"/>
        <w:jc w:val="both"/>
        <w:rPr>
          <w:rFonts w:ascii="Times New Roman" w:hAnsi="Times New Roman" w:cs="Times New Roman"/>
          <w:bCs/>
          <w:sz w:val="24"/>
          <w:szCs w:val="24"/>
        </w:rPr>
      </w:pPr>
      <w:r>
        <w:rPr>
          <w:rFonts w:ascii="Times New Roman" w:hAnsi="Times New Roman" w:cs="Times New Roman"/>
          <w:bCs/>
          <w:sz w:val="24"/>
          <w:szCs w:val="24"/>
        </w:rPr>
        <w:t>In this study, the existing relationship between financial sector development and health outcomes in Nigeria is investigated in order to understand the impact of money market development (monetary policy rate, 12-month deposit rate, and treasury bill rate), bank sector development (liquidity ratio, loan to deposit rate, and domestic credit to private sector by banks to GDP ratio), and stock market development (stock market capitalization to GDP ratio, total stocks transaction value to GDP ratio, and all share index) on health outcomes (life expectancy and under-5 mortality rates) in Nigeria. Understudying this research study became necessary because it makes enquiries on the findings of past studies which can best be described as inconclusive. The study is conducted for developing countries in sub-Saharan countries such as Nigeria. The datasets employed were obtained from the World Development Indicators (2023), and CBN Statistical Bulletin (2022) which spans from 1985 to 2022. The autoregressive distributed lag (ARDL) estimator was used to evaluate the parameters based on the characteristics of the datasets.</w:t>
      </w:r>
    </w:p>
    <w:p>
      <w:pPr>
        <w:spacing w:after="120" w:line="480" w:lineRule="auto"/>
        <w:jc w:val="both"/>
        <w:rPr>
          <w:rFonts w:ascii="Times New Roman" w:hAnsi="Times New Roman"/>
          <w:sz w:val="24"/>
          <w:szCs w:val="24"/>
        </w:rPr>
      </w:pPr>
      <w:r>
        <w:rPr>
          <w:rFonts w:ascii="Times New Roman" w:hAnsi="Times New Roman" w:cs="Times New Roman"/>
          <w:bCs/>
          <w:sz w:val="24"/>
          <w:szCs w:val="24"/>
        </w:rPr>
        <w:t xml:space="preserve">For the first objective, a long-run relationship was found between money market development and health outcomes measured by life expectancy and infant mortality </w:t>
      </w:r>
      <w:r>
        <w:rPr>
          <w:rFonts w:ascii="Times New Roman" w:hAnsi="Times New Roman"/>
          <w:sz w:val="24"/>
          <w:szCs w:val="24"/>
        </w:rPr>
        <w:t>in Nigeria</w:t>
      </w:r>
      <w:r>
        <w:rPr>
          <w:rFonts w:ascii="Times New Roman" w:hAnsi="Times New Roman" w:cs="Times New Roman"/>
          <w:bCs/>
          <w:sz w:val="24"/>
          <w:szCs w:val="24"/>
        </w:rPr>
        <w:t xml:space="preserve">. </w:t>
      </w:r>
      <w:r>
        <w:rPr>
          <w:rFonts w:ascii="Times New Roman" w:hAnsi="Times New Roman"/>
          <w:sz w:val="24"/>
          <w:szCs w:val="24"/>
        </w:rPr>
        <w:t>For the shortrun, increase in monetary policy rate results to high life expectancy. A12-month deposit rate at lag two had a short-term negative influence on life expectancy. This shows that low 12-month deposit rate guarantees an improvement in the anticipated mean years of an individual’s life after birth. In the long run, high monetary policy rate has a direct link with life expectancy in Nigeria.Low treasury bill rate has a significant link with a high life expectancy. Also, the positive effect of a 12-month deposit rate on life expectancy is not statistically significant. Concerning child mortality, the current monetary policy rate and treasury bill rate were determined to be positive, but only the latter is statistically significant at 5%. It implies that treasury bill rate had a short-term positive influence on short-run under-5 mortality. Short-run child mortality is positively and significantly influenced by lag one and two of a 12-month deposit rate. In the long run, all the money market instruments do not have significant influence on child mortality in Nigeria. Thus, money market instruments do not have the potential to curtail child mortality for the periods understudy.</w:t>
      </w:r>
    </w:p>
    <w:p>
      <w:pPr>
        <w:spacing w:after="120" w:line="480" w:lineRule="auto"/>
        <w:jc w:val="both"/>
        <w:rPr>
          <w:rFonts w:ascii="Times New Roman" w:hAnsi="Times New Roman"/>
          <w:sz w:val="24"/>
          <w:szCs w:val="24"/>
        </w:rPr>
      </w:pPr>
      <w:r>
        <w:rPr>
          <w:rFonts w:ascii="Times New Roman" w:hAnsi="Times New Roman" w:cs="Times New Roman"/>
          <w:bCs/>
          <w:sz w:val="24"/>
          <w:szCs w:val="24"/>
        </w:rPr>
        <w:t xml:space="preserve">Regarding the second objective, </w:t>
      </w:r>
      <w:r>
        <w:rPr>
          <w:rFonts w:ascii="Times New Roman" w:hAnsi="Times New Roman"/>
          <w:sz w:val="24"/>
          <w:szCs w:val="24"/>
        </w:rPr>
        <w:t>the results show that there exists a long-run relationship between bank sector development and health outcomes in Nigeria. Liquidity ratio positively and significant relate with life expectancy in the short run. As for loan to deposit ratio, its current and first lag have negative and significant coefficients. This means that the negative influence of loan to deposit ratio on life expectancy is not significant statistically at 5% level. In the long run, liquidity ratio, loan to deposit ratio and trade openness have direct link with life expectancy, but only the parameter of liquidity ratio is statistically significant at 5%.It implies that liquidity ratio haslong-term association with life expectancy.The short-run liquidity ratio negatively and significantly impacted under-5 mortality in Nigeria. Furthermore, the short-run loan to deposit ratio was assessed to be positive and statistically significant. It means that the loan to deposit ratio had a short-term positive and significant impact on child mortality. The short-run domestic credit to private sector by banks to GDP at lag one has direct and significant effect on under-5 mortality rate in Nigeria.In the long run, liquidity ratio, loan to deposit ratio and domestic credit to private sector by banks to GDP ratio have a negative impact on child mortality but only liquidity ratio and domestic credit to private sector by banks to GDP are statistically significant at 5%.It implies that liquidity ratio and domestic credit to private sector by banks to GDP have a positiveimpact on child mortality reduction.</w:t>
      </w:r>
    </w:p>
    <w:p>
      <w:pPr>
        <w:spacing w:after="120" w:line="480" w:lineRule="auto"/>
        <w:jc w:val="both"/>
        <w:rPr>
          <w:rFonts w:ascii="Times New Roman" w:hAnsi="Times New Roman"/>
          <w:sz w:val="24"/>
          <w:szCs w:val="24"/>
        </w:rPr>
      </w:pPr>
      <w:r>
        <w:rPr>
          <w:rFonts w:ascii="Times New Roman" w:hAnsi="Times New Roman" w:cs="Times New Roman"/>
          <w:bCs/>
          <w:sz w:val="24"/>
          <w:szCs w:val="24"/>
        </w:rPr>
        <w:t xml:space="preserve">Concerning the third objective, the study found that there is a long run relationship among stock market development and health outcomes in Nigeria. </w:t>
      </w:r>
      <w:r>
        <w:rPr>
          <w:rFonts w:ascii="Times New Roman" w:hAnsi="Times New Roman"/>
          <w:sz w:val="24"/>
          <w:szCs w:val="24"/>
        </w:rPr>
        <w:t>The short-run parameter estimates of all share index were determined to be positive and statistically significant at 5%. It follows that all share index public health spending had a short-term positive influence on life expectancy. Also, the current and lag one of the total stocks traded value have a direct impact on life expectancy in the short run. In the long run, stock market capitalization and total stock traded value negatively impacted life expectancy in Nigeria. Likewise, the study discovered that all share index have the potential to significantly impact life expectancy positively in the long run at 10% level. In the short run, stock market capitalization had a short-term negative influence on child mortality. Also, total stocks traded value negatively influenced under-5 mortality in the short run, but it lags one and two impacts on child mortality was positive and significant at 5% level. The current and lag two of all share index negatively influence child mortality in the short run. Further, stock market capitalization has a negative and significant impact on under-5 mortality rate in the long run. However, total stock transaction value has a direct and significant effect on child mortality. It means that stock market capitalization played a deteriorating effect on child mortality while total stock transaction value amplifies the rate of under-5 deaths. The study discovered that all share index do not have a significant impact on child mortality rate.</w:t>
      </w:r>
    </w:p>
    <w:p>
      <w:pPr>
        <w:spacing w:after="120" w:line="480" w:lineRule="auto"/>
        <w:jc w:val="both"/>
        <w:rPr>
          <w:rFonts w:ascii="Times New Roman" w:hAnsi="Times New Roman" w:cs="Times New Roman"/>
          <w:b/>
          <w:bCs/>
          <w:sz w:val="24"/>
          <w:szCs w:val="24"/>
        </w:rPr>
      </w:pPr>
      <w:r>
        <w:rPr>
          <w:rFonts w:ascii="Times New Roman" w:hAnsi="Times New Roman" w:cs="Times New Roman"/>
          <w:b/>
          <w:bCs/>
          <w:sz w:val="24"/>
          <w:szCs w:val="24"/>
        </w:rPr>
        <w:t>5.2</w:t>
      </w:r>
      <w:r>
        <w:rPr>
          <w:rFonts w:ascii="Times New Roman" w:hAnsi="Times New Roman" w:cs="Times New Roman"/>
          <w:b/>
          <w:bCs/>
          <w:sz w:val="24"/>
          <w:szCs w:val="24"/>
        </w:rPr>
        <w:tab/>
      </w:r>
      <w:r>
        <w:rPr>
          <w:rFonts w:ascii="Times New Roman" w:hAnsi="Times New Roman" w:cs="Times New Roman"/>
          <w:b/>
          <w:bCs/>
          <w:sz w:val="24"/>
          <w:szCs w:val="24"/>
        </w:rPr>
        <w:t>Conclusion</w:t>
      </w:r>
    </w:p>
    <w:p>
      <w:pPr>
        <w:spacing w:after="120"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This study investigates the interrelationship between financial sector development and health outcomes in Nigeria over the periods of 1985 to 2022 using the ARDL bound testing approach. </w:t>
      </w:r>
      <w:r>
        <w:rPr>
          <w:rFonts w:ascii="Times New Roman" w:hAnsi="Times New Roman" w:cs="Times New Roman"/>
          <w:sz w:val="24"/>
          <w:szCs w:val="24"/>
        </w:rPr>
        <w:t>The findings showed that monetary policy rate and 12-month deposit rate have negative impact on short-run life expectancy in Nigeria. Meanwhile, the study discovered that life expectancy positively reacted to monetary policy rate but negatively affected by treasury bill rate in the long run.Furthermore, the study showed that treasury bill rate and 12-month deposit rate positively relate with child mortality rate in the short run. The study does not find a significant link between money market development and child mortality in Nigeria.</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It discovers that liquidity ratio positively influences life expectancy both in the short and long run. The impact of other measures of bank sector development on life expectancy is not significant statistically. Concerning child mortality rate, the study found that under-5 mortality is positively and negatively influence by bank sector development measures (liquidity ratio, loan to deposit ratio and domestic credit to private sector by banks to GDP) in the short and long run respectively. All the three measures are significant in the short run but only liquidity ratio and domestic credit are significant in the long run.</w:t>
      </w:r>
    </w:p>
    <w:p>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In addition, total stocks transaction value influences life expectancy positively in the short run but negatively in the long run. Also, all share index directly influence life expectancy both in the short and long run. Stock market capitalization negatively influence child mortality both in the short and long run. However, total stock transaction value positively relates to under-5 mortality in the short and long run. All share index has a direct influence on child mortality rate in the short run.</w:t>
      </w:r>
    </w:p>
    <w:p>
      <w:pPr>
        <w:spacing w:after="120" w:line="480" w:lineRule="auto"/>
        <w:jc w:val="both"/>
        <w:rPr>
          <w:rFonts w:ascii="Times New Roman" w:hAnsi="Times New Roman" w:cs="Times New Roman"/>
          <w:bCs/>
          <w:sz w:val="24"/>
          <w:szCs w:val="24"/>
        </w:rPr>
      </w:pPr>
      <w:r>
        <w:rPr>
          <w:rFonts w:ascii="Times New Roman" w:hAnsi="Times New Roman" w:cs="Times New Roman"/>
          <w:b/>
          <w:bCs/>
          <w:sz w:val="24"/>
          <w:szCs w:val="24"/>
        </w:rPr>
        <w:t>5.3</w:t>
      </w:r>
      <w:r>
        <w:rPr>
          <w:rFonts w:ascii="Times New Roman" w:hAnsi="Times New Roman" w:cs="Times New Roman"/>
          <w:b/>
          <w:bCs/>
          <w:sz w:val="24"/>
          <w:szCs w:val="24"/>
        </w:rPr>
        <w:tab/>
      </w:r>
      <w:r>
        <w:rPr>
          <w:rFonts w:ascii="Times New Roman" w:hAnsi="Times New Roman" w:cs="Times New Roman"/>
          <w:b/>
          <w:bCs/>
          <w:sz w:val="24"/>
          <w:szCs w:val="24"/>
        </w:rPr>
        <w:t>Recommendations</w:t>
      </w:r>
    </w:p>
    <w:p>
      <w:pPr>
        <w:spacing w:after="120" w:line="480" w:lineRule="auto"/>
        <w:jc w:val="both"/>
        <w:rPr>
          <w:rFonts w:ascii="Times New Roman" w:hAnsi="Times New Roman" w:cs="Times New Roman"/>
          <w:bCs/>
          <w:sz w:val="24"/>
          <w:szCs w:val="24"/>
        </w:rPr>
      </w:pPr>
      <w:r>
        <w:rPr>
          <w:rFonts w:ascii="Times New Roman" w:hAnsi="Times New Roman" w:cs="Times New Roman"/>
          <w:bCs/>
          <w:sz w:val="24"/>
          <w:szCs w:val="24"/>
        </w:rPr>
        <w:t>Following the reported findings discussed in the subsequent parts of the chapter in this research study, the following policy recommendations are discussed below:</w:t>
      </w:r>
    </w:p>
    <w:p>
      <w:pPr>
        <w:pStyle w:val="30"/>
        <w:numPr>
          <w:ilvl w:val="0"/>
          <w:numId w:val="4"/>
        </w:numPr>
        <w:spacing w:after="120" w:line="480" w:lineRule="auto"/>
        <w:jc w:val="both"/>
        <w:rPr>
          <w:rFonts w:ascii="Times New Roman" w:hAnsi="Times New Roman"/>
          <w:bCs/>
          <w:sz w:val="24"/>
          <w:szCs w:val="24"/>
        </w:rPr>
      </w:pPr>
      <w:r>
        <w:rPr>
          <w:rFonts w:ascii="Times New Roman" w:hAnsi="Times New Roman"/>
          <w:bCs/>
          <w:sz w:val="24"/>
          <w:szCs w:val="24"/>
        </w:rPr>
        <w:t>There is a need for the policymakers and government agencies to carefully consider the potential health implications when implementing measures that increase interest rates. Also, they should balance the long-term economic goals with the potential health consequences.</w:t>
      </w:r>
    </w:p>
    <w:p>
      <w:pPr>
        <w:pStyle w:val="30"/>
        <w:numPr>
          <w:ilvl w:val="0"/>
          <w:numId w:val="4"/>
        </w:numPr>
        <w:spacing w:after="120" w:line="480" w:lineRule="auto"/>
        <w:jc w:val="both"/>
        <w:rPr>
          <w:rFonts w:ascii="Times New Roman" w:hAnsi="Times New Roman"/>
          <w:bCs/>
          <w:sz w:val="24"/>
          <w:szCs w:val="24"/>
        </w:rPr>
      </w:pPr>
      <w:r>
        <w:rPr>
          <w:rFonts w:ascii="Times New Roman" w:hAnsi="Times New Roman"/>
          <w:bCs/>
          <w:sz w:val="24"/>
          <w:szCs w:val="24"/>
        </w:rPr>
        <w:t>Apex bank should explore other factors beyond monetary policy and financial markets to address and improve child mortality rates in the country. In addition, they need to focus on liquidity management as a specific area of concern for public health.</w:t>
      </w:r>
    </w:p>
    <w:p>
      <w:pPr>
        <w:pStyle w:val="30"/>
        <w:numPr>
          <w:ilvl w:val="0"/>
          <w:numId w:val="4"/>
        </w:numPr>
        <w:spacing w:after="120" w:line="480" w:lineRule="auto"/>
        <w:jc w:val="both"/>
        <w:rPr>
          <w:rFonts w:ascii="Times New Roman" w:hAnsi="Times New Roman"/>
          <w:bCs/>
          <w:sz w:val="24"/>
          <w:szCs w:val="24"/>
        </w:rPr>
      </w:pPr>
      <w:r>
        <w:rPr>
          <w:rFonts w:ascii="Times New Roman" w:hAnsi="Times New Roman"/>
          <w:bCs/>
          <w:sz w:val="24"/>
          <w:szCs w:val="24"/>
        </w:rPr>
        <w:t>Government should consider these nuanced relationships when formulating strategies to enhance public health outcomes through the development of the banking sector. Moreover, a targeted focus on liquidity management may yield positive spillover effects on overall population health.</w:t>
      </w:r>
    </w:p>
    <w:p>
      <w:pPr>
        <w:pStyle w:val="30"/>
        <w:numPr>
          <w:ilvl w:val="0"/>
          <w:numId w:val="4"/>
        </w:numPr>
        <w:spacing w:after="120" w:line="480" w:lineRule="auto"/>
        <w:jc w:val="both"/>
        <w:rPr>
          <w:rFonts w:ascii="Times New Roman" w:hAnsi="Times New Roman"/>
          <w:bCs/>
          <w:sz w:val="24"/>
          <w:szCs w:val="24"/>
        </w:rPr>
      </w:pPr>
      <w:r>
        <w:rPr>
          <w:rFonts w:ascii="Times New Roman" w:hAnsi="Times New Roman"/>
          <w:bCs/>
          <w:sz w:val="24"/>
          <w:szCs w:val="24"/>
        </w:rPr>
        <w:t>They should consider the potential dual impact of stock market activities on life expectancy and child mortality rates. While a thriving stock market can positively influence life expectancy, certain aspects, such as increased transaction values, may have adverse effects on child mortality.</w:t>
      </w:r>
    </w:p>
    <w:p>
      <w:pPr>
        <w:spacing w:after="120" w:line="480" w:lineRule="auto"/>
        <w:jc w:val="both"/>
        <w:rPr>
          <w:rFonts w:ascii="Times New Roman" w:hAnsi="Times New Roman" w:cs="Times New Roman"/>
          <w:b/>
          <w:sz w:val="24"/>
          <w:szCs w:val="24"/>
        </w:rPr>
      </w:pPr>
      <w:r>
        <w:rPr>
          <w:rFonts w:ascii="Times New Roman" w:hAnsi="Times New Roman" w:cs="Times New Roman"/>
          <w:b/>
          <w:sz w:val="24"/>
          <w:szCs w:val="24"/>
        </w:rPr>
        <w:t>5.4</w:t>
      </w:r>
      <w:r>
        <w:rPr>
          <w:rFonts w:ascii="Times New Roman" w:hAnsi="Times New Roman" w:cs="Times New Roman"/>
          <w:b/>
          <w:sz w:val="24"/>
          <w:szCs w:val="24"/>
        </w:rPr>
        <w:tab/>
      </w:r>
      <w:r>
        <w:rPr>
          <w:rFonts w:ascii="Times New Roman" w:hAnsi="Times New Roman" w:cs="Times New Roman"/>
          <w:b/>
          <w:sz w:val="24"/>
          <w:szCs w:val="24"/>
        </w:rPr>
        <w:t>Contribution to Knowledge</w:t>
      </w:r>
    </w:p>
    <w:p>
      <w:pPr>
        <w:spacing w:after="120" w:line="480" w:lineRule="auto"/>
        <w:jc w:val="both"/>
        <w:rPr>
          <w:rFonts w:ascii="Times New Roman" w:hAnsi="Times New Roman" w:cs="Times New Roman"/>
          <w:bCs/>
          <w:sz w:val="24"/>
          <w:szCs w:val="24"/>
        </w:rPr>
      </w:pPr>
      <w:r>
        <w:rPr>
          <w:rFonts w:ascii="Times New Roman" w:hAnsi="Times New Roman" w:cs="Times New Roman"/>
          <w:bCs/>
          <w:sz w:val="24"/>
          <w:szCs w:val="24"/>
        </w:rPr>
        <w:t>This study makes a significant contribution to the existing body of knowledge by comprehensively examining the intricate relationship between financial sector development and health outcomes. The key contributions are outlined as follows:</w:t>
      </w:r>
    </w:p>
    <w:p>
      <w:pPr>
        <w:pStyle w:val="30"/>
        <w:numPr>
          <w:ilvl w:val="0"/>
          <w:numId w:val="5"/>
        </w:numPr>
        <w:spacing w:after="120" w:line="480" w:lineRule="auto"/>
        <w:jc w:val="both"/>
        <w:rPr>
          <w:rFonts w:ascii="Times New Roman" w:hAnsi="Times New Roman"/>
          <w:bCs/>
          <w:sz w:val="24"/>
          <w:szCs w:val="24"/>
        </w:rPr>
      </w:pPr>
      <w:r>
        <w:rPr>
          <w:rFonts w:ascii="Times New Roman" w:hAnsi="Times New Roman"/>
          <w:bCs/>
          <w:sz w:val="24"/>
          <w:szCs w:val="24"/>
        </w:rPr>
        <w:t>Unlike many previous studies that focus on a singular aspect of financial sector development, this study takes a holistic approach by considering three distinct measures: money market development, bank sector development, and stock market development. This comprehensive analysis provides a nuanced understanding of the varied impacts these financial components have on health outcomes.</w:t>
      </w:r>
    </w:p>
    <w:p>
      <w:pPr>
        <w:pStyle w:val="30"/>
        <w:numPr>
          <w:ilvl w:val="0"/>
          <w:numId w:val="5"/>
        </w:numPr>
        <w:spacing w:after="120" w:line="480" w:lineRule="auto"/>
        <w:jc w:val="both"/>
        <w:rPr>
          <w:rFonts w:ascii="Times New Roman" w:hAnsi="Times New Roman"/>
          <w:bCs/>
          <w:sz w:val="24"/>
          <w:szCs w:val="24"/>
        </w:rPr>
      </w:pPr>
      <w:r>
        <w:rPr>
          <w:rFonts w:ascii="Times New Roman" w:hAnsi="Times New Roman"/>
          <w:bCs/>
          <w:sz w:val="24"/>
          <w:szCs w:val="24"/>
        </w:rPr>
        <w:t>It considered diverse measures of financial sector development. The study considers three money market development measures: monetary policy rate, 12-month deposit rate, and treasury bill rate. Bank sector development measures, such as liquidity ratio, loan to deposit ratio, and domestic credit to the private sector by banks. Stock market development measures like stock market capitalization, total stocks transaction value, and all share index. The study bridges a critical gap in the literature, providing insights into the broader economic implications of financial market dynamics on public health.</w:t>
      </w:r>
    </w:p>
    <w:p>
      <w:pPr>
        <w:pStyle w:val="30"/>
        <w:numPr>
          <w:ilvl w:val="0"/>
          <w:numId w:val="5"/>
        </w:numPr>
        <w:spacing w:after="120" w:line="480" w:lineRule="auto"/>
        <w:jc w:val="both"/>
        <w:rPr>
          <w:rFonts w:ascii="Times New Roman" w:hAnsi="Times New Roman"/>
          <w:bCs/>
          <w:sz w:val="24"/>
          <w:szCs w:val="24"/>
        </w:rPr>
      </w:pPr>
      <w:r>
        <w:rPr>
          <w:rFonts w:ascii="Times New Roman" w:hAnsi="Times New Roman"/>
          <w:bCs/>
          <w:sz w:val="24"/>
          <w:szCs w:val="24"/>
        </w:rPr>
        <w:t>The study decomposes health outcomes into life expectancy and under-5 mortality rate, allowing for a nuanced understanding of how different dimensions of financial sector development may impact distinct health indicators.</w:t>
      </w:r>
    </w:p>
    <w:p>
      <w:pPr>
        <w:spacing w:after="120" w:line="480" w:lineRule="auto"/>
        <w:jc w:val="both"/>
        <w:rPr>
          <w:rFonts w:ascii="Times New Roman" w:hAnsi="Times New Roman" w:cs="Times New Roman"/>
          <w:b/>
          <w:sz w:val="24"/>
          <w:szCs w:val="24"/>
        </w:rPr>
      </w:pPr>
      <w:r>
        <w:rPr>
          <w:rFonts w:ascii="Times New Roman" w:hAnsi="Times New Roman" w:cs="Times New Roman"/>
          <w:b/>
          <w:sz w:val="24"/>
          <w:szCs w:val="24"/>
        </w:rPr>
        <w:t>5.5</w:t>
      </w:r>
      <w:r>
        <w:rPr>
          <w:rFonts w:ascii="Times New Roman" w:hAnsi="Times New Roman" w:cs="Times New Roman"/>
          <w:b/>
          <w:sz w:val="24"/>
          <w:szCs w:val="24"/>
        </w:rPr>
        <w:tab/>
      </w:r>
      <w:r>
        <w:rPr>
          <w:rFonts w:ascii="Times New Roman" w:hAnsi="Times New Roman" w:cs="Times New Roman"/>
          <w:b/>
          <w:sz w:val="24"/>
          <w:szCs w:val="24"/>
        </w:rPr>
        <w:t>Suggestions for Further Study</w:t>
      </w:r>
    </w:p>
    <w:p>
      <w:pPr>
        <w:spacing w:after="120" w:line="480" w:lineRule="auto"/>
        <w:jc w:val="both"/>
        <w:rPr>
          <w:rFonts w:ascii="Times New Roman" w:hAnsi="Times New Roman" w:cs="Times New Roman"/>
          <w:bCs/>
          <w:sz w:val="24"/>
          <w:szCs w:val="24"/>
        </w:rPr>
      </w:pPr>
      <w:r>
        <w:rPr>
          <w:rFonts w:ascii="Times New Roman" w:hAnsi="Times New Roman" w:cs="Times New Roman"/>
          <w:bCs/>
          <w:sz w:val="24"/>
          <w:szCs w:val="24"/>
        </w:rPr>
        <w:t>Building on the insights gained from the study on the effects of financial sector development on health outcomes, several avenues for further research can be explored to deepen our understanding of this complex relationship. Here are some suggestions for further study:</w:t>
      </w:r>
    </w:p>
    <w:p>
      <w:pPr>
        <w:pStyle w:val="30"/>
        <w:numPr>
          <w:ilvl w:val="0"/>
          <w:numId w:val="6"/>
        </w:numPr>
        <w:spacing w:after="120" w:line="480" w:lineRule="auto"/>
        <w:jc w:val="both"/>
        <w:rPr>
          <w:rFonts w:ascii="Times New Roman" w:hAnsi="Times New Roman"/>
          <w:bCs/>
          <w:sz w:val="24"/>
          <w:szCs w:val="24"/>
        </w:rPr>
      </w:pPr>
      <w:r>
        <w:rPr>
          <w:rFonts w:ascii="Times New Roman" w:hAnsi="Times New Roman"/>
          <w:bCs/>
          <w:sz w:val="24"/>
          <w:szCs w:val="24"/>
        </w:rPr>
        <w:t>Conduct a comparative study across countries to investigate how the impact of financial sector development on health outcomes varies in different economic and cultural contexts. This could involve selecting countries with diverse levels of financial development and health indicators to identify patterns and outliers.</w:t>
      </w:r>
    </w:p>
    <w:p>
      <w:pPr>
        <w:pStyle w:val="30"/>
        <w:numPr>
          <w:ilvl w:val="0"/>
          <w:numId w:val="6"/>
        </w:numPr>
        <w:spacing w:after="120" w:line="480" w:lineRule="auto"/>
        <w:jc w:val="both"/>
        <w:rPr>
          <w:rFonts w:ascii="Times New Roman" w:hAnsi="Times New Roman"/>
          <w:bCs/>
          <w:sz w:val="24"/>
          <w:szCs w:val="24"/>
        </w:rPr>
      </w:pPr>
      <w:r>
        <w:rPr>
          <w:rFonts w:ascii="Times New Roman" w:hAnsi="Times New Roman"/>
          <w:bCs/>
          <w:sz w:val="24"/>
          <w:szCs w:val="24"/>
        </w:rPr>
        <w:t>Explore the gender-specific implications of financial sector development on health outcomes. Investigate whether there are differential effects on the health of men and women, considering factors such as access to financial services, employment opportunities, and health-seeking behavior.</w:t>
      </w:r>
    </w:p>
    <w:p>
      <w:pPr>
        <w:pStyle w:val="30"/>
        <w:numPr>
          <w:ilvl w:val="0"/>
          <w:numId w:val="6"/>
        </w:numPr>
        <w:spacing w:after="120" w:line="480" w:lineRule="auto"/>
        <w:jc w:val="both"/>
        <w:rPr>
          <w:rFonts w:ascii="Times New Roman" w:hAnsi="Times New Roman"/>
          <w:bCs/>
          <w:sz w:val="24"/>
          <w:szCs w:val="24"/>
        </w:rPr>
      </w:pPr>
      <w:r>
        <w:rPr>
          <w:rFonts w:ascii="Times New Roman" w:hAnsi="Times New Roman"/>
          <w:bCs/>
          <w:sz w:val="24"/>
          <w:szCs w:val="24"/>
        </w:rPr>
        <w:t>Investigate the macroeconomic and microeconomic mechanisms through which financial sector development influences health outcomes. Explore how financial sector policies at the macro level translate into tangible health impacts at the individual and community levels, considering factors such as income distribution and healthcare accessibility.</w:t>
      </w:r>
    </w:p>
    <w:p>
      <w:pPr>
        <w:pStyle w:val="30"/>
        <w:spacing w:after="120" w:line="480" w:lineRule="auto"/>
        <w:jc w:val="both"/>
        <w:rPr>
          <w:rFonts w:ascii="Times New Roman" w:hAnsi="Times New Roman"/>
          <w:bCs/>
          <w:sz w:val="24"/>
          <w:szCs w:val="24"/>
        </w:rPr>
      </w:pPr>
    </w:p>
    <w:p>
      <w:pPr>
        <w:pStyle w:val="30"/>
        <w:spacing w:after="0" w:line="480" w:lineRule="auto"/>
        <w:jc w:val="center"/>
        <w:rPr>
          <w:rFonts w:ascii="Times New Roman" w:hAnsi="Times New Roman"/>
          <w:b/>
        </w:rPr>
      </w:pPr>
      <w:r>
        <w:rPr>
          <w:rFonts w:ascii="Times New Roman" w:hAnsi="Times New Roman"/>
          <w:b/>
        </w:rPr>
        <w:t>Bibliography</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Abbass S., et al. </w:t>
      </w:r>
      <w:r>
        <w:rPr>
          <w:rFonts w:ascii="Times New Roman" w:hAnsi="Times New Roman" w:eastAsia="Calibri"/>
          <w:i/>
          <w:iCs/>
          <w:sz w:val="24"/>
          <w:szCs w:val="24"/>
          <w:shd w:val="clear" w:color="auto" w:fill="FFFFFF"/>
        </w:rPr>
        <w:t>"The Effect of Financial Development on Human Development in Selected Development Countries Using GMM Method."</w:t>
      </w:r>
      <w:r>
        <w:rPr>
          <w:rFonts w:ascii="Times New Roman" w:hAnsi="Times New Roman" w:eastAsia="Calibri"/>
          <w:b/>
          <w:bCs/>
          <w:sz w:val="24"/>
          <w:szCs w:val="24"/>
          <w:shd w:val="clear" w:color="auto" w:fill="FFFFFF"/>
        </w:rPr>
        <w:t>Journal of System Management (JSM),</w:t>
      </w:r>
      <w:r>
        <w:rPr>
          <w:rFonts w:ascii="Times New Roman" w:hAnsi="Times New Roman" w:eastAsia="Calibri"/>
          <w:sz w:val="24"/>
          <w:szCs w:val="24"/>
          <w:shd w:val="clear" w:color="auto" w:fill="FFFFFF"/>
        </w:rPr>
        <w:t xml:space="preserve"> 9(2), 2023.</w:t>
      </w:r>
    </w:p>
    <w:p>
      <w:pPr>
        <w:pStyle w:val="14"/>
        <w:spacing w:after="200"/>
        <w:ind w:left="398" w:hanging="398" w:hangingChars="166"/>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rPr>
        <w:t xml:space="preserve">Abd Kadir N. A., et al. </w:t>
      </w:r>
      <w:r>
        <w:rPr>
          <w:rFonts w:ascii="Times New Roman" w:hAnsi="Times New Roman" w:eastAsia="Calibri"/>
          <w:i/>
          <w:iCs/>
          <w:sz w:val="24"/>
          <w:szCs w:val="24"/>
          <w:shd w:val="clear" w:color="auto" w:fill="FFFFFF"/>
        </w:rPr>
        <w:t>"Long Run Analysis between Climate Change, Socio-Economic Factors and Technology on Health Expenditure in Malaysia."</w:t>
      </w:r>
      <w:r>
        <w:rPr>
          <w:rFonts w:ascii="Times New Roman" w:hAnsi="Times New Roman" w:eastAsia="Calibri"/>
          <w:sz w:val="24"/>
          <w:szCs w:val="24"/>
          <w:shd w:val="clear" w:color="auto" w:fill="FFFFFF"/>
        </w:rPr>
        <w:t> </w:t>
      </w:r>
      <w:r>
        <w:rPr>
          <w:rFonts w:ascii="Times New Roman" w:hAnsi="Times New Roman" w:eastAsia="Calibri"/>
          <w:b/>
          <w:bCs/>
          <w:sz w:val="24"/>
          <w:szCs w:val="24"/>
          <w:shd w:val="clear" w:color="auto" w:fill="FFFFFF"/>
        </w:rPr>
        <w:t>International Journal of Human Resource Studies,</w:t>
      </w:r>
      <w:r>
        <w:rPr>
          <w:rFonts w:ascii="Times New Roman" w:hAnsi="Times New Roman" w:eastAsia="Calibri"/>
          <w:sz w:val="24"/>
          <w:szCs w:val="24"/>
          <w:shd w:val="clear" w:color="auto" w:fill="FFFFFF"/>
        </w:rPr>
        <w:t> 12(2), 2022, 6589-6589.</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rPr>
        <w:t xml:space="preserve">Abdulahi U., et, al. </w:t>
      </w:r>
      <w:r>
        <w:rPr>
          <w:rFonts w:ascii="Times New Roman" w:hAnsi="Times New Roman" w:eastAsia="Calibri"/>
          <w:i/>
          <w:iCs/>
          <w:sz w:val="24"/>
          <w:szCs w:val="24"/>
        </w:rPr>
        <w:t>“Remittances and health outcomes in sub-saharanafrican countries: understanding the role of financial development and institutional quality.”</w:t>
      </w:r>
      <w:r>
        <w:rPr>
          <w:rFonts w:ascii="Times New Roman" w:hAnsi="Times New Roman" w:eastAsia="Calibri"/>
          <w:b/>
          <w:bCs/>
          <w:sz w:val="24"/>
          <w:szCs w:val="24"/>
        </w:rPr>
        <w:t>Economic Annals</w:t>
      </w:r>
      <w:r>
        <w:rPr>
          <w:rFonts w:ascii="Times New Roman" w:hAnsi="Times New Roman" w:eastAsia="Calibri"/>
          <w:sz w:val="24"/>
          <w:szCs w:val="24"/>
        </w:rPr>
        <w:t xml:space="preserve">, 66(229), 2021, 119-144. </w:t>
      </w:r>
    </w:p>
    <w:p>
      <w:pPr>
        <w:pStyle w:val="14"/>
        <w:spacing w:after="200"/>
        <w:ind w:left="398" w:hanging="398" w:hangingChars="166"/>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rPr>
        <w:t xml:space="preserve">Abdulhamid S., Ahmed S., &amp; Hassan S. </w:t>
      </w:r>
      <w:r>
        <w:rPr>
          <w:rFonts w:ascii="Times New Roman" w:hAnsi="Times New Roman" w:eastAsia="Calibri"/>
          <w:i/>
          <w:iCs/>
          <w:sz w:val="24"/>
          <w:szCs w:val="24"/>
          <w:shd w:val="clear" w:color="auto" w:fill="FFFFFF"/>
        </w:rPr>
        <w:t>"The effects of foreign direct investment on economic growth: The case of Sub-Sahara Africa."</w:t>
      </w:r>
      <w:r>
        <w:rPr>
          <w:rFonts w:ascii="Times New Roman" w:hAnsi="Times New Roman" w:eastAsia="Calibri"/>
          <w:b/>
          <w:bCs/>
          <w:sz w:val="24"/>
          <w:szCs w:val="24"/>
          <w:shd w:val="clear" w:color="auto" w:fill="FFFFFF"/>
        </w:rPr>
        <w:t>Southwestern Economic Review,</w:t>
      </w:r>
      <w:r>
        <w:rPr>
          <w:rFonts w:ascii="Times New Roman" w:hAnsi="Times New Roman" w:eastAsia="Calibri"/>
          <w:sz w:val="24"/>
          <w:szCs w:val="24"/>
          <w:shd w:val="clear" w:color="auto" w:fill="FFFFFF"/>
        </w:rPr>
        <w:t xml:space="preserve"> 34 2007, 61-73.</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rPr>
        <w:t xml:space="preserve">Abid N., et, al. </w:t>
      </w:r>
      <w:r>
        <w:rPr>
          <w:rFonts w:ascii="Times New Roman" w:hAnsi="Times New Roman" w:eastAsia="Calibri"/>
          <w:i/>
          <w:iCs/>
          <w:sz w:val="24"/>
          <w:szCs w:val="24"/>
        </w:rPr>
        <w:t>“Financial development and green innovation, the ultimate solutions to an environmentally sustainable society: Evidence from leading economies.”</w:t>
      </w:r>
      <w:r>
        <w:rPr>
          <w:rFonts w:ascii="Times New Roman" w:hAnsi="Times New Roman" w:eastAsia="Calibri"/>
          <w:b/>
          <w:bCs/>
          <w:sz w:val="24"/>
          <w:szCs w:val="24"/>
        </w:rPr>
        <w:t>Journal of Cleaner Production,</w:t>
      </w:r>
      <w:r>
        <w:rPr>
          <w:rFonts w:ascii="Times New Roman" w:hAnsi="Times New Roman" w:eastAsia="Calibri"/>
          <w:sz w:val="24"/>
          <w:szCs w:val="24"/>
        </w:rPr>
        <w:t xml:space="preserve"> 369, 2022, 133223.</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rPr>
        <w:t xml:space="preserve">Acheampong A. O. </w:t>
      </w:r>
      <w:r>
        <w:rPr>
          <w:rFonts w:ascii="Times New Roman" w:hAnsi="Times New Roman" w:eastAsia="Calibri"/>
          <w:i/>
          <w:iCs/>
          <w:sz w:val="24"/>
          <w:szCs w:val="24"/>
        </w:rPr>
        <w:t>"Modelling for insight: does financial development improve environmental quality?."</w:t>
      </w:r>
      <w:r>
        <w:rPr>
          <w:rFonts w:ascii="Times New Roman" w:hAnsi="Times New Roman" w:eastAsia="Calibri"/>
          <w:sz w:val="24"/>
          <w:szCs w:val="24"/>
        </w:rPr>
        <w:t> </w:t>
      </w:r>
      <w:r>
        <w:rPr>
          <w:rFonts w:ascii="Times New Roman" w:hAnsi="Times New Roman" w:eastAsia="Calibri"/>
          <w:b/>
          <w:bCs/>
          <w:sz w:val="24"/>
          <w:szCs w:val="24"/>
        </w:rPr>
        <w:t>Energy Economics,</w:t>
      </w:r>
      <w:r>
        <w:rPr>
          <w:rFonts w:ascii="Times New Roman" w:hAnsi="Times New Roman" w:eastAsia="Calibri"/>
          <w:sz w:val="24"/>
          <w:szCs w:val="24"/>
        </w:rPr>
        <w:t> 83, 2019, 156-179.</w:t>
      </w:r>
    </w:p>
    <w:p>
      <w:pPr>
        <w:pStyle w:val="14"/>
        <w:spacing w:after="200"/>
        <w:ind w:left="398" w:hanging="398" w:hangingChars="166"/>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rPr>
        <w:t xml:space="preserve">Afolabi, J. </w:t>
      </w:r>
      <w:r>
        <w:rPr>
          <w:rFonts w:ascii="Times New Roman" w:hAnsi="Times New Roman" w:eastAsia="Calibri"/>
          <w:i/>
          <w:iCs/>
          <w:sz w:val="24"/>
          <w:szCs w:val="24"/>
          <w:shd w:val="clear" w:color="auto" w:fill="FFFFFF"/>
        </w:rPr>
        <w:t xml:space="preserve">"Financial Development, Trade Openness, and Economic Growth in Nigeria." </w:t>
      </w:r>
      <w:r>
        <w:rPr>
          <w:rFonts w:ascii="Times New Roman" w:hAnsi="Times New Roman" w:eastAsia="Calibri"/>
          <w:b/>
          <w:bCs/>
          <w:sz w:val="24"/>
          <w:szCs w:val="24"/>
          <w:shd w:val="clear" w:color="auto" w:fill="FFFFFF"/>
        </w:rPr>
        <w:t>Iranian Economic Review</w:t>
      </w:r>
      <w:r>
        <w:rPr>
          <w:rFonts w:ascii="Times New Roman" w:hAnsi="Times New Roman" w:eastAsia="Calibri"/>
          <w:i/>
          <w:iCs/>
          <w:sz w:val="24"/>
          <w:szCs w:val="24"/>
          <w:shd w:val="clear" w:color="auto" w:fill="FFFFFF"/>
        </w:rPr>
        <w:t>,</w:t>
      </w:r>
      <w:r>
        <w:rPr>
          <w:rFonts w:ascii="Times New Roman" w:hAnsi="Times New Roman" w:eastAsia="Calibri"/>
          <w:sz w:val="24"/>
          <w:szCs w:val="24"/>
          <w:shd w:val="clear" w:color="auto" w:fill="FFFFFF"/>
        </w:rPr>
        <w:t xml:space="preserve"> 26(1), 2022, 237-254.</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Akintunde T. S, &amp; Olaniran O. D. </w:t>
      </w:r>
      <w:r>
        <w:rPr>
          <w:rFonts w:ascii="Times New Roman" w:hAnsi="Times New Roman" w:eastAsia="Calibri"/>
          <w:i/>
          <w:iCs/>
          <w:sz w:val="24"/>
          <w:szCs w:val="24"/>
          <w:shd w:val="clear" w:color="auto" w:fill="FFFFFF"/>
        </w:rPr>
        <w:t>"Financial development, public health expenditure and health outcomes: Evidence from Nigeria.</w:t>
      </w:r>
      <w:r>
        <w:rPr>
          <w:rFonts w:ascii="Times New Roman" w:hAnsi="Times New Roman" w:eastAsia="Calibri"/>
          <w:sz w:val="24"/>
          <w:szCs w:val="24"/>
          <w:shd w:val="clear" w:color="auto" w:fill="FFFFFF"/>
        </w:rPr>
        <w:t xml:space="preserve">" </w:t>
      </w:r>
      <w:r>
        <w:rPr>
          <w:rFonts w:ascii="Times New Roman" w:hAnsi="Times New Roman" w:eastAsia="Calibri"/>
          <w:b/>
          <w:bCs/>
          <w:sz w:val="24"/>
          <w:szCs w:val="24"/>
          <w:shd w:val="clear" w:color="auto" w:fill="FFFFFF"/>
        </w:rPr>
        <w:t>Journal of Economics and Allied Research,</w:t>
      </w:r>
      <w:r>
        <w:rPr>
          <w:rFonts w:ascii="Times New Roman" w:hAnsi="Times New Roman" w:eastAsia="Calibri"/>
          <w:sz w:val="24"/>
          <w:szCs w:val="24"/>
          <w:shd w:val="clear" w:color="auto" w:fill="FFFFFF"/>
        </w:rPr>
        <w:t xml:space="preserve"> 7(1), 2022, 13-24.</w:t>
      </w:r>
    </w:p>
    <w:p>
      <w:pPr>
        <w:pStyle w:val="14"/>
        <w:spacing w:after="200"/>
        <w:ind w:left="398" w:hanging="398" w:hangingChars="166"/>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rPr>
        <w:t xml:space="preserve">Akintunde T. S., Oladipo A. D., &amp;Oyaromade R.. </w:t>
      </w:r>
      <w:r>
        <w:rPr>
          <w:rFonts w:ascii="Times New Roman" w:hAnsi="Times New Roman" w:eastAsia="Calibri"/>
          <w:i/>
          <w:iCs/>
          <w:sz w:val="24"/>
          <w:szCs w:val="24"/>
          <w:shd w:val="clear" w:color="auto" w:fill="FFFFFF"/>
        </w:rPr>
        <w:t>"Socioeconomic determinants of health status in Nigeria (1980-2014)."</w:t>
      </w:r>
      <w:r>
        <w:rPr>
          <w:rFonts w:ascii="Times New Roman" w:hAnsi="Times New Roman" w:eastAsia="Calibri"/>
          <w:b/>
          <w:bCs/>
          <w:sz w:val="24"/>
          <w:szCs w:val="24"/>
          <w:shd w:val="clear" w:color="auto" w:fill="FFFFFF"/>
        </w:rPr>
        <w:t>African Review of Economics and Finance,</w:t>
      </w:r>
      <w:r>
        <w:rPr>
          <w:rFonts w:ascii="Times New Roman" w:hAnsi="Times New Roman" w:eastAsia="Calibri"/>
          <w:sz w:val="24"/>
          <w:szCs w:val="24"/>
          <w:shd w:val="clear" w:color="auto" w:fill="FFFFFF"/>
        </w:rPr>
        <w:t xml:space="preserve"> 11(2), 2019, 365-388.</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Alam S., et al.</w:t>
      </w:r>
      <w:r>
        <w:rPr>
          <w:rFonts w:ascii="Times New Roman" w:hAnsi="Times New Roman" w:eastAsia="Calibri"/>
          <w:i/>
          <w:iCs/>
          <w:sz w:val="24"/>
          <w:szCs w:val="24"/>
          <w:shd w:val="clear" w:color="auto" w:fill="FFFFFF"/>
        </w:rPr>
        <w:t xml:space="preserve"> “Rapid rise of life expectancy in bangladesh: does financial development matter?.” </w:t>
      </w:r>
      <w:r>
        <w:rPr>
          <w:rFonts w:ascii="Times New Roman" w:hAnsi="Times New Roman" w:eastAsia="Calibri"/>
          <w:b/>
          <w:bCs/>
          <w:sz w:val="24"/>
          <w:szCs w:val="24"/>
          <w:shd w:val="clear" w:color="auto" w:fill="FFFFFF"/>
        </w:rPr>
        <w:t>International Journal of Finance &amp; Economics,</w:t>
      </w:r>
      <w:r>
        <w:rPr>
          <w:rFonts w:ascii="Times New Roman" w:hAnsi="Times New Roman" w:eastAsia="Calibri"/>
          <w:sz w:val="24"/>
          <w:szCs w:val="24"/>
          <w:shd w:val="clear" w:color="auto" w:fill="FFFFFF"/>
        </w:rPr>
        <w:t xml:space="preserve"> 26(4), 2020, 4918-4931.</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Aluko O. A., &amp; Ajayi M. A. </w:t>
      </w:r>
      <w:r>
        <w:rPr>
          <w:rFonts w:ascii="Times New Roman" w:hAnsi="Times New Roman" w:eastAsia="Calibri"/>
          <w:i/>
          <w:iCs/>
          <w:sz w:val="24"/>
          <w:szCs w:val="24"/>
          <w:shd w:val="clear" w:color="auto" w:fill="FFFFFF"/>
        </w:rPr>
        <w:t>"Determinants of banking sector development: Evidence from Sub-Saharan African countries."</w:t>
      </w:r>
      <w:r>
        <w:rPr>
          <w:rFonts w:ascii="Times New Roman" w:hAnsi="Times New Roman" w:eastAsia="Calibri"/>
          <w:b/>
          <w:bCs/>
          <w:sz w:val="24"/>
          <w:szCs w:val="24"/>
          <w:shd w:val="clear" w:color="auto" w:fill="FFFFFF"/>
        </w:rPr>
        <w:t>Borsa Istanbul Review,</w:t>
      </w:r>
      <w:r>
        <w:rPr>
          <w:rFonts w:ascii="Times New Roman" w:hAnsi="Times New Roman" w:eastAsia="Calibri"/>
          <w:sz w:val="24"/>
          <w:szCs w:val="24"/>
          <w:shd w:val="clear" w:color="auto" w:fill="FFFFFF"/>
        </w:rPr>
        <w:t xml:space="preserve"> 18(2), 2018, 122-139.</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Arafat W., et al. </w:t>
      </w:r>
      <w:r>
        <w:rPr>
          <w:rFonts w:ascii="Times New Roman" w:hAnsi="Times New Roman" w:eastAsia="Calibri"/>
          <w:i/>
          <w:iCs/>
          <w:sz w:val="24"/>
          <w:szCs w:val="24"/>
          <w:shd w:val="clear" w:color="auto" w:fill="FFFFFF"/>
        </w:rPr>
        <w:t>“The causal nexus among energy consumption, environmental degradation, financial development and health outcome: empirical study for pakistan.”</w:t>
      </w:r>
      <w:r>
        <w:rPr>
          <w:rFonts w:ascii="Times New Roman" w:hAnsi="Times New Roman" w:eastAsia="Calibri"/>
          <w:b/>
          <w:bCs/>
          <w:sz w:val="24"/>
          <w:szCs w:val="24"/>
          <w:shd w:val="clear" w:color="auto" w:fill="FFFFFF"/>
        </w:rPr>
        <w:t>Energies</w:t>
      </w:r>
      <w:r>
        <w:rPr>
          <w:rFonts w:ascii="Times New Roman" w:hAnsi="Times New Roman" w:eastAsia="Calibri"/>
          <w:sz w:val="24"/>
          <w:szCs w:val="24"/>
          <w:shd w:val="clear" w:color="auto" w:fill="FFFFFF"/>
        </w:rPr>
        <w:t xml:space="preserve">, 15(5), 2022, 1859. </w:t>
      </w:r>
    </w:p>
    <w:p>
      <w:pPr>
        <w:pStyle w:val="14"/>
        <w:spacing w:after="200"/>
        <w:ind w:left="398" w:hanging="398" w:hangingChars="166"/>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rPr>
        <w:t xml:space="preserve">Arthur E., &amp;Oaikhenan H. E. </w:t>
      </w:r>
      <w:r>
        <w:rPr>
          <w:rFonts w:ascii="Times New Roman" w:hAnsi="Times New Roman" w:eastAsia="Calibri"/>
          <w:i/>
          <w:iCs/>
          <w:sz w:val="24"/>
          <w:szCs w:val="24"/>
          <w:shd w:val="clear" w:color="auto" w:fill="FFFFFF"/>
        </w:rPr>
        <w:t xml:space="preserve">"The effects of health expenditure on health outcomes in Sub‐Saharan Africa (SSA)." </w:t>
      </w:r>
      <w:r>
        <w:rPr>
          <w:rFonts w:ascii="Times New Roman" w:hAnsi="Times New Roman" w:eastAsia="Calibri"/>
          <w:b/>
          <w:bCs/>
          <w:sz w:val="24"/>
          <w:szCs w:val="24"/>
          <w:shd w:val="clear" w:color="auto" w:fill="FFFFFF"/>
        </w:rPr>
        <w:t xml:space="preserve">African Development Review, </w:t>
      </w:r>
      <w:r>
        <w:rPr>
          <w:rFonts w:ascii="Times New Roman" w:hAnsi="Times New Roman" w:eastAsia="Calibri"/>
          <w:sz w:val="24"/>
          <w:szCs w:val="24"/>
          <w:shd w:val="clear" w:color="auto" w:fill="FFFFFF"/>
        </w:rPr>
        <w:t>29(3), 2017, 524-536.</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rPr>
        <w:t xml:space="preserve">Asafo-Adjei E., et, al. </w:t>
      </w:r>
      <w:r>
        <w:rPr>
          <w:rFonts w:ascii="Times New Roman" w:hAnsi="Times New Roman" w:eastAsia="Calibri"/>
          <w:i/>
          <w:iCs/>
          <w:sz w:val="24"/>
          <w:szCs w:val="24"/>
        </w:rPr>
        <w:t>“Financial sector and economic growth amid external uncertainty shocks: Insights into emerging economies.”</w:t>
      </w:r>
      <w:r>
        <w:rPr>
          <w:rFonts w:ascii="Times New Roman" w:hAnsi="Times New Roman" w:eastAsia="Calibri"/>
          <w:b/>
          <w:bCs/>
          <w:sz w:val="24"/>
          <w:szCs w:val="24"/>
        </w:rPr>
        <w:t>Plos one</w:t>
      </w:r>
      <w:r>
        <w:rPr>
          <w:rFonts w:ascii="Times New Roman" w:hAnsi="Times New Roman" w:eastAsia="Calibri"/>
          <w:sz w:val="24"/>
          <w:szCs w:val="24"/>
        </w:rPr>
        <w:t>, 16(11), 2021.</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rPr>
        <w:t>Aziz T., et, al. “</w:t>
      </w:r>
      <w:r>
        <w:rPr>
          <w:rFonts w:ascii="Times New Roman" w:hAnsi="Times New Roman" w:eastAsia="Calibri"/>
          <w:i/>
          <w:iCs/>
          <w:sz w:val="24"/>
          <w:szCs w:val="24"/>
        </w:rPr>
        <w:t>An analysis on the relationship between ICT, financial development and economic growth: Evidence from Asian developing countries”.</w:t>
      </w:r>
      <w:r>
        <w:rPr>
          <w:rFonts w:ascii="Times New Roman" w:hAnsi="Times New Roman" w:eastAsia="Calibri"/>
          <w:b/>
          <w:bCs/>
          <w:sz w:val="24"/>
          <w:szCs w:val="24"/>
        </w:rPr>
        <w:t>The Journal of International Trade &amp; Economic Development</w:t>
      </w:r>
      <w:r>
        <w:rPr>
          <w:rFonts w:ascii="Times New Roman" w:hAnsi="Times New Roman" w:eastAsia="Calibri"/>
          <w:sz w:val="24"/>
          <w:szCs w:val="24"/>
        </w:rPr>
        <w:t>, 32(5), 2023, 705-721.</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Azuh D., et, al. </w:t>
      </w:r>
      <w:r>
        <w:rPr>
          <w:rFonts w:ascii="Times New Roman" w:hAnsi="Times New Roman" w:eastAsia="Calibri"/>
          <w:i/>
          <w:iCs/>
          <w:sz w:val="24"/>
          <w:szCs w:val="24"/>
          <w:shd w:val="clear" w:color="auto" w:fill="FFFFFF"/>
        </w:rPr>
        <w:t>“Public health expenditure and under-five mortality in Nigeria: an overview for policy intervention.”</w:t>
      </w:r>
      <w:r>
        <w:rPr>
          <w:rFonts w:ascii="Times New Roman" w:hAnsi="Times New Roman" w:eastAsia="Calibri"/>
          <w:b/>
          <w:bCs/>
          <w:sz w:val="24"/>
          <w:szCs w:val="24"/>
          <w:shd w:val="clear" w:color="auto" w:fill="FFFFFF"/>
        </w:rPr>
        <w:t>Open Access Macedonian Journal of Medical Sciences</w:t>
      </w:r>
      <w:r>
        <w:rPr>
          <w:rFonts w:ascii="Times New Roman" w:hAnsi="Times New Roman" w:eastAsia="Calibri"/>
          <w:sz w:val="24"/>
          <w:szCs w:val="24"/>
          <w:shd w:val="clear" w:color="auto" w:fill="FFFFFF"/>
        </w:rPr>
        <w:t xml:space="preserve">, 8(E), 2020, 353-362. </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rPr>
        <w:t xml:space="preserve">Banerjee R., Maruta A., &amp; Donato R. </w:t>
      </w:r>
      <w:r>
        <w:rPr>
          <w:rFonts w:ascii="Times New Roman" w:hAnsi="Times New Roman" w:eastAsia="Calibri"/>
          <w:i/>
          <w:iCs/>
          <w:sz w:val="24"/>
          <w:szCs w:val="24"/>
        </w:rPr>
        <w:t xml:space="preserve">“Does higher financial inclusion lead to better health outcomes? evidence from developing and transitional economies.” </w:t>
      </w:r>
      <w:r>
        <w:rPr>
          <w:rFonts w:ascii="Times New Roman" w:hAnsi="Times New Roman" w:eastAsia="Calibri"/>
          <w:b/>
          <w:bCs/>
          <w:sz w:val="24"/>
          <w:szCs w:val="24"/>
        </w:rPr>
        <w:t>Economics of Transition and Institutional Change</w:t>
      </w:r>
      <w:r>
        <w:rPr>
          <w:rFonts w:ascii="Times New Roman" w:hAnsi="Times New Roman" w:eastAsia="Calibri"/>
          <w:sz w:val="24"/>
          <w:szCs w:val="24"/>
        </w:rPr>
        <w:t xml:space="preserve">, 31(2), 2022, 363-401. </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Björn H., &amp;Menkveld A. J. </w:t>
      </w:r>
      <w:r>
        <w:rPr>
          <w:rFonts w:ascii="Times New Roman" w:hAnsi="Times New Roman" w:eastAsia="Calibri"/>
          <w:i/>
          <w:iCs/>
          <w:sz w:val="24"/>
          <w:szCs w:val="24"/>
          <w:shd w:val="clear" w:color="auto" w:fill="FFFFFF"/>
        </w:rPr>
        <w:t>"Information revelation in decentralized markets."</w:t>
      </w:r>
      <w:r>
        <w:rPr>
          <w:rFonts w:ascii="Times New Roman" w:hAnsi="Times New Roman" w:eastAsia="Calibri"/>
          <w:b/>
          <w:bCs/>
          <w:sz w:val="24"/>
          <w:szCs w:val="24"/>
          <w:shd w:val="clear" w:color="auto" w:fill="FFFFFF"/>
        </w:rPr>
        <w:t>The Journal of Finance,</w:t>
      </w:r>
      <w:r>
        <w:rPr>
          <w:rFonts w:ascii="Times New Roman" w:hAnsi="Times New Roman" w:eastAsia="Calibri"/>
          <w:sz w:val="24"/>
          <w:szCs w:val="24"/>
          <w:shd w:val="clear" w:color="auto" w:fill="FFFFFF"/>
        </w:rPr>
        <w:t xml:space="preserve"> 74(6), 2019, 2751-2787.</w:t>
      </w:r>
    </w:p>
    <w:p>
      <w:pPr>
        <w:pStyle w:val="14"/>
        <w:spacing w:after="200"/>
        <w:ind w:left="398" w:hanging="398" w:hangingChars="166"/>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rPr>
        <w:t>Chireshe J., &amp;  Matthew K. O.</w:t>
      </w:r>
      <w:r>
        <w:rPr>
          <w:rFonts w:ascii="Times New Roman" w:hAnsi="Times New Roman" w:eastAsia="Calibri"/>
          <w:i/>
          <w:iCs/>
          <w:sz w:val="24"/>
          <w:szCs w:val="24"/>
          <w:shd w:val="clear" w:color="auto" w:fill="FFFFFF"/>
        </w:rPr>
        <w:t xml:space="preserve"> "Health care expenditure and health outcomes in sub‐Saharan African countries."</w:t>
      </w:r>
      <w:r>
        <w:rPr>
          <w:rFonts w:ascii="Times New Roman" w:hAnsi="Times New Roman" w:eastAsia="Calibri"/>
          <w:b/>
          <w:bCs/>
          <w:sz w:val="24"/>
          <w:szCs w:val="24"/>
          <w:shd w:val="clear" w:color="auto" w:fill="FFFFFF"/>
        </w:rPr>
        <w:t>African Development Review,</w:t>
      </w:r>
      <w:r>
        <w:rPr>
          <w:rFonts w:ascii="Times New Roman" w:hAnsi="Times New Roman" w:eastAsia="Calibri"/>
          <w:sz w:val="24"/>
          <w:szCs w:val="24"/>
          <w:shd w:val="clear" w:color="auto" w:fill="FFFFFF"/>
        </w:rPr>
        <w:t xml:space="preserve"> 32(3), 2020, 349-361.</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rPr>
        <w:t xml:space="preserve">Chireshe J., &amp; Ocran M. </w:t>
      </w:r>
      <w:r>
        <w:rPr>
          <w:rFonts w:ascii="Times New Roman" w:hAnsi="Times New Roman" w:eastAsia="Calibri"/>
          <w:i/>
          <w:iCs/>
          <w:sz w:val="24"/>
          <w:szCs w:val="24"/>
        </w:rPr>
        <w:t>“Financial development and health care expenditure in sub saharanafrica countries”.</w:t>
      </w:r>
      <w:r>
        <w:rPr>
          <w:rFonts w:ascii="Times New Roman" w:hAnsi="Times New Roman" w:eastAsia="Calibri"/>
          <w:b/>
          <w:bCs/>
          <w:sz w:val="24"/>
          <w:szCs w:val="24"/>
        </w:rPr>
        <w:t>Cogent Economics &amp; Finance</w:t>
      </w:r>
      <w:r>
        <w:rPr>
          <w:rFonts w:ascii="Times New Roman" w:hAnsi="Times New Roman" w:eastAsia="Calibri"/>
          <w:sz w:val="24"/>
          <w:szCs w:val="24"/>
        </w:rPr>
        <w:t>, 8(1), 2020, 1771878. https://doi.org/10.1080/23322039.2020.1771878</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Demirgüç-Kunt A., &amp; Huizinga H. </w:t>
      </w:r>
      <w:r>
        <w:rPr>
          <w:rFonts w:ascii="Times New Roman" w:hAnsi="Times New Roman" w:eastAsia="Calibri"/>
          <w:i/>
          <w:iCs/>
          <w:sz w:val="24"/>
          <w:szCs w:val="24"/>
          <w:shd w:val="clear" w:color="auto" w:fill="FFFFFF"/>
        </w:rPr>
        <w:t>"Bank activity and funding strategies: The impact on risk and returns."J</w:t>
      </w:r>
      <w:r>
        <w:rPr>
          <w:rFonts w:ascii="Times New Roman" w:hAnsi="Times New Roman" w:eastAsia="Calibri"/>
          <w:b/>
          <w:bCs/>
          <w:sz w:val="24"/>
          <w:szCs w:val="24"/>
          <w:shd w:val="clear" w:color="auto" w:fill="FFFFFF"/>
        </w:rPr>
        <w:t>ournal of Financial economics,</w:t>
      </w:r>
      <w:r>
        <w:rPr>
          <w:rFonts w:ascii="Times New Roman" w:hAnsi="Times New Roman" w:eastAsia="Calibri"/>
          <w:sz w:val="24"/>
          <w:szCs w:val="24"/>
          <w:shd w:val="clear" w:color="auto" w:fill="FFFFFF"/>
        </w:rPr>
        <w:t xml:space="preserve"> 98(3), 2010, 626-650.</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Didier T., et al. </w:t>
      </w:r>
      <w:r>
        <w:rPr>
          <w:rFonts w:ascii="Times New Roman" w:hAnsi="Times New Roman" w:eastAsia="Calibri"/>
          <w:i/>
          <w:iCs/>
          <w:sz w:val="24"/>
          <w:szCs w:val="24"/>
          <w:shd w:val="clear" w:color="auto" w:fill="FFFFFF"/>
        </w:rPr>
        <w:t>"Financing firms in hibernation during the COVID-19 pandemic."</w:t>
      </w:r>
      <w:r>
        <w:rPr>
          <w:rFonts w:ascii="Times New Roman" w:hAnsi="Times New Roman" w:eastAsia="Calibri"/>
          <w:b/>
          <w:bCs/>
          <w:sz w:val="24"/>
          <w:szCs w:val="24"/>
          <w:shd w:val="clear" w:color="auto" w:fill="FFFFFF"/>
        </w:rPr>
        <w:t>Journal of Financial Stability,</w:t>
      </w:r>
      <w:r>
        <w:rPr>
          <w:rFonts w:ascii="Times New Roman" w:hAnsi="Times New Roman" w:eastAsia="Calibri"/>
          <w:sz w:val="24"/>
          <w:szCs w:val="24"/>
          <w:shd w:val="clear" w:color="auto" w:fill="FFFFFF"/>
        </w:rPr>
        <w:t xml:space="preserve"> 53 2021, 100837.</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Dmirgüç-Kunt A., &amp; Leora F. K. </w:t>
      </w:r>
      <w:r>
        <w:rPr>
          <w:rFonts w:ascii="Times New Roman" w:hAnsi="Times New Roman" w:eastAsia="Calibri"/>
          <w:i/>
          <w:iCs/>
          <w:sz w:val="24"/>
          <w:szCs w:val="24"/>
          <w:shd w:val="clear" w:color="auto" w:fill="FFFFFF"/>
        </w:rPr>
        <w:t>"Measuring financial inclusion: The global findex database."</w:t>
      </w:r>
      <w:r>
        <w:rPr>
          <w:rFonts w:ascii="Times New Roman" w:hAnsi="Times New Roman" w:eastAsia="Calibri"/>
          <w:b/>
          <w:bCs/>
          <w:i/>
          <w:iCs/>
          <w:sz w:val="24"/>
          <w:szCs w:val="24"/>
          <w:shd w:val="clear" w:color="auto" w:fill="FFFFFF"/>
        </w:rPr>
        <w:t>World bank policy research working paper,</w:t>
      </w:r>
      <w:r>
        <w:rPr>
          <w:rFonts w:ascii="Times New Roman" w:hAnsi="Times New Roman" w:eastAsia="Calibri"/>
          <w:sz w:val="24"/>
          <w:szCs w:val="24"/>
          <w:shd w:val="clear" w:color="auto" w:fill="FFFFFF"/>
        </w:rPr>
        <w:t xml:space="preserve"> 6025, 2012.</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rPr>
        <w:t>Drebentsov V., Bergsman J., &amp; Broadman H. G..</w:t>
      </w:r>
      <w:r>
        <w:rPr>
          <w:rFonts w:ascii="Times New Roman" w:hAnsi="Times New Roman" w:eastAsia="Calibri"/>
          <w:i/>
          <w:iCs/>
          <w:sz w:val="24"/>
          <w:szCs w:val="24"/>
        </w:rPr>
        <w:t>"Finance and Growth: Schumpeter Might Be Right." </w:t>
      </w:r>
      <w:r>
        <w:rPr>
          <w:rFonts w:ascii="Times New Roman" w:hAnsi="Times New Roman" w:eastAsia="Calibri"/>
          <w:b/>
          <w:bCs/>
          <w:sz w:val="24"/>
          <w:szCs w:val="24"/>
        </w:rPr>
        <w:t>World Bank Policy Research Working Paper,</w:t>
      </w:r>
      <w:r>
        <w:rPr>
          <w:rFonts w:ascii="Times New Roman" w:hAnsi="Times New Roman" w:eastAsia="Calibri"/>
          <w:sz w:val="24"/>
          <w:szCs w:val="24"/>
        </w:rPr>
        <w:t> 1083, 1993.</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rPr>
        <w:t xml:space="preserve">Eboh I., Aduku E., &amp;Onwughalu U. </w:t>
      </w:r>
      <w:r>
        <w:rPr>
          <w:rFonts w:ascii="Times New Roman" w:hAnsi="Times New Roman" w:eastAsia="Calibri"/>
          <w:i/>
          <w:iCs/>
          <w:sz w:val="24"/>
          <w:szCs w:val="24"/>
        </w:rPr>
        <w:t>“Health expenditure, child mortality and economic growth in Nigeria.”</w:t>
      </w:r>
      <w:r>
        <w:rPr>
          <w:rFonts w:ascii="Times New Roman" w:hAnsi="Times New Roman" w:eastAsia="Calibri"/>
          <w:b/>
          <w:bCs/>
          <w:sz w:val="24"/>
          <w:szCs w:val="24"/>
        </w:rPr>
        <w:t>International Journal of Economics Development Research (Ijedr)</w:t>
      </w:r>
      <w:r>
        <w:rPr>
          <w:rFonts w:ascii="Times New Roman" w:hAnsi="Times New Roman" w:eastAsia="Calibri"/>
          <w:sz w:val="24"/>
          <w:szCs w:val="24"/>
        </w:rPr>
        <w:t xml:space="preserve">, 3(3), 2022, 198-216. </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rPr>
        <w:t xml:space="preserve">Gitobu C. M., Gichangi P. B.,&amp;Mwanda W. O. </w:t>
      </w:r>
      <w:r>
        <w:rPr>
          <w:rFonts w:ascii="Times New Roman" w:hAnsi="Times New Roman" w:eastAsia="Calibri"/>
          <w:i/>
          <w:iCs/>
          <w:sz w:val="24"/>
          <w:szCs w:val="24"/>
        </w:rPr>
        <w:t>“Satisfaction with delivery services offered under the free maternal healthcare policy in Kenyan public health facilities.”</w:t>
      </w:r>
      <w:r>
        <w:rPr>
          <w:rFonts w:ascii="Times New Roman" w:hAnsi="Times New Roman" w:eastAsia="Calibri"/>
          <w:b/>
          <w:bCs/>
          <w:sz w:val="24"/>
          <w:szCs w:val="24"/>
        </w:rPr>
        <w:t xml:space="preserve">Journal of environmental and public health, </w:t>
      </w:r>
      <w:r>
        <w:rPr>
          <w:rFonts w:ascii="Times New Roman" w:hAnsi="Times New Roman" w:eastAsia="Calibri"/>
          <w:sz w:val="24"/>
          <w:szCs w:val="24"/>
        </w:rPr>
        <w:t>2018.</w:t>
      </w:r>
    </w:p>
    <w:p>
      <w:pPr>
        <w:pStyle w:val="14"/>
        <w:spacing w:after="200"/>
        <w:ind w:left="398" w:hanging="398" w:hangingChars="166"/>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rPr>
        <w:t>Guoxin S., Wang D., &amp; Altuntaş M..</w:t>
      </w:r>
      <w:r>
        <w:rPr>
          <w:rFonts w:ascii="Times New Roman" w:hAnsi="Times New Roman" w:eastAsia="Calibri"/>
          <w:i/>
          <w:iCs/>
          <w:sz w:val="24"/>
          <w:szCs w:val="24"/>
          <w:shd w:val="clear" w:color="auto" w:fill="FFFFFF"/>
        </w:rPr>
        <w:t>"Financial Development and Health Outcomes: Do Financial Globalization Matter in Selected Asian Economies?."</w:t>
      </w:r>
      <w:r>
        <w:rPr>
          <w:rFonts w:ascii="Times New Roman" w:hAnsi="Times New Roman" w:eastAsia="Calibri"/>
          <w:b/>
          <w:bCs/>
          <w:sz w:val="24"/>
          <w:szCs w:val="24"/>
          <w:shd w:val="clear" w:color="auto" w:fill="FFFFFF"/>
        </w:rPr>
        <w:t>Frontiers in Public Health</w:t>
      </w:r>
      <w:r>
        <w:rPr>
          <w:rFonts w:ascii="Times New Roman" w:hAnsi="Times New Roman" w:eastAsia="Calibri"/>
          <w:sz w:val="24"/>
          <w:szCs w:val="24"/>
          <w:shd w:val="clear" w:color="auto" w:fill="FFFFFF"/>
        </w:rPr>
        <w:t xml:space="preserve"> 10, 2022, 106.</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rPr>
        <w:t xml:space="preserve">Gurley G. J., &amp; Shaw E. S. </w:t>
      </w:r>
      <w:r>
        <w:rPr>
          <w:rFonts w:ascii="Times New Roman" w:hAnsi="Times New Roman" w:eastAsia="Calibri"/>
          <w:i/>
          <w:iCs/>
          <w:sz w:val="24"/>
          <w:szCs w:val="24"/>
        </w:rPr>
        <w:t>“Financial Structure and Economic Development Economic Development and Cultural Change.”</w:t>
      </w:r>
      <w:r>
        <w:rPr>
          <w:rFonts w:ascii="Times New Roman" w:hAnsi="Times New Roman" w:eastAsia="Calibri"/>
          <w:b/>
          <w:bCs/>
          <w:sz w:val="24"/>
          <w:szCs w:val="24"/>
        </w:rPr>
        <w:t>The University of Chicago Press</w:t>
      </w:r>
      <w:r>
        <w:rPr>
          <w:rFonts w:ascii="Times New Roman" w:hAnsi="Times New Roman" w:eastAsia="Calibri"/>
          <w:sz w:val="24"/>
          <w:szCs w:val="24"/>
        </w:rPr>
        <w:t>, 15(3), 1967, 257.</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Hao S., et al. </w:t>
      </w:r>
      <w:r>
        <w:rPr>
          <w:rFonts w:ascii="Times New Roman" w:hAnsi="Times New Roman" w:eastAsia="Calibri"/>
          <w:i/>
          <w:iCs/>
          <w:sz w:val="24"/>
          <w:szCs w:val="24"/>
          <w:shd w:val="clear" w:color="auto" w:fill="FFFFFF"/>
        </w:rPr>
        <w:t>"Effects of remittances on life expectancy and under-five mortality in sub-Saharan Africa: Evidence using Generalized Method of Moments analysis."</w:t>
      </w:r>
      <w:r>
        <w:rPr>
          <w:rFonts w:ascii="Times New Roman" w:hAnsi="Times New Roman" w:eastAsia="Calibri"/>
          <w:sz w:val="24"/>
          <w:szCs w:val="24"/>
          <w:shd w:val="clear" w:color="auto" w:fill="FFFFFF"/>
        </w:rPr>
        <w:t> </w:t>
      </w:r>
      <w:r>
        <w:rPr>
          <w:rFonts w:ascii="Times New Roman" w:hAnsi="Times New Roman" w:eastAsia="Calibri"/>
          <w:b/>
          <w:bCs/>
          <w:sz w:val="24"/>
          <w:szCs w:val="24"/>
          <w:shd w:val="clear" w:color="auto" w:fill="FFFFFF"/>
        </w:rPr>
        <w:t>African Journal of Reproductive Health,</w:t>
      </w:r>
      <w:r>
        <w:rPr>
          <w:rFonts w:ascii="Times New Roman" w:hAnsi="Times New Roman" w:eastAsia="Calibri"/>
          <w:sz w:val="24"/>
          <w:szCs w:val="24"/>
          <w:shd w:val="clear" w:color="auto" w:fill="FFFFFF"/>
        </w:rPr>
        <w:t> 27(10), 2023.</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Iuliana M. </w:t>
      </w:r>
      <w:r>
        <w:rPr>
          <w:rFonts w:ascii="Times New Roman" w:hAnsi="Times New Roman" w:eastAsia="Calibri"/>
          <w:i/>
          <w:iCs/>
          <w:sz w:val="24"/>
          <w:szCs w:val="24"/>
          <w:shd w:val="clear" w:color="auto" w:fill="FFFFFF"/>
        </w:rPr>
        <w:t>"Is financial development good for economic growth? Empirical insights from emerging European countries."</w:t>
      </w:r>
      <w:r>
        <w:rPr>
          <w:rFonts w:ascii="Times New Roman" w:hAnsi="Times New Roman" w:eastAsia="Calibri"/>
          <w:b/>
          <w:bCs/>
          <w:i/>
          <w:iCs/>
          <w:sz w:val="24"/>
          <w:szCs w:val="24"/>
          <w:shd w:val="clear" w:color="auto" w:fill="FFFFFF"/>
        </w:rPr>
        <w:t>Quant. Financ. Econ,</w:t>
      </w:r>
      <w:r>
        <w:rPr>
          <w:rFonts w:ascii="Times New Roman" w:hAnsi="Times New Roman" w:eastAsia="Calibri"/>
          <w:sz w:val="24"/>
          <w:szCs w:val="24"/>
          <w:shd w:val="clear" w:color="auto" w:fill="FFFFFF"/>
        </w:rPr>
        <w:t xml:space="preserve"> 4, 2020, 653-678.</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rPr>
        <w:t>Kabia, et al.</w:t>
      </w:r>
      <w:r>
        <w:rPr>
          <w:rFonts w:ascii="Times New Roman" w:hAnsi="Times New Roman" w:eastAsia="Calibri"/>
          <w:i/>
          <w:iCs/>
          <w:sz w:val="24"/>
          <w:szCs w:val="24"/>
        </w:rPr>
        <w:t xml:space="preserve"> "“We are called the et cetera”: experiences of the poor with health financing reforms that target them in Kenya."</w:t>
      </w:r>
      <w:r>
        <w:rPr>
          <w:rFonts w:ascii="Times New Roman" w:hAnsi="Times New Roman" w:eastAsia="Calibri"/>
          <w:sz w:val="24"/>
          <w:szCs w:val="24"/>
        </w:rPr>
        <w:t> </w:t>
      </w:r>
      <w:r>
        <w:rPr>
          <w:rFonts w:ascii="Times New Roman" w:hAnsi="Times New Roman" w:eastAsia="Calibri"/>
          <w:b/>
          <w:bCs/>
          <w:sz w:val="24"/>
          <w:szCs w:val="24"/>
        </w:rPr>
        <w:t>International journal for equity in health,</w:t>
      </w:r>
      <w:r>
        <w:rPr>
          <w:rFonts w:ascii="Times New Roman" w:hAnsi="Times New Roman" w:eastAsia="Calibri"/>
          <w:sz w:val="24"/>
          <w:szCs w:val="24"/>
        </w:rPr>
        <w:t> 18, 2019, 1-14.</w:t>
      </w:r>
    </w:p>
    <w:p>
      <w:pPr>
        <w:pStyle w:val="14"/>
        <w:spacing w:after="200"/>
        <w:ind w:left="398" w:hanging="398" w:hangingChars="166"/>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rPr>
        <w:t xml:space="preserve">Kehinde A. E., &amp; Akintunde T. S. </w:t>
      </w:r>
      <w:r>
        <w:rPr>
          <w:rFonts w:ascii="Times New Roman" w:hAnsi="Times New Roman" w:eastAsia="Calibri"/>
          <w:i/>
          <w:iCs/>
          <w:sz w:val="24"/>
          <w:szCs w:val="24"/>
          <w:shd w:val="clear" w:color="auto" w:fill="FFFFFF"/>
        </w:rPr>
        <w:t>"The Impact Of Health Shocks On Poverty Level In Nigeria."</w:t>
      </w:r>
      <w:r>
        <w:rPr>
          <w:rFonts w:ascii="Times New Roman" w:hAnsi="Times New Roman" w:eastAsia="Calibri"/>
          <w:b/>
          <w:bCs/>
          <w:sz w:val="24"/>
          <w:szCs w:val="24"/>
          <w:shd w:val="clear" w:color="auto" w:fill="FFFFFF"/>
        </w:rPr>
        <w:t>Journal of Economics and Allied Research,</w:t>
      </w:r>
      <w:r>
        <w:rPr>
          <w:rFonts w:ascii="Times New Roman" w:hAnsi="Times New Roman" w:eastAsia="Calibri"/>
          <w:sz w:val="24"/>
          <w:szCs w:val="24"/>
          <w:shd w:val="clear" w:color="auto" w:fill="FFFFFF"/>
        </w:rPr>
        <w:t xml:space="preserve"> 4(4), 2020, 98-110.</w:t>
      </w:r>
    </w:p>
    <w:p>
      <w:pPr>
        <w:pStyle w:val="14"/>
        <w:spacing w:after="200"/>
        <w:ind w:left="398" w:hanging="398" w:hangingChars="166"/>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rPr>
        <w:t>Khan I., Rehman A., &amp; Khan S. “</w:t>
      </w:r>
      <w:r>
        <w:rPr>
          <w:rFonts w:ascii="Times New Roman" w:hAnsi="Times New Roman" w:eastAsia="Calibri"/>
          <w:i/>
          <w:iCs/>
          <w:sz w:val="24"/>
          <w:szCs w:val="24"/>
          <w:shd w:val="clear" w:color="auto" w:fill="FFFFFF"/>
        </w:rPr>
        <w:t>Financial development and economic growth an advanced econometric modeling approach.”</w:t>
      </w:r>
      <w:r>
        <w:rPr>
          <w:rFonts w:ascii="Times New Roman" w:hAnsi="Times New Roman" w:eastAsia="Calibri"/>
          <w:b/>
          <w:bCs/>
          <w:sz w:val="24"/>
          <w:szCs w:val="24"/>
          <w:shd w:val="clear" w:color="auto" w:fill="FFFFFF"/>
        </w:rPr>
        <w:t>Global Economics review</w:t>
      </w:r>
      <w:r>
        <w:rPr>
          <w:rFonts w:ascii="Times New Roman" w:hAnsi="Times New Roman" w:eastAsia="Calibri"/>
          <w:sz w:val="24"/>
          <w:szCs w:val="24"/>
          <w:shd w:val="clear" w:color="auto" w:fill="FFFFFF"/>
        </w:rPr>
        <w:t>, 6(2), 2021, 160-172.</w:t>
      </w:r>
    </w:p>
    <w:p>
      <w:pPr>
        <w:pStyle w:val="14"/>
        <w:spacing w:after="200"/>
        <w:ind w:left="398" w:hanging="398" w:hangingChars="166"/>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rPr>
        <w:t xml:space="preserve">Levine A., Howitt P., &amp; Levine R. </w:t>
      </w:r>
      <w:r>
        <w:rPr>
          <w:rFonts w:ascii="Times New Roman" w:hAnsi="Times New Roman" w:eastAsia="Calibri"/>
          <w:i/>
          <w:iCs/>
          <w:sz w:val="24"/>
          <w:szCs w:val="24"/>
          <w:shd w:val="clear" w:color="auto" w:fill="FFFFFF"/>
        </w:rPr>
        <w:t>"Financial development and innovation-led growth."</w:t>
      </w:r>
      <w:r>
        <w:rPr>
          <w:rFonts w:ascii="Times New Roman" w:hAnsi="Times New Roman" w:eastAsia="Calibri"/>
          <w:b/>
          <w:bCs/>
          <w:sz w:val="24"/>
          <w:szCs w:val="24"/>
          <w:shd w:val="clear" w:color="auto" w:fill="FFFFFF"/>
        </w:rPr>
        <w:t>Handbook of finance and development.</w:t>
      </w:r>
      <w:r>
        <w:rPr>
          <w:rFonts w:ascii="Times New Roman" w:hAnsi="Times New Roman" w:eastAsia="Calibri"/>
          <w:sz w:val="24"/>
          <w:szCs w:val="24"/>
          <w:shd w:val="clear" w:color="auto" w:fill="FFFFFF"/>
        </w:rPr>
        <w:t xml:space="preserve"> Edward Elgar Publishing, 2018, 3-30.</w:t>
      </w:r>
    </w:p>
    <w:p>
      <w:pPr>
        <w:pStyle w:val="14"/>
        <w:spacing w:after="200"/>
        <w:ind w:left="398" w:hanging="398" w:hangingChars="166"/>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rPr>
        <w:t xml:space="preserve">Levine D. I., &amp; Rothman D. </w:t>
      </w:r>
      <w:r>
        <w:rPr>
          <w:rFonts w:ascii="Times New Roman" w:hAnsi="Times New Roman" w:eastAsia="Calibri"/>
          <w:i/>
          <w:iCs/>
          <w:sz w:val="24"/>
          <w:szCs w:val="24"/>
          <w:shd w:val="clear" w:color="auto" w:fill="FFFFFF"/>
        </w:rPr>
        <w:t>"Does trade affect child health?."</w:t>
      </w:r>
      <w:r>
        <w:rPr>
          <w:rFonts w:ascii="Times New Roman" w:hAnsi="Times New Roman" w:eastAsia="Calibri"/>
          <w:b/>
          <w:bCs/>
          <w:sz w:val="24"/>
          <w:szCs w:val="24"/>
          <w:shd w:val="clear" w:color="auto" w:fill="FFFFFF"/>
        </w:rPr>
        <w:t>Journal of health Economics,</w:t>
      </w:r>
      <w:r>
        <w:rPr>
          <w:rFonts w:ascii="Times New Roman" w:hAnsi="Times New Roman" w:eastAsia="Calibri"/>
          <w:sz w:val="24"/>
          <w:szCs w:val="24"/>
          <w:shd w:val="clear" w:color="auto" w:fill="FFFFFF"/>
        </w:rPr>
        <w:t xml:space="preserve"> 25(3), 2006, 538-554.</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Levine R..</w:t>
      </w:r>
      <w:r>
        <w:rPr>
          <w:rFonts w:ascii="Times New Roman" w:hAnsi="Times New Roman" w:eastAsia="Calibri"/>
          <w:i/>
          <w:iCs/>
          <w:sz w:val="24"/>
          <w:szCs w:val="24"/>
          <w:shd w:val="clear" w:color="auto" w:fill="FFFFFF"/>
        </w:rPr>
        <w:t>“Financial development and economic growth: views and agenda.”</w:t>
      </w:r>
      <w:r>
        <w:rPr>
          <w:rFonts w:ascii="Times New Roman" w:hAnsi="Times New Roman" w:eastAsia="Calibri"/>
          <w:b/>
          <w:bCs/>
          <w:sz w:val="24"/>
          <w:szCs w:val="24"/>
          <w:shd w:val="clear" w:color="auto" w:fill="FFFFFF"/>
        </w:rPr>
        <w:t>Journal of economic literature</w:t>
      </w:r>
      <w:r>
        <w:rPr>
          <w:rFonts w:ascii="Times New Roman" w:hAnsi="Times New Roman" w:eastAsia="Calibri"/>
          <w:sz w:val="24"/>
          <w:szCs w:val="24"/>
          <w:shd w:val="clear" w:color="auto" w:fill="FFFFFF"/>
        </w:rPr>
        <w:t>, 35(2), 1997, 688-726.</w:t>
      </w:r>
    </w:p>
    <w:p>
      <w:pPr>
        <w:pStyle w:val="14"/>
        <w:spacing w:after="200"/>
        <w:ind w:left="398" w:hanging="398" w:hangingChars="166"/>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rPr>
        <w:t xml:space="preserve">Lyu S., et al. </w:t>
      </w:r>
      <w:r>
        <w:rPr>
          <w:rFonts w:ascii="Times New Roman" w:hAnsi="Times New Roman" w:eastAsia="Calibri"/>
          <w:i/>
          <w:iCs/>
          <w:sz w:val="24"/>
          <w:szCs w:val="24"/>
          <w:shd w:val="clear" w:color="auto" w:fill="FFFFFF"/>
        </w:rPr>
        <w:t>"One pandemic, two solutions: comparing the US-China response and health priorities to COVID-19 from the perspective of “Two Types of Control”."</w:t>
      </w:r>
      <w:r>
        <w:rPr>
          <w:rFonts w:ascii="Times New Roman" w:hAnsi="Times New Roman" w:eastAsia="Calibri"/>
          <w:sz w:val="24"/>
          <w:szCs w:val="24"/>
          <w:shd w:val="clear" w:color="auto" w:fill="FFFFFF"/>
        </w:rPr>
        <w:t> </w:t>
      </w:r>
      <w:r>
        <w:rPr>
          <w:rFonts w:ascii="Times New Roman" w:hAnsi="Times New Roman" w:eastAsia="Calibri"/>
          <w:b/>
          <w:bCs/>
          <w:sz w:val="24"/>
          <w:szCs w:val="24"/>
          <w:shd w:val="clear" w:color="auto" w:fill="FFFFFF"/>
        </w:rPr>
        <w:t>Healthcare,</w:t>
      </w:r>
      <w:r>
        <w:rPr>
          <w:rFonts w:ascii="Times New Roman" w:hAnsi="Times New Roman" w:eastAsia="Calibri"/>
          <w:sz w:val="24"/>
          <w:szCs w:val="24"/>
          <w:shd w:val="clear" w:color="auto" w:fill="FFFFFF"/>
        </w:rPr>
        <w:t xml:space="preserve"> 11(13), 2023.</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Michou M., Panagiotakos D. B., &amp;Costarelli V. </w:t>
      </w:r>
      <w:r>
        <w:rPr>
          <w:rFonts w:ascii="Times New Roman" w:hAnsi="Times New Roman" w:eastAsia="Calibri"/>
          <w:i/>
          <w:iCs/>
          <w:sz w:val="24"/>
          <w:szCs w:val="24"/>
          <w:shd w:val="clear" w:color="auto" w:fill="FFFFFF"/>
        </w:rPr>
        <w:t>"Low health literacy and excess body weight: A systematic review." </w:t>
      </w:r>
      <w:r>
        <w:rPr>
          <w:rFonts w:ascii="Times New Roman" w:hAnsi="Times New Roman" w:eastAsia="Calibri"/>
          <w:b/>
          <w:bCs/>
          <w:sz w:val="24"/>
          <w:szCs w:val="24"/>
          <w:shd w:val="clear" w:color="auto" w:fill="FFFFFF"/>
        </w:rPr>
        <w:t>Central European journal of public health,</w:t>
      </w:r>
      <w:r>
        <w:rPr>
          <w:rFonts w:ascii="Times New Roman" w:hAnsi="Times New Roman" w:eastAsia="Calibri"/>
          <w:sz w:val="24"/>
          <w:szCs w:val="24"/>
          <w:shd w:val="clear" w:color="auto" w:fill="FFFFFF"/>
        </w:rPr>
        <w:t> 26(3), 2018, 234-241</w:t>
      </w:r>
      <w:r>
        <w:rPr>
          <w:rFonts w:ascii="Times New Roman" w:hAnsi="Times New Roman" w:eastAsia="Calibri"/>
          <w:sz w:val="24"/>
          <w:szCs w:val="24"/>
          <w:shd w:val="clear" w:color="auto" w:fill="FFFFFF"/>
          <w:vertAlign w:val="superscript"/>
        </w:rPr>
        <w:t>.</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Mobolaji H., &amp;Oluitan O. </w:t>
      </w:r>
      <w:r>
        <w:rPr>
          <w:rFonts w:ascii="Times New Roman" w:hAnsi="Times New Roman" w:eastAsia="Calibri"/>
          <w:i/>
          <w:iCs/>
          <w:sz w:val="24"/>
          <w:szCs w:val="24"/>
          <w:shd w:val="clear" w:color="auto" w:fill="FFFFFF"/>
        </w:rPr>
        <w:t>"Financial development and human capital in South Africa: a time-series approach."</w:t>
      </w:r>
      <w:r>
        <w:rPr>
          <w:rFonts w:ascii="Times New Roman" w:hAnsi="Times New Roman" w:eastAsia="Calibri"/>
          <w:b/>
          <w:bCs/>
          <w:sz w:val="24"/>
          <w:szCs w:val="24"/>
          <w:shd w:val="clear" w:color="auto" w:fill="FFFFFF"/>
        </w:rPr>
        <w:t>Research in Applied Economics,</w:t>
      </w:r>
      <w:r>
        <w:rPr>
          <w:rFonts w:ascii="Times New Roman" w:hAnsi="Times New Roman" w:eastAsia="Calibri"/>
          <w:sz w:val="24"/>
          <w:szCs w:val="24"/>
          <w:shd w:val="clear" w:color="auto" w:fill="FFFFFF"/>
        </w:rPr>
        <w:t xml:space="preserve"> 4(3), 2012, 18.</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Nasreen S., et, al. </w:t>
      </w:r>
      <w:r>
        <w:rPr>
          <w:rFonts w:ascii="Times New Roman" w:hAnsi="Times New Roman" w:eastAsia="Calibri"/>
          <w:i/>
          <w:iCs/>
          <w:sz w:val="24"/>
          <w:szCs w:val="24"/>
          <w:shd w:val="clear" w:color="auto" w:fill="FFFFFF"/>
        </w:rPr>
        <w:t xml:space="preserve"> “How do financial globalization, institutions and economic growth impact financial sector development in europeancountries?.”</w:t>
      </w:r>
      <w:r>
        <w:rPr>
          <w:rFonts w:ascii="Times New Roman" w:hAnsi="Times New Roman" w:eastAsia="Calibri"/>
          <w:b/>
          <w:bCs/>
          <w:sz w:val="24"/>
          <w:szCs w:val="24"/>
          <w:shd w:val="clear" w:color="auto" w:fill="FFFFFF"/>
        </w:rPr>
        <w:t>Research in International Business and Finance,</w:t>
      </w:r>
      <w:r>
        <w:rPr>
          <w:rFonts w:ascii="Times New Roman" w:hAnsi="Times New Roman" w:eastAsia="Calibri"/>
          <w:sz w:val="24"/>
          <w:szCs w:val="24"/>
          <w:shd w:val="clear" w:color="auto" w:fill="FFFFFF"/>
        </w:rPr>
        <w:t xml:space="preserve"> 54, 2020, 101247. </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Nicholas L., et al. </w:t>
      </w:r>
      <w:r>
        <w:rPr>
          <w:rFonts w:ascii="Times New Roman" w:hAnsi="Times New Roman" w:eastAsia="Calibri"/>
          <w:i/>
          <w:iCs/>
          <w:sz w:val="24"/>
          <w:szCs w:val="24"/>
          <w:shd w:val="clear" w:color="auto" w:fill="FFFFFF"/>
        </w:rPr>
        <w:t>"An overview of systematic reviews on the public health consequences of social isolation and loneliness."</w:t>
      </w:r>
      <w:r>
        <w:rPr>
          <w:rFonts w:ascii="Times New Roman" w:hAnsi="Times New Roman" w:eastAsia="Calibri"/>
          <w:b/>
          <w:bCs/>
          <w:sz w:val="24"/>
          <w:szCs w:val="24"/>
          <w:shd w:val="clear" w:color="auto" w:fill="FFFFFF"/>
        </w:rPr>
        <w:t>Public health,</w:t>
      </w:r>
      <w:r>
        <w:rPr>
          <w:rFonts w:ascii="Times New Roman" w:hAnsi="Times New Roman" w:eastAsia="Calibri"/>
          <w:sz w:val="24"/>
          <w:szCs w:val="24"/>
          <w:shd w:val="clear" w:color="auto" w:fill="FFFFFF"/>
        </w:rPr>
        <w:t xml:space="preserve"> 152, 2017, 157-171.</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Nutbeam D.,  McGill B., &amp;  Premkumar P.</w:t>
      </w:r>
      <w:r>
        <w:rPr>
          <w:rFonts w:ascii="Times New Roman" w:hAnsi="Times New Roman" w:eastAsia="Calibri"/>
          <w:i/>
          <w:iCs/>
          <w:sz w:val="24"/>
          <w:szCs w:val="24"/>
          <w:shd w:val="clear" w:color="auto" w:fill="FFFFFF"/>
        </w:rPr>
        <w:t xml:space="preserve"> "Improving health literacy in community populations: a review of progress." </w:t>
      </w:r>
      <w:r>
        <w:rPr>
          <w:rFonts w:ascii="Times New Roman" w:hAnsi="Times New Roman" w:eastAsia="Calibri"/>
          <w:b/>
          <w:bCs/>
          <w:sz w:val="24"/>
          <w:szCs w:val="24"/>
          <w:shd w:val="clear" w:color="auto" w:fill="FFFFFF"/>
        </w:rPr>
        <w:t>Health promotion international,</w:t>
      </w:r>
      <w:r>
        <w:rPr>
          <w:rFonts w:ascii="Times New Roman" w:hAnsi="Times New Roman" w:eastAsia="Calibri"/>
          <w:sz w:val="24"/>
          <w:szCs w:val="24"/>
          <w:shd w:val="clear" w:color="auto" w:fill="FFFFFF"/>
        </w:rPr>
        <w:t> 33(5), 2018, 901-911.</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Oforegbunam T. E., &amp; Chigozie D. S. </w:t>
      </w:r>
      <w:r>
        <w:rPr>
          <w:rFonts w:ascii="Times New Roman" w:hAnsi="Times New Roman" w:eastAsia="Calibri"/>
          <w:i/>
          <w:iCs/>
          <w:sz w:val="24"/>
          <w:szCs w:val="24"/>
          <w:shd w:val="clear" w:color="auto" w:fill="FFFFFF"/>
        </w:rPr>
        <w:t>"Financial system development and economic growth: Evidence from Nigeria."</w:t>
      </w:r>
      <w:r>
        <w:rPr>
          <w:rFonts w:ascii="Times New Roman" w:hAnsi="Times New Roman" w:eastAsia="Calibri"/>
          <w:b/>
          <w:bCs/>
          <w:sz w:val="24"/>
          <w:szCs w:val="24"/>
          <w:shd w:val="clear" w:color="auto" w:fill="FFFFFF"/>
        </w:rPr>
        <w:t>American Journal of Economics, Finance, and Management,</w:t>
      </w:r>
      <w:r>
        <w:rPr>
          <w:rFonts w:ascii="Times New Roman" w:hAnsi="Times New Roman" w:eastAsia="Calibri"/>
          <w:sz w:val="24"/>
          <w:szCs w:val="24"/>
          <w:shd w:val="clear" w:color="auto" w:fill="FFFFFF"/>
        </w:rPr>
        <w:t xml:space="preserve"> 1(5), 2015, 329-335.</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Oluwaseun A. M.</w:t>
      </w:r>
      <w:r>
        <w:rPr>
          <w:rFonts w:ascii="Times New Roman" w:hAnsi="Times New Roman" w:eastAsia="Calibri"/>
          <w:i/>
          <w:iCs/>
          <w:sz w:val="24"/>
          <w:szCs w:val="24"/>
          <w:shd w:val="clear" w:color="auto" w:fill="FFFFFF"/>
        </w:rPr>
        <w:t xml:space="preserve"> "Public Health Expenditure and Infant Mortality Rate in Nigeria." </w:t>
      </w:r>
      <w:r>
        <w:rPr>
          <w:rFonts w:ascii="Times New Roman" w:hAnsi="Times New Roman" w:eastAsia="Calibri"/>
          <w:b/>
          <w:bCs/>
          <w:i/>
          <w:iCs/>
          <w:sz w:val="24"/>
          <w:szCs w:val="24"/>
          <w:shd w:val="clear" w:color="auto" w:fill="FFFFFF"/>
        </w:rPr>
        <w:t>Acta Economica,</w:t>
      </w:r>
      <w:r>
        <w:rPr>
          <w:rFonts w:ascii="Times New Roman" w:hAnsi="Times New Roman" w:eastAsia="Calibri"/>
          <w:sz w:val="24"/>
          <w:szCs w:val="24"/>
          <w:shd w:val="clear" w:color="auto" w:fill="FFFFFF"/>
        </w:rPr>
        <w:t xml:space="preserve"> 18(33), 2020, 79-96.</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Öncü E., &amp; Ergun K. </w:t>
      </w:r>
      <w:r>
        <w:rPr>
          <w:rFonts w:ascii="Times New Roman" w:hAnsi="Times New Roman" w:eastAsia="Calibri"/>
          <w:i/>
          <w:iCs/>
          <w:sz w:val="24"/>
          <w:szCs w:val="24"/>
          <w:shd w:val="clear" w:color="auto" w:fill="FFFFFF"/>
        </w:rPr>
        <w:t>"Researching the Relationship Between Health and Financial Development: Case of Low-Income African Countries."</w:t>
      </w:r>
      <w:r>
        <w:rPr>
          <w:rFonts w:ascii="Times New Roman" w:hAnsi="Times New Roman" w:eastAsia="Calibri"/>
          <w:b/>
          <w:bCs/>
          <w:i/>
          <w:iCs/>
          <w:sz w:val="24"/>
          <w:szCs w:val="24"/>
          <w:shd w:val="clear" w:color="auto" w:fill="FFFFFF"/>
        </w:rPr>
        <w:t>Journal of Economics and Business Issues,</w:t>
      </w:r>
      <w:r>
        <w:rPr>
          <w:rFonts w:ascii="Times New Roman" w:hAnsi="Times New Roman" w:eastAsia="Calibri"/>
          <w:sz w:val="24"/>
          <w:szCs w:val="24"/>
          <w:shd w:val="clear" w:color="auto" w:fill="FFFFFF"/>
        </w:rPr>
        <w:t xml:space="preserve"> 3(1), 2023, 51-57.</w:t>
      </w:r>
    </w:p>
    <w:p>
      <w:pPr>
        <w:pStyle w:val="14"/>
        <w:spacing w:after="200"/>
        <w:ind w:left="398" w:hanging="398" w:hangingChars="166"/>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rPr>
        <w:t>Owusu-Agyei S., et al.</w:t>
      </w:r>
      <w:r>
        <w:rPr>
          <w:rFonts w:ascii="Times New Roman" w:hAnsi="Times New Roman" w:eastAsia="Calibri"/>
          <w:i/>
          <w:iCs/>
          <w:sz w:val="24"/>
          <w:szCs w:val="24"/>
          <w:shd w:val="clear" w:color="auto" w:fill="FFFFFF"/>
        </w:rPr>
        <w:t xml:space="preserve"> "Internet adoption and financial development in sub-Saharan Africa." </w:t>
      </w:r>
      <w:r>
        <w:rPr>
          <w:rFonts w:ascii="Times New Roman" w:hAnsi="Times New Roman" w:eastAsia="Calibri"/>
          <w:b/>
          <w:bCs/>
          <w:sz w:val="24"/>
          <w:szCs w:val="24"/>
          <w:shd w:val="clear" w:color="auto" w:fill="FFFFFF"/>
        </w:rPr>
        <w:t>Technological Forecasting and Social Change,</w:t>
      </w:r>
      <w:r>
        <w:rPr>
          <w:rFonts w:ascii="Times New Roman" w:hAnsi="Times New Roman" w:eastAsia="Calibri"/>
          <w:sz w:val="24"/>
          <w:szCs w:val="24"/>
          <w:shd w:val="clear" w:color="auto" w:fill="FFFFFF"/>
        </w:rPr>
        <w:t xml:space="preserve"> 161, 2020, 120293.</w:t>
      </w:r>
    </w:p>
    <w:p>
      <w:pPr>
        <w:pStyle w:val="14"/>
        <w:spacing w:after="200"/>
        <w:ind w:left="398" w:hanging="398" w:hangingChars="166"/>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rPr>
        <w:t xml:space="preserve">Ozili P. K. </w:t>
      </w:r>
      <w:r>
        <w:rPr>
          <w:rFonts w:ascii="Times New Roman" w:hAnsi="Times New Roman" w:eastAsia="Calibri"/>
          <w:i/>
          <w:iCs/>
          <w:sz w:val="24"/>
          <w:szCs w:val="24"/>
          <w:shd w:val="clear" w:color="auto" w:fill="FFFFFF"/>
        </w:rPr>
        <w:t>"Impact of digital finance on financial inclusion and stability."</w:t>
      </w:r>
      <w:r>
        <w:rPr>
          <w:rFonts w:ascii="Times New Roman" w:hAnsi="Times New Roman" w:eastAsia="Calibri"/>
          <w:b/>
          <w:bCs/>
          <w:sz w:val="24"/>
          <w:szCs w:val="24"/>
          <w:shd w:val="clear" w:color="auto" w:fill="FFFFFF"/>
        </w:rPr>
        <w:t>Borsa Istanbul Review,</w:t>
      </w:r>
      <w:r>
        <w:rPr>
          <w:rFonts w:ascii="Times New Roman" w:hAnsi="Times New Roman" w:eastAsia="Calibri"/>
          <w:sz w:val="24"/>
          <w:szCs w:val="24"/>
          <w:shd w:val="clear" w:color="auto" w:fill="FFFFFF"/>
        </w:rPr>
        <w:t xml:space="preserve"> 18(4), 2018, 329-340.</w:t>
      </w:r>
    </w:p>
    <w:p>
      <w:pPr>
        <w:pStyle w:val="14"/>
        <w:spacing w:after="200"/>
        <w:ind w:left="398" w:hanging="398" w:hangingChars="166"/>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rPr>
        <w:t xml:space="preserve">Peter S. I, &amp; Omorose O. A. </w:t>
      </w:r>
      <w:r>
        <w:rPr>
          <w:rFonts w:ascii="Times New Roman" w:hAnsi="Times New Roman" w:eastAsia="Calibri"/>
          <w:i/>
          <w:iCs/>
          <w:sz w:val="24"/>
          <w:szCs w:val="24"/>
          <w:shd w:val="clear" w:color="auto" w:fill="FFFFFF"/>
        </w:rPr>
        <w:t>"Financial Liberalization and Health Outcomes in Nigeria: A Case of Infant Mortality."</w:t>
      </w:r>
      <w:r>
        <w:rPr>
          <w:rFonts w:ascii="Times New Roman" w:hAnsi="Times New Roman" w:eastAsia="Calibri"/>
          <w:b/>
          <w:bCs/>
          <w:sz w:val="24"/>
          <w:szCs w:val="24"/>
          <w:shd w:val="clear" w:color="auto" w:fill="FFFFFF"/>
        </w:rPr>
        <w:t>Management,</w:t>
      </w:r>
      <w:r>
        <w:rPr>
          <w:rFonts w:ascii="Times New Roman" w:hAnsi="Times New Roman" w:eastAsia="Calibri"/>
          <w:sz w:val="24"/>
          <w:szCs w:val="24"/>
          <w:shd w:val="clear" w:color="auto" w:fill="FFFFFF"/>
        </w:rPr>
        <w:t xml:space="preserve"> 3(1), 2020, 81-105.</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Pokuaa F. A., Yates R., &amp; Thompson R..</w:t>
      </w:r>
      <w:r>
        <w:rPr>
          <w:rFonts w:ascii="Times New Roman" w:hAnsi="Times New Roman" w:eastAsia="Calibri"/>
          <w:i/>
          <w:iCs/>
          <w:sz w:val="24"/>
          <w:szCs w:val="24"/>
          <w:shd w:val="clear" w:color="auto" w:fill="FFFFFF"/>
        </w:rPr>
        <w:t xml:space="preserve">"Social health insurance schemes in Africa leave out the poor." </w:t>
      </w:r>
      <w:r>
        <w:rPr>
          <w:rFonts w:ascii="Times New Roman" w:hAnsi="Times New Roman" w:eastAsia="Calibri"/>
          <w:b/>
          <w:bCs/>
          <w:sz w:val="24"/>
          <w:szCs w:val="24"/>
          <w:shd w:val="clear" w:color="auto" w:fill="FFFFFF"/>
        </w:rPr>
        <w:t xml:space="preserve">International Health, </w:t>
      </w:r>
      <w:r>
        <w:rPr>
          <w:rFonts w:ascii="Times New Roman" w:hAnsi="Times New Roman" w:eastAsia="Calibri"/>
          <w:sz w:val="24"/>
          <w:szCs w:val="24"/>
          <w:shd w:val="clear" w:color="auto" w:fill="FFFFFF"/>
        </w:rPr>
        <w:t>10(1), 2018, 1-3.</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Ralph George H., &amp; Prescott E. C. </w:t>
      </w:r>
      <w:r>
        <w:rPr>
          <w:rFonts w:ascii="Times New Roman" w:hAnsi="Times New Roman" w:eastAsia="Calibri"/>
          <w:i/>
          <w:iCs/>
          <w:sz w:val="24"/>
          <w:szCs w:val="24"/>
          <w:shd w:val="clear" w:color="auto" w:fill="FFFFFF"/>
        </w:rPr>
        <w:t>"Chapter FOUR The Literature on Business Cycle Theories: Monetary and Technology Shocks: Yin and Yang of Economic Fluctuations."</w:t>
      </w:r>
      <w:r>
        <w:rPr>
          <w:rFonts w:ascii="Times New Roman" w:hAnsi="Times New Roman" w:eastAsia="Calibri"/>
          <w:b/>
          <w:bCs/>
          <w:sz w:val="24"/>
          <w:szCs w:val="24"/>
          <w:shd w:val="clear" w:color="auto" w:fill="FFFFFF"/>
        </w:rPr>
        <w:t xml:space="preserve">Technology in the Asian Miracle and Debacle Debates, </w:t>
      </w:r>
      <w:r>
        <w:rPr>
          <w:rFonts w:ascii="Times New Roman" w:hAnsi="Times New Roman" w:eastAsia="Calibri"/>
          <w:sz w:val="24"/>
          <w:szCs w:val="24"/>
          <w:shd w:val="clear" w:color="auto" w:fill="FFFFFF"/>
        </w:rPr>
        <w:t>2019, 103.</w:t>
      </w:r>
    </w:p>
    <w:p>
      <w:pPr>
        <w:pStyle w:val="14"/>
        <w:spacing w:after="200"/>
        <w:ind w:left="398" w:hanging="398" w:hangingChars="166"/>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rPr>
        <w:t xml:space="preserve">Ranis, G., Stewart F., &amp; Ramirez A. </w:t>
      </w:r>
      <w:r>
        <w:rPr>
          <w:rFonts w:ascii="Times New Roman" w:hAnsi="Times New Roman" w:eastAsia="Calibri"/>
          <w:i/>
          <w:iCs/>
          <w:sz w:val="24"/>
          <w:szCs w:val="24"/>
          <w:shd w:val="clear" w:color="auto" w:fill="FFFFFF"/>
        </w:rPr>
        <w:t xml:space="preserve"> "Economic growth and human development."</w:t>
      </w:r>
      <w:r>
        <w:rPr>
          <w:rFonts w:ascii="Times New Roman" w:hAnsi="Times New Roman" w:eastAsia="Calibri"/>
          <w:b/>
          <w:bCs/>
          <w:sz w:val="24"/>
          <w:szCs w:val="24"/>
          <w:shd w:val="clear" w:color="auto" w:fill="FFFFFF"/>
        </w:rPr>
        <w:t>World development</w:t>
      </w:r>
      <w:r>
        <w:rPr>
          <w:rFonts w:ascii="Times New Roman" w:hAnsi="Times New Roman" w:eastAsia="Calibri"/>
          <w:sz w:val="24"/>
          <w:szCs w:val="24"/>
          <w:shd w:val="clear" w:color="auto" w:fill="FFFFFF"/>
        </w:rPr>
        <w:t>, 28(2), 2000, 197-219.</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rPr>
        <w:t xml:space="preserve">Shahbaz M., et al. </w:t>
      </w:r>
      <w:r>
        <w:rPr>
          <w:rFonts w:ascii="Times New Roman" w:hAnsi="Times New Roman" w:eastAsia="Calibri"/>
          <w:i/>
          <w:iCs/>
          <w:sz w:val="24"/>
          <w:szCs w:val="24"/>
        </w:rPr>
        <w:t>"The effect of financial development on renewable energy demand: The case of developing countries." </w:t>
      </w:r>
      <w:r>
        <w:rPr>
          <w:rFonts w:ascii="Times New Roman" w:hAnsi="Times New Roman" w:eastAsia="Calibri"/>
          <w:b/>
          <w:bCs/>
          <w:sz w:val="24"/>
          <w:szCs w:val="24"/>
        </w:rPr>
        <w:t>Renewable Energy,</w:t>
      </w:r>
      <w:r>
        <w:rPr>
          <w:rFonts w:ascii="Times New Roman" w:hAnsi="Times New Roman" w:eastAsia="Calibri"/>
          <w:sz w:val="24"/>
          <w:szCs w:val="24"/>
        </w:rPr>
        <w:t> 178, 2021, 1370-1380.</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rPr>
        <w:t>Shi G., Wang D., &amp; Altuntaş M.</w:t>
      </w:r>
      <w:r>
        <w:rPr>
          <w:rFonts w:ascii="Times New Roman" w:hAnsi="Times New Roman" w:eastAsia="Calibri"/>
          <w:i/>
          <w:iCs/>
          <w:sz w:val="24"/>
          <w:szCs w:val="24"/>
        </w:rPr>
        <w:t xml:space="preserve"> “Financial development and health outcomes: do financial globalization matter in selected asian economies?”</w:t>
      </w:r>
      <w:r>
        <w:rPr>
          <w:rFonts w:ascii="Times New Roman" w:hAnsi="Times New Roman" w:eastAsia="Calibri"/>
          <w:sz w:val="24"/>
          <w:szCs w:val="24"/>
        </w:rPr>
        <w:t xml:space="preserve">. </w:t>
      </w:r>
      <w:r>
        <w:rPr>
          <w:rFonts w:ascii="Times New Roman" w:hAnsi="Times New Roman" w:eastAsia="Calibri"/>
          <w:b/>
          <w:bCs/>
          <w:sz w:val="24"/>
          <w:szCs w:val="24"/>
        </w:rPr>
        <w:t>Frontiers in Public Health,</w:t>
      </w:r>
      <w:r>
        <w:rPr>
          <w:rFonts w:ascii="Times New Roman" w:hAnsi="Times New Roman" w:eastAsia="Calibri"/>
          <w:sz w:val="24"/>
          <w:szCs w:val="24"/>
        </w:rPr>
        <w:t xml:space="preserve"> 10, 2022.</w:t>
      </w:r>
    </w:p>
    <w:p>
      <w:pPr>
        <w:pStyle w:val="14"/>
        <w:spacing w:after="200"/>
        <w:ind w:left="398" w:hanging="398" w:hangingChars="166"/>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rPr>
        <w:t xml:space="preserve">Shrestha M. B., &amp; Chowdhury K. </w:t>
      </w:r>
      <w:r>
        <w:rPr>
          <w:rFonts w:ascii="Times New Roman" w:hAnsi="Times New Roman" w:eastAsia="Calibri"/>
          <w:i/>
          <w:iCs/>
          <w:sz w:val="24"/>
          <w:szCs w:val="24"/>
          <w:shd w:val="clear" w:color="auto" w:fill="FFFFFF"/>
        </w:rPr>
        <w:t xml:space="preserve">"ARDL modelling approach to testing the financial liberalisation hypothesis." </w:t>
      </w:r>
      <w:r>
        <w:rPr>
          <w:rFonts w:ascii="Times New Roman" w:hAnsi="Times New Roman" w:eastAsia="Calibri"/>
          <w:sz w:val="24"/>
          <w:szCs w:val="24"/>
          <w:shd w:val="clear" w:color="auto" w:fill="FFFFFF"/>
        </w:rPr>
        <w:t>2005.</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Stijn C., &amp;Laeven L. </w:t>
      </w:r>
      <w:r>
        <w:rPr>
          <w:rFonts w:ascii="Times New Roman" w:hAnsi="Times New Roman" w:eastAsia="Calibri"/>
          <w:i/>
          <w:iCs/>
          <w:sz w:val="24"/>
          <w:szCs w:val="24"/>
          <w:shd w:val="clear" w:color="auto" w:fill="FFFFFF"/>
        </w:rPr>
        <w:t>"Financial development, property rights, and growth."</w:t>
      </w:r>
      <w:r>
        <w:rPr>
          <w:rFonts w:ascii="Times New Roman" w:hAnsi="Times New Roman" w:eastAsia="Calibri"/>
          <w:b/>
          <w:bCs/>
          <w:sz w:val="24"/>
          <w:szCs w:val="24"/>
          <w:shd w:val="clear" w:color="auto" w:fill="FFFFFF"/>
        </w:rPr>
        <w:t>T</w:t>
      </w:r>
      <w:r>
        <w:rPr>
          <w:rFonts w:ascii="Times New Roman" w:hAnsi="Times New Roman" w:eastAsia="Calibri"/>
          <w:b/>
          <w:bCs/>
          <w:i/>
          <w:iCs/>
          <w:sz w:val="24"/>
          <w:szCs w:val="24"/>
          <w:shd w:val="clear" w:color="auto" w:fill="FFFFFF"/>
        </w:rPr>
        <w:t>he Journal of Finance.</w:t>
      </w:r>
      <w:r>
        <w:rPr>
          <w:rFonts w:ascii="Times New Roman" w:hAnsi="Times New Roman" w:eastAsia="Calibri"/>
          <w:sz w:val="24"/>
          <w:szCs w:val="24"/>
          <w:shd w:val="clear" w:color="auto" w:fill="FFFFFF"/>
        </w:rPr>
        <w:t xml:space="preserve"> 58(6), 2003, 2401-2436.</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Tang C. F., &amp;Abosedra S. </w:t>
      </w:r>
      <w:r>
        <w:rPr>
          <w:rFonts w:ascii="Times New Roman" w:hAnsi="Times New Roman" w:eastAsia="Calibri"/>
          <w:i/>
          <w:iCs/>
          <w:sz w:val="24"/>
          <w:szCs w:val="24"/>
          <w:shd w:val="clear" w:color="auto" w:fill="FFFFFF"/>
        </w:rPr>
        <w:t xml:space="preserve">"Does financial development moderate the effects on growth volatility? The experience of Malaysia."Margin: </w:t>
      </w:r>
      <w:r>
        <w:rPr>
          <w:rFonts w:ascii="Times New Roman" w:hAnsi="Times New Roman" w:eastAsia="Calibri"/>
          <w:b/>
          <w:bCs/>
          <w:sz w:val="24"/>
          <w:szCs w:val="24"/>
          <w:shd w:val="clear" w:color="auto" w:fill="FFFFFF"/>
        </w:rPr>
        <w:t>The Journal of Applied Economic Research,</w:t>
      </w:r>
      <w:r>
        <w:rPr>
          <w:rFonts w:ascii="Times New Roman" w:hAnsi="Times New Roman" w:eastAsia="Calibri"/>
          <w:sz w:val="24"/>
          <w:szCs w:val="24"/>
          <w:shd w:val="clear" w:color="auto" w:fill="FFFFFF"/>
        </w:rPr>
        <w:t xml:space="preserve"> 14(4), 2020, 361-381.</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Tchamyou V. S., &amp;Asongu S. A. </w:t>
      </w:r>
      <w:r>
        <w:rPr>
          <w:rFonts w:ascii="Times New Roman" w:hAnsi="Times New Roman" w:eastAsia="Calibri"/>
          <w:i/>
          <w:iCs/>
          <w:sz w:val="24"/>
          <w:szCs w:val="24"/>
          <w:shd w:val="clear" w:color="auto" w:fill="FFFFFF"/>
        </w:rPr>
        <w:t>"Information sharing and financial sector development in Africa." J</w:t>
      </w:r>
      <w:r>
        <w:rPr>
          <w:rFonts w:ascii="Times New Roman" w:hAnsi="Times New Roman" w:eastAsia="Calibri"/>
          <w:b/>
          <w:bCs/>
          <w:sz w:val="24"/>
          <w:szCs w:val="24"/>
          <w:shd w:val="clear" w:color="auto" w:fill="FFFFFF"/>
        </w:rPr>
        <w:t>ournal of African Business,</w:t>
      </w:r>
      <w:r>
        <w:rPr>
          <w:rFonts w:ascii="Times New Roman" w:hAnsi="Times New Roman" w:eastAsia="Calibri"/>
          <w:sz w:val="24"/>
          <w:szCs w:val="24"/>
          <w:shd w:val="clear" w:color="auto" w:fill="FFFFFF"/>
        </w:rPr>
        <w:t xml:space="preserve"> 18(1), 2017, 24-49.</w:t>
      </w:r>
    </w:p>
    <w:p>
      <w:pPr>
        <w:pStyle w:val="14"/>
        <w:spacing w:after="200"/>
        <w:ind w:left="398" w:hanging="398" w:hangingChars="166"/>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rPr>
        <w:t xml:space="preserve">Thorsten B., &amp; Levine R. </w:t>
      </w:r>
      <w:r>
        <w:rPr>
          <w:rFonts w:ascii="Times New Roman" w:hAnsi="Times New Roman" w:eastAsia="Calibri"/>
          <w:i/>
          <w:iCs/>
          <w:sz w:val="24"/>
          <w:szCs w:val="24"/>
          <w:shd w:val="clear" w:color="auto" w:fill="FFFFFF"/>
        </w:rPr>
        <w:t>Legal institutions and financial development</w:t>
      </w:r>
      <w:r>
        <w:rPr>
          <w:rFonts w:ascii="Times New Roman" w:hAnsi="Times New Roman" w:eastAsia="Calibri"/>
          <w:sz w:val="24"/>
          <w:szCs w:val="24"/>
          <w:shd w:val="clear" w:color="auto" w:fill="FFFFFF"/>
        </w:rPr>
        <w:t xml:space="preserve">. </w:t>
      </w:r>
      <w:r>
        <w:rPr>
          <w:rFonts w:ascii="Times New Roman" w:hAnsi="Times New Roman" w:eastAsia="Calibri"/>
          <w:b/>
          <w:bCs/>
          <w:sz w:val="24"/>
          <w:szCs w:val="24"/>
          <w:shd w:val="clear" w:color="auto" w:fill="FFFFFF"/>
        </w:rPr>
        <w:t>Springer US,</w:t>
      </w:r>
      <w:r>
        <w:rPr>
          <w:rFonts w:ascii="Times New Roman" w:hAnsi="Times New Roman" w:eastAsia="Calibri"/>
          <w:sz w:val="24"/>
          <w:szCs w:val="24"/>
          <w:shd w:val="clear" w:color="auto" w:fill="FFFFFF"/>
        </w:rPr>
        <w:t xml:space="preserve"> 2005.</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Thorsten B., Demirgüç-Kunt A., &amp; Levine R..</w:t>
      </w:r>
      <w:r>
        <w:rPr>
          <w:rFonts w:ascii="Times New Roman" w:hAnsi="Times New Roman" w:eastAsia="Calibri"/>
          <w:i/>
          <w:iCs/>
          <w:sz w:val="24"/>
          <w:szCs w:val="24"/>
          <w:shd w:val="clear" w:color="auto" w:fill="FFFFFF"/>
        </w:rPr>
        <w:t xml:space="preserve">"Finance, inequality and the poor." </w:t>
      </w:r>
      <w:r>
        <w:rPr>
          <w:rFonts w:ascii="Times New Roman" w:hAnsi="Times New Roman" w:eastAsia="Calibri"/>
          <w:b/>
          <w:bCs/>
          <w:i/>
          <w:iCs/>
          <w:sz w:val="24"/>
          <w:szCs w:val="24"/>
          <w:shd w:val="clear" w:color="auto" w:fill="FFFFFF"/>
        </w:rPr>
        <w:t>Journal of economic growth</w:t>
      </w:r>
      <w:r>
        <w:rPr>
          <w:rFonts w:ascii="Times New Roman" w:hAnsi="Times New Roman" w:eastAsia="Calibri"/>
          <w:sz w:val="24"/>
          <w:szCs w:val="24"/>
          <w:shd w:val="clear" w:color="auto" w:fill="FFFFFF"/>
        </w:rPr>
        <w:t xml:space="preserve"> ,12, 2007, 27-49.</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Tran, S. H. &amp; Nguyen, L. T. </w:t>
      </w:r>
      <w:r>
        <w:rPr>
          <w:rFonts w:ascii="Times New Roman" w:hAnsi="Times New Roman" w:eastAsia="Calibri"/>
          <w:i/>
          <w:iCs/>
          <w:sz w:val="24"/>
          <w:szCs w:val="24"/>
          <w:shd w:val="clear" w:color="auto" w:fill="FFFFFF"/>
        </w:rPr>
        <w:t xml:space="preserve">"Financial development, business cycle and bank risk in Southeast Asian countries." </w:t>
      </w:r>
      <w:r>
        <w:rPr>
          <w:rFonts w:ascii="Times New Roman" w:hAnsi="Times New Roman" w:eastAsia="Calibri"/>
          <w:b/>
          <w:bCs/>
          <w:sz w:val="24"/>
          <w:szCs w:val="24"/>
          <w:shd w:val="clear" w:color="auto" w:fill="FFFFFF"/>
        </w:rPr>
        <w:t>The Journal of Asian Finance, Economics and Business,</w:t>
      </w:r>
      <w:r>
        <w:rPr>
          <w:rFonts w:ascii="Times New Roman" w:hAnsi="Times New Roman" w:eastAsia="Calibri"/>
          <w:sz w:val="24"/>
          <w:szCs w:val="24"/>
          <w:shd w:val="clear" w:color="auto" w:fill="FFFFFF"/>
        </w:rPr>
        <w:t xml:space="preserve"> 7(3), 2020, 127-135.</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Waithaka J., et al. </w:t>
      </w:r>
      <w:r>
        <w:rPr>
          <w:rFonts w:ascii="Times New Roman" w:hAnsi="Times New Roman" w:eastAsia="Calibri"/>
          <w:i/>
          <w:iCs/>
          <w:sz w:val="24"/>
          <w:szCs w:val="24"/>
          <w:shd w:val="clear" w:color="auto" w:fill="FFFFFF"/>
        </w:rPr>
        <w:t xml:space="preserve">"Impacts of COVID-19 on protected and conserved areas: A global overview and regional perspectives." </w:t>
      </w:r>
      <w:r>
        <w:rPr>
          <w:rFonts w:ascii="Times New Roman" w:hAnsi="Times New Roman" w:eastAsia="Calibri"/>
          <w:sz w:val="24"/>
          <w:szCs w:val="24"/>
          <w:shd w:val="clear" w:color="auto" w:fill="FFFFFF"/>
        </w:rPr>
        <w:t>2021.</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World Health Organization.</w:t>
      </w:r>
      <w:r>
        <w:rPr>
          <w:rFonts w:ascii="Times New Roman" w:hAnsi="Times New Roman" w:eastAsia="Calibri"/>
          <w:i/>
          <w:iCs/>
          <w:sz w:val="24"/>
          <w:szCs w:val="24"/>
          <w:shd w:val="clear" w:color="auto" w:fill="FFFFFF"/>
        </w:rPr>
        <w:t xml:space="preserve"> "Global strategy for dengue prevention and control 2012-2020."</w:t>
      </w:r>
      <w:r>
        <w:rPr>
          <w:rFonts w:ascii="Times New Roman" w:hAnsi="Times New Roman" w:eastAsia="Calibri"/>
          <w:sz w:val="24"/>
          <w:szCs w:val="24"/>
          <w:shd w:val="clear" w:color="auto" w:fill="FFFFFF"/>
        </w:rPr>
        <w:t xml:space="preserve"> 2012.</w:t>
      </w:r>
    </w:p>
    <w:p>
      <w:pPr>
        <w:pStyle w:val="14"/>
        <w:spacing w:after="200"/>
        <w:ind w:left="398" w:hanging="398" w:hangingChars="166"/>
        <w:jc w:val="both"/>
        <w:rPr>
          <w:rFonts w:ascii="Times New Roman" w:hAnsi="Times New Roman" w:eastAsia="Calibri"/>
          <w:sz w:val="24"/>
          <w:szCs w:val="24"/>
          <w:shd w:val="clear" w:color="auto" w:fill="FFFFFF"/>
        </w:rPr>
      </w:pPr>
      <w:r>
        <w:rPr>
          <w:rFonts w:ascii="Times New Roman" w:hAnsi="Times New Roman" w:eastAsia="Calibri"/>
          <w:sz w:val="24"/>
          <w:szCs w:val="24"/>
          <w:shd w:val="clear" w:color="auto" w:fill="FFFFFF"/>
        </w:rPr>
        <w:t>World Health Organization. “</w:t>
      </w:r>
      <w:r>
        <w:rPr>
          <w:rFonts w:ascii="Times New Roman" w:hAnsi="Times New Roman" w:eastAsia="Calibri"/>
          <w:i/>
          <w:iCs/>
          <w:sz w:val="24"/>
          <w:szCs w:val="24"/>
          <w:shd w:val="clear" w:color="auto" w:fill="FFFFFF"/>
        </w:rPr>
        <w:t>WHO report on the global tobacco epidemic, 2013: enforcing bans on tobacco advertising, promotion and sponsorship</w:t>
      </w:r>
      <w:r>
        <w:rPr>
          <w:rFonts w:ascii="Times New Roman" w:hAnsi="Times New Roman" w:eastAsia="Calibri"/>
          <w:sz w:val="24"/>
          <w:szCs w:val="24"/>
          <w:shd w:val="clear" w:color="auto" w:fill="FFFFFF"/>
        </w:rPr>
        <w:t xml:space="preserve">.” </w:t>
      </w:r>
      <w:r>
        <w:rPr>
          <w:rFonts w:ascii="Times New Roman" w:hAnsi="Times New Roman" w:eastAsia="Calibri"/>
          <w:b/>
          <w:bCs/>
          <w:sz w:val="24"/>
          <w:szCs w:val="24"/>
          <w:shd w:val="clear" w:color="auto" w:fill="FFFFFF"/>
        </w:rPr>
        <w:t>World Health Organization</w:t>
      </w:r>
      <w:r>
        <w:rPr>
          <w:rFonts w:ascii="Times New Roman" w:hAnsi="Times New Roman" w:eastAsia="Calibri"/>
          <w:sz w:val="24"/>
          <w:szCs w:val="24"/>
          <w:shd w:val="clear" w:color="auto" w:fill="FFFFFF"/>
        </w:rPr>
        <w:t>, 2013.</w:t>
      </w:r>
    </w:p>
    <w:p>
      <w:pPr>
        <w:pStyle w:val="14"/>
        <w:spacing w:after="200"/>
        <w:ind w:left="398" w:hanging="398" w:hangingChars="166"/>
        <w:jc w:val="both"/>
        <w:rPr>
          <w:rFonts w:ascii="Times New Roman" w:hAnsi="Times New Roman" w:eastAsia="Calibri"/>
          <w:sz w:val="24"/>
          <w:szCs w:val="24"/>
        </w:rPr>
      </w:pPr>
      <w:r>
        <w:rPr>
          <w:rFonts w:ascii="Times New Roman" w:hAnsi="Times New Roman" w:eastAsia="Calibri"/>
          <w:sz w:val="24"/>
          <w:szCs w:val="24"/>
          <w:shd w:val="clear" w:color="auto" w:fill="FFFFFF"/>
        </w:rPr>
        <w:t xml:space="preserve">Yemelyanova L. </w:t>
      </w:r>
      <w:r>
        <w:rPr>
          <w:rFonts w:ascii="Times New Roman" w:hAnsi="Times New Roman" w:eastAsia="Calibri"/>
          <w:i/>
          <w:iCs/>
          <w:sz w:val="24"/>
          <w:szCs w:val="24"/>
          <w:shd w:val="clear" w:color="auto" w:fill="FFFFFF"/>
        </w:rPr>
        <w:t>“Relationship between the stock market development, banking sector development and economic growth in the cee countries.”</w:t>
      </w:r>
      <w:r>
        <w:rPr>
          <w:rFonts w:ascii="Times New Roman" w:hAnsi="Times New Roman" w:eastAsia="Calibri"/>
          <w:b/>
          <w:bCs/>
          <w:sz w:val="24"/>
          <w:szCs w:val="24"/>
          <w:shd w:val="clear" w:color="auto" w:fill="FFFFFF"/>
        </w:rPr>
        <w:t>Baltic Journal of Economic Studies,</w:t>
      </w:r>
      <w:r>
        <w:rPr>
          <w:rFonts w:ascii="Times New Roman" w:hAnsi="Times New Roman" w:eastAsia="Calibri"/>
          <w:sz w:val="24"/>
          <w:szCs w:val="24"/>
          <w:shd w:val="clear" w:color="auto" w:fill="FFFFFF"/>
        </w:rPr>
        <w:t xml:space="preserve"> 7(3), 2021, 118-126.</w:t>
      </w:r>
    </w:p>
    <w:p>
      <w:pPr>
        <w:spacing w:after="0" w:line="480" w:lineRule="auto"/>
        <w:jc w:val="both"/>
        <w:rPr>
          <w:rFonts w:ascii="Times New Roman" w:hAnsi="Times New Roman"/>
          <w:bCs/>
        </w:rPr>
      </w:pPr>
    </w:p>
    <w:p>
      <w:pPr>
        <w:pStyle w:val="30"/>
        <w:spacing w:after="0" w:line="480" w:lineRule="auto"/>
        <w:jc w:val="both"/>
        <w:rPr>
          <w:rFonts w:ascii="Times New Roman" w:hAnsi="Times New Roman"/>
          <w:bCs/>
        </w:rPr>
        <w:sectPr>
          <w:pgSz w:w="11906" w:h="16838"/>
          <w:pgMar w:top="1440" w:right="1440" w:bottom="1440" w:left="1440" w:header="708" w:footer="708" w:gutter="0"/>
          <w:cols w:space="708" w:num="1"/>
          <w:docGrid w:linePitch="360" w:charSpace="0"/>
        </w:sectPr>
      </w:pPr>
    </w:p>
    <w:p>
      <w:pPr>
        <w:pStyle w:val="30"/>
        <w:spacing w:after="0" w:line="480" w:lineRule="auto"/>
        <w:jc w:val="center"/>
        <w:rPr>
          <w:rFonts w:ascii="Times New Roman" w:hAnsi="Times New Roman"/>
          <w:b/>
        </w:rPr>
      </w:pPr>
      <w:r>
        <w:rPr>
          <w:rFonts w:ascii="Times New Roman" w:hAnsi="Times New Roman"/>
          <w:b/>
        </w:rPr>
        <w:t>Appendix</w:t>
      </w:r>
    </w:p>
    <w:tbl>
      <w:tblPr>
        <w:tblStyle w:val="6"/>
        <w:tblW w:w="16019" w:type="dxa"/>
        <w:tblInd w:w="-885"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30"/>
        <w:gridCol w:w="1172"/>
        <w:gridCol w:w="1276"/>
        <w:gridCol w:w="993"/>
        <w:gridCol w:w="927"/>
        <w:gridCol w:w="804"/>
        <w:gridCol w:w="941"/>
        <w:gridCol w:w="827"/>
        <w:gridCol w:w="1343"/>
        <w:gridCol w:w="1607"/>
        <w:gridCol w:w="1295"/>
        <w:gridCol w:w="1044"/>
        <w:gridCol w:w="1147"/>
        <w:gridCol w:w="829"/>
        <w:gridCol w:w="1298"/>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vMerge w:val="restart"/>
            <w:tcBorders>
              <w:top w:val="single" w:color="auto" w:sz="4" w:space="0"/>
            </w:tcBorders>
            <w:shd w:val="clear" w:color="auto" w:fill="auto"/>
            <w:noWrap/>
            <w:vAlign w:val="center"/>
          </w:tcPr>
          <w:p>
            <w:pPr>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Year</w:t>
            </w:r>
          </w:p>
        </w:tc>
        <w:tc>
          <w:tcPr>
            <w:tcW w:w="1172" w:type="dxa"/>
            <w:tcBorders>
              <w:top w:val="single" w:color="auto" w:sz="4" w:space="0"/>
              <w:bottom w:val="nil"/>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lecp</w:t>
            </w:r>
          </w:p>
        </w:tc>
        <w:tc>
          <w:tcPr>
            <w:tcW w:w="1276" w:type="dxa"/>
            <w:tcBorders>
              <w:top w:val="single" w:color="auto" w:sz="4" w:space="0"/>
              <w:bottom w:val="nil"/>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un5m</w:t>
            </w:r>
          </w:p>
        </w:tc>
        <w:tc>
          <w:tcPr>
            <w:tcW w:w="993" w:type="dxa"/>
            <w:tcBorders>
              <w:top w:val="single" w:color="auto" w:sz="4" w:space="0"/>
              <w:bottom w:val="nil"/>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mpr</w:t>
            </w:r>
          </w:p>
        </w:tc>
        <w:tc>
          <w:tcPr>
            <w:tcW w:w="927" w:type="dxa"/>
            <w:tcBorders>
              <w:top w:val="single" w:color="auto" w:sz="4" w:space="0"/>
              <w:bottom w:val="nil"/>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tbr</w:t>
            </w:r>
          </w:p>
        </w:tc>
        <w:tc>
          <w:tcPr>
            <w:tcW w:w="804" w:type="dxa"/>
            <w:tcBorders>
              <w:top w:val="single" w:color="auto" w:sz="4" w:space="0"/>
              <w:bottom w:val="nil"/>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mdr</w:t>
            </w:r>
          </w:p>
        </w:tc>
        <w:tc>
          <w:tcPr>
            <w:tcW w:w="941" w:type="dxa"/>
            <w:tcBorders>
              <w:top w:val="single" w:color="auto" w:sz="4" w:space="0"/>
              <w:bottom w:val="nil"/>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lr</w:t>
            </w:r>
          </w:p>
        </w:tc>
        <w:tc>
          <w:tcPr>
            <w:tcW w:w="827" w:type="dxa"/>
            <w:tcBorders>
              <w:top w:val="single" w:color="auto" w:sz="4" w:space="0"/>
              <w:bottom w:val="nil"/>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ldr</w:t>
            </w:r>
          </w:p>
        </w:tc>
        <w:tc>
          <w:tcPr>
            <w:tcW w:w="1343" w:type="dxa"/>
            <w:tcBorders>
              <w:top w:val="single" w:color="auto" w:sz="4" w:space="0"/>
              <w:bottom w:val="nil"/>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dcps</w:t>
            </w:r>
          </w:p>
        </w:tc>
        <w:tc>
          <w:tcPr>
            <w:tcW w:w="1607" w:type="dxa"/>
            <w:tcBorders>
              <w:top w:val="single" w:color="auto" w:sz="4" w:space="0"/>
              <w:bottom w:val="nil"/>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smk</w:t>
            </w:r>
          </w:p>
        </w:tc>
        <w:tc>
          <w:tcPr>
            <w:tcW w:w="1295" w:type="dxa"/>
            <w:tcBorders>
              <w:top w:val="single" w:color="auto" w:sz="4" w:space="0"/>
              <w:bottom w:val="nil"/>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tstv</w:t>
            </w:r>
          </w:p>
        </w:tc>
        <w:tc>
          <w:tcPr>
            <w:tcW w:w="1044" w:type="dxa"/>
            <w:tcBorders>
              <w:top w:val="single" w:color="auto" w:sz="4" w:space="0"/>
              <w:bottom w:val="nil"/>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asi</w:t>
            </w:r>
          </w:p>
        </w:tc>
        <w:tc>
          <w:tcPr>
            <w:tcW w:w="1133" w:type="dxa"/>
            <w:tcBorders>
              <w:top w:val="single" w:color="auto" w:sz="4" w:space="0"/>
              <w:bottom w:val="nil"/>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inf</w:t>
            </w:r>
          </w:p>
        </w:tc>
        <w:tc>
          <w:tcPr>
            <w:tcW w:w="829" w:type="dxa"/>
            <w:tcBorders>
              <w:top w:val="single" w:color="auto" w:sz="4" w:space="0"/>
              <w:bottom w:val="nil"/>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topen</w:t>
            </w:r>
          </w:p>
        </w:tc>
        <w:tc>
          <w:tcPr>
            <w:tcW w:w="1298" w:type="dxa"/>
            <w:tcBorders>
              <w:top w:val="single" w:color="auto" w:sz="4" w:space="0"/>
              <w:bottom w:val="nil"/>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gfcf</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vMerge w:val="continue"/>
            <w:tcBorders>
              <w:bottom w:val="single" w:color="auto" w:sz="4" w:space="0"/>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p>
        </w:tc>
        <w:tc>
          <w:tcPr>
            <w:tcW w:w="1172" w:type="dxa"/>
            <w:tcBorders>
              <w:top w:val="nil"/>
              <w:bottom w:val="single" w:color="auto" w:sz="4" w:space="0"/>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Life expectancy at birth, total (years)</w:t>
            </w:r>
          </w:p>
        </w:tc>
        <w:tc>
          <w:tcPr>
            <w:tcW w:w="1276" w:type="dxa"/>
            <w:tcBorders>
              <w:top w:val="nil"/>
              <w:bottom w:val="single" w:color="auto" w:sz="4" w:space="0"/>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Mortality rate, under-5 (per 1,000 live births)</w:t>
            </w:r>
          </w:p>
        </w:tc>
        <w:tc>
          <w:tcPr>
            <w:tcW w:w="993" w:type="dxa"/>
            <w:tcBorders>
              <w:top w:val="nil"/>
              <w:bottom w:val="single" w:color="auto" w:sz="4" w:space="0"/>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Monetary policy rate</w:t>
            </w:r>
          </w:p>
        </w:tc>
        <w:tc>
          <w:tcPr>
            <w:tcW w:w="927" w:type="dxa"/>
            <w:tcBorders>
              <w:top w:val="nil"/>
              <w:bottom w:val="single" w:color="auto" w:sz="4" w:space="0"/>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Treasury bill rate</w:t>
            </w:r>
          </w:p>
        </w:tc>
        <w:tc>
          <w:tcPr>
            <w:tcW w:w="804" w:type="dxa"/>
            <w:tcBorders>
              <w:top w:val="nil"/>
              <w:bottom w:val="single" w:color="auto" w:sz="4" w:space="0"/>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12 months deposit rate</w:t>
            </w:r>
          </w:p>
        </w:tc>
        <w:tc>
          <w:tcPr>
            <w:tcW w:w="941" w:type="dxa"/>
            <w:tcBorders>
              <w:top w:val="nil"/>
              <w:bottom w:val="single" w:color="auto" w:sz="4" w:space="0"/>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Liquidity Ratio</w:t>
            </w:r>
          </w:p>
        </w:tc>
        <w:tc>
          <w:tcPr>
            <w:tcW w:w="827" w:type="dxa"/>
            <w:tcBorders>
              <w:top w:val="nil"/>
              <w:bottom w:val="single" w:color="auto" w:sz="4" w:space="0"/>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Loan to Deposit Ratio</w:t>
            </w:r>
          </w:p>
        </w:tc>
        <w:tc>
          <w:tcPr>
            <w:tcW w:w="1343" w:type="dxa"/>
            <w:tcBorders>
              <w:top w:val="nil"/>
              <w:bottom w:val="single" w:color="auto" w:sz="4" w:space="0"/>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Domestic credit to private sector to GDP</w:t>
            </w:r>
          </w:p>
        </w:tc>
        <w:tc>
          <w:tcPr>
            <w:tcW w:w="1607" w:type="dxa"/>
            <w:tcBorders>
              <w:top w:val="nil"/>
              <w:bottom w:val="single" w:color="auto" w:sz="4" w:space="0"/>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Stock market capitalization to GDP</w:t>
            </w:r>
          </w:p>
        </w:tc>
        <w:tc>
          <w:tcPr>
            <w:tcW w:w="1295" w:type="dxa"/>
            <w:tcBorders>
              <w:top w:val="nil"/>
              <w:bottom w:val="single" w:color="auto" w:sz="4" w:space="0"/>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Total stock transaction value to GDP</w:t>
            </w:r>
          </w:p>
        </w:tc>
        <w:tc>
          <w:tcPr>
            <w:tcW w:w="1044" w:type="dxa"/>
            <w:tcBorders>
              <w:top w:val="nil"/>
              <w:bottom w:val="single" w:color="auto" w:sz="4" w:space="0"/>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All share index</w:t>
            </w:r>
          </w:p>
        </w:tc>
        <w:tc>
          <w:tcPr>
            <w:tcW w:w="1133" w:type="dxa"/>
            <w:tcBorders>
              <w:top w:val="nil"/>
              <w:bottom w:val="single" w:color="auto" w:sz="4" w:space="0"/>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Inflation, consumer prices (annual %)</w:t>
            </w:r>
          </w:p>
        </w:tc>
        <w:tc>
          <w:tcPr>
            <w:tcW w:w="829" w:type="dxa"/>
            <w:tcBorders>
              <w:top w:val="nil"/>
              <w:bottom w:val="single" w:color="auto" w:sz="4" w:space="0"/>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Trade (% of GDP)</w:t>
            </w:r>
          </w:p>
        </w:tc>
        <w:tc>
          <w:tcPr>
            <w:tcW w:w="1298" w:type="dxa"/>
            <w:tcBorders>
              <w:top w:val="nil"/>
              <w:bottom w:val="single" w:color="auto" w:sz="4" w:space="0"/>
            </w:tcBorders>
            <w:shd w:val="clear" w:color="auto" w:fill="auto"/>
            <w:noWrap/>
            <w:vAlign w:val="center"/>
          </w:tcPr>
          <w:p>
            <w:pPr>
              <w:spacing w:after="0" w:line="240" w:lineRule="auto"/>
              <w:ind w:left="-108" w:right="-12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Gross fixed capital formation (% of GDP)</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tcBorders>
              <w:top w:val="single" w:color="auto" w:sz="4" w:space="0"/>
            </w:tcBorders>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1985</w:t>
            </w:r>
          </w:p>
        </w:tc>
        <w:tc>
          <w:tcPr>
            <w:tcW w:w="1172" w:type="dxa"/>
            <w:tcBorders>
              <w:top w:val="single" w:color="auto" w:sz="4" w:space="0"/>
            </w:tcBorders>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46.317</w:t>
            </w:r>
          </w:p>
        </w:tc>
        <w:tc>
          <w:tcPr>
            <w:tcW w:w="1276" w:type="dxa"/>
            <w:tcBorders>
              <w:top w:val="single" w:color="auto" w:sz="4" w:space="0"/>
            </w:tcBorders>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207.2</w:t>
            </w:r>
          </w:p>
        </w:tc>
        <w:tc>
          <w:tcPr>
            <w:tcW w:w="993" w:type="dxa"/>
            <w:tcBorders>
              <w:top w:val="single" w:color="auto" w:sz="4" w:space="0"/>
            </w:tcBorders>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10</w:t>
            </w:r>
          </w:p>
        </w:tc>
        <w:tc>
          <w:tcPr>
            <w:tcW w:w="927" w:type="dxa"/>
            <w:tcBorders>
              <w:top w:val="single" w:color="auto" w:sz="4" w:space="0"/>
            </w:tcBorders>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8.5</w:t>
            </w:r>
          </w:p>
        </w:tc>
        <w:tc>
          <w:tcPr>
            <w:tcW w:w="804" w:type="dxa"/>
            <w:tcBorders>
              <w:top w:val="single" w:color="auto" w:sz="4" w:space="0"/>
            </w:tcBorders>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9.750</w:t>
            </w:r>
          </w:p>
        </w:tc>
        <w:tc>
          <w:tcPr>
            <w:tcW w:w="941" w:type="dxa"/>
            <w:tcBorders>
              <w:top w:val="single" w:color="auto" w:sz="4" w:space="0"/>
            </w:tcBorders>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65</w:t>
            </w:r>
          </w:p>
        </w:tc>
        <w:tc>
          <w:tcPr>
            <w:tcW w:w="827" w:type="dxa"/>
            <w:tcBorders>
              <w:top w:val="single" w:color="auto" w:sz="4" w:space="0"/>
            </w:tcBorders>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66.9</w:t>
            </w:r>
          </w:p>
        </w:tc>
        <w:tc>
          <w:tcPr>
            <w:tcW w:w="1343" w:type="dxa"/>
            <w:tcBorders>
              <w:top w:val="single" w:color="auto" w:sz="4" w:space="0"/>
            </w:tcBorders>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6.959</w:t>
            </w:r>
          </w:p>
        </w:tc>
        <w:tc>
          <w:tcPr>
            <w:tcW w:w="1607" w:type="dxa"/>
            <w:tcBorders>
              <w:top w:val="single" w:color="auto" w:sz="4" w:space="0"/>
            </w:tcBorders>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3.514</w:t>
            </w:r>
          </w:p>
        </w:tc>
        <w:tc>
          <w:tcPr>
            <w:tcW w:w="1295" w:type="dxa"/>
            <w:tcBorders>
              <w:top w:val="single" w:color="auto" w:sz="4" w:space="0"/>
            </w:tcBorders>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0.169</w:t>
            </w:r>
          </w:p>
        </w:tc>
        <w:tc>
          <w:tcPr>
            <w:tcW w:w="1044" w:type="dxa"/>
            <w:tcBorders>
              <w:top w:val="single" w:color="auto" w:sz="4" w:space="0"/>
            </w:tcBorders>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127.3</w:t>
            </w:r>
          </w:p>
        </w:tc>
        <w:tc>
          <w:tcPr>
            <w:tcW w:w="1133" w:type="dxa"/>
            <w:tcBorders>
              <w:top w:val="single" w:color="auto" w:sz="4" w:space="0"/>
            </w:tcBorders>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7.435</w:t>
            </w:r>
          </w:p>
        </w:tc>
        <w:tc>
          <w:tcPr>
            <w:tcW w:w="829" w:type="dxa"/>
            <w:tcBorders>
              <w:top w:val="single" w:color="auto" w:sz="4" w:space="0"/>
            </w:tcBorders>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10.392</w:t>
            </w:r>
          </w:p>
        </w:tc>
        <w:tc>
          <w:tcPr>
            <w:tcW w:w="1298" w:type="dxa"/>
            <w:tcBorders>
              <w:top w:val="single" w:color="auto" w:sz="4" w:space="0"/>
            </w:tcBorders>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46.395</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1986</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45.975</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208.1</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10</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8.5</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9.833</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36.4</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83.2</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7.696</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3.432</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0.251</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163.8</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5.717</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9.136</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54.948</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1987</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46.018</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209</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12.75</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11.75</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13.617</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46.5</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72.9</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8.617</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3.351</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0.156</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190.9</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11.290</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19.495</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50.050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1988</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46.072</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209.4</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12.75</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11.75</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14.025</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45</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66.9</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8.658</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3.168</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233.6</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54.511</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16.941</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43.755</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1989</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46.182</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209.6</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18.5</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17.5</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16.417</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40.3</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80.4</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7.329</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3.085</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0.147</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325.3</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50.467</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34.183</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52.487</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1990</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46.037</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209.3</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18.5</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17.5</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21.745</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44.3</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66.5</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6.782</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3.295</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0.046</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513.8</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7.364</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30.925</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53.122</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1991</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45.691</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208.8</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15.5</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15</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16.540</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38.6</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59.8</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7.008</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3.915</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0.041</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783</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13.007</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37.022</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48.400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1992</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45.668</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208.1</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17.5</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21</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19.602</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29.1</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55.2</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6.415</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3.444</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0.054</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1107.6</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44.589</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38.227</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43.774</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1993</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45.788</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207.2</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26</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26.9</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25.645</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42.2</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42.9</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10.111</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3.778</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0.064</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1543.8</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57.165</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33.720</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44.476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1994</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45.513</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205.7</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13.5</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12.5</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13.693</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48.5</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60.9</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8.109</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3.748</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0.056</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2205</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57.032</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23.059</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42.068</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1995</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45.487</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203.7</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13.5</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12.5</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13.897</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33.1</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73.3</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5.806</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5.819</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0.059</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5092.2</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72.836</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39.528</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37.206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1996</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45.567</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201</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13.5</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12.25</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13.582</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43.1</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72.9</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5.839</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6.995</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0.171</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6992.1</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29.268</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40.258</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36.582</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1997</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45.792</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197.2</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13.5</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7.935</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40.2</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76.6</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7.156</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6.380</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0.234</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6440.5</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8.530</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51.461</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38.422</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1998</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46.036</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192.8</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13.5</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12.951</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9.940</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46.8</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74.4</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7.325</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5.465</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0.282</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5672.7</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9.996</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39.279</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40.553</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1999</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46.614</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187.7</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18</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17</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12.183</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61</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54.6</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7.865</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5.472</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0.257</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5266.4</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6.618</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34.458</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38.278</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2000</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47.193</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182.4</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14</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12.063</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64.1</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51</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7.509</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6.687</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0.399</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8111</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6.933</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48.996</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34.049</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2001</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47.619</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177</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20.5</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12.951</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16.297</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52.9</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65.625</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9.290</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8.045</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0.701</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10963.1</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18.874</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49.681</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30.038</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2002</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47.928</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171.4</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16.5</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18.88</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16.495</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52.45</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62.775</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8.090</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6.650</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0.517</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12137.7</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12.877</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40.035</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26.769</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2003</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48.441</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165.8</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15</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15.02</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13.038</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50.9</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61.85</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8.088</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10.027</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0.888</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20128.94</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14.032</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49.335</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28.371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2004</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48.767</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160.4</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15</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14.21</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13.321</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50.475</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68.625</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7.844</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11.656</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1.246</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23844.5</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14.998</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31.896</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26.063</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2005</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49.297</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155.1</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6.995</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10.819</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50.175</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70.8</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7.951</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12.542</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1.137</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24085.8</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17.863</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33.059</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24.966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2006</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49.73</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150.2</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10</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8.8</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8.353</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81.420</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96.817</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7.541</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16.859</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1.548</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33189.3</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8.225</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42.567</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26.166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2007</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50.033</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145.8</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9.5</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6.91</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8.102</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41.555</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83.256</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10.580</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38.014</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3.103</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57990.2</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5.388</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39.337</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20.180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2008</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50.225</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141.9</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9.75</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7.025</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11.778</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37.716</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86.912</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19.770</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23.935</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4.203</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31450.78</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11.581</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40.797</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18.860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2009</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50.712</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138.5</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3.715</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12.848</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26.393</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84.300</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22.755</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16.177</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1.578</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20827.17</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12.538</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36.059</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21.115</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2010</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50.945</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135.7</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6.25</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5.575</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5.670</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27.389</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52.287</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18.962</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17.881</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1.442</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24770.52</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13.740</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43.321</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16.815</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2011</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51.357</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133.4</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11.13</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4.705</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42.02</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44.774</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15.068</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16.127</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1.003</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20730.63</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10.826</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53.278</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15.676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2012</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51.497</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131.4</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13.6</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7.180</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49.719</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42.313</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18.311</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20.387</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1.114</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28078.81</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12.224</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44.532</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14.211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2013</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51.707</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129.6</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10.42</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5.535</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46.235</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37.559</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17.851</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23.549</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2.902</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41329.19</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8.496</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31.049</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14.169</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2014</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51.791</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128</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11.995</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9.159</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38.267</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63.607</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18.586</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18.722</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1.485</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34657.15</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8.047</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30.885</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15.084</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2015</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51.841</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126.4</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11</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9.14</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8.678</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42.347</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69.578</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19.635</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17.865</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1.028</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28642.25</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9.009</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21.333</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14.827</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2016</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52.043</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124.7</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14</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10.75</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6.221</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45.95</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79.95</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20.497</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15.779</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0.563</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26874.62</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15.697</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20.723</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14.725</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2017</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52.305</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122.4</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14</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13.99</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10.865</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54.790</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72.841</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19.547</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18.389</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0.939</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38243.19</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16.502</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26.348</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14.716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2018</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52.554</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119.6</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14</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12.175</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10.306</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65.044</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60.163</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17.543</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16.968</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0.932</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31430.5</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12.095</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33.008</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19.018</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2019</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52.91</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116.8</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13.5</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9.5</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10.148</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104.202</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58.726</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17.630</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17.777</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0.640</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26842.07</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11.396</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34.024</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24.625</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2020</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52.887</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113.8</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11.5</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3.17</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6.509</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67.599</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60.333</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18.820</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25.017</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0.704</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40270.72</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13.246</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16.352</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26.744</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2021</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52.676</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110.8</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11.5</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5.015</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6.248</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61.195</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60.478</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18.654</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23.884</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0.542</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42716.44</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16.953</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22.577</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33.107</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0"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2022</w:t>
            </w:r>
          </w:p>
        </w:tc>
        <w:tc>
          <w:tcPr>
            <w:tcW w:w="1172"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52.676</w:t>
            </w:r>
          </w:p>
        </w:tc>
        <w:tc>
          <w:tcPr>
            <w:tcW w:w="1276"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110.8</w:t>
            </w:r>
          </w:p>
        </w:tc>
        <w:tc>
          <w:tcPr>
            <w:tcW w:w="99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16.5</w:t>
            </w:r>
          </w:p>
        </w:tc>
        <w:tc>
          <w:tcPr>
            <w:tcW w:w="9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8.22</w:t>
            </w:r>
          </w:p>
        </w:tc>
        <w:tc>
          <w:tcPr>
            <w:tcW w:w="80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6.620</w:t>
            </w:r>
          </w:p>
        </w:tc>
        <w:tc>
          <w:tcPr>
            <w:tcW w:w="941"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54.934</w:t>
            </w:r>
          </w:p>
        </w:tc>
        <w:tc>
          <w:tcPr>
            <w:tcW w:w="82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61.696</w:t>
            </w:r>
          </w:p>
        </w:tc>
        <w:tc>
          <w:tcPr>
            <w:tcW w:w="134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19.249</w:t>
            </w:r>
          </w:p>
        </w:tc>
        <w:tc>
          <w:tcPr>
            <w:tcW w:w="1607"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25.295</w:t>
            </w:r>
          </w:p>
        </w:tc>
        <w:tc>
          <w:tcPr>
            <w:tcW w:w="1295"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0.577</w:t>
            </w:r>
          </w:p>
        </w:tc>
        <w:tc>
          <w:tcPr>
            <w:tcW w:w="1044"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51251.06</w:t>
            </w:r>
          </w:p>
        </w:tc>
        <w:tc>
          <w:tcPr>
            <w:tcW w:w="1133"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18.847</w:t>
            </w:r>
          </w:p>
        </w:tc>
        <w:tc>
          <w:tcPr>
            <w:tcW w:w="829"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22.577</w:t>
            </w:r>
          </w:p>
        </w:tc>
        <w:tc>
          <w:tcPr>
            <w:tcW w:w="1298" w:type="dxa"/>
            <w:shd w:val="clear" w:color="auto" w:fill="auto"/>
            <w:noWrap/>
            <w:vAlign w:val="center"/>
          </w:tcPr>
          <w:p>
            <w:pPr>
              <w:spacing w:before="40" w:after="40" w:line="240" w:lineRule="auto"/>
              <w:ind w:left="-108" w:right="-128"/>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33.107</w:t>
            </w:r>
          </w:p>
        </w:tc>
      </w:tr>
    </w:tbl>
    <w:p>
      <w:pPr>
        <w:pStyle w:val="14"/>
        <w:spacing w:after="120" w:line="276" w:lineRule="auto"/>
        <w:jc w:val="both"/>
        <w:rPr>
          <w:rFonts w:ascii="Times New Roman" w:hAnsi="Times New Roman" w:eastAsia="Calibri"/>
          <w:sz w:val="22"/>
          <w:szCs w:val="22"/>
        </w:rPr>
      </w:pPr>
      <w:r>
        <w:rPr>
          <w:rFonts w:ascii="Times New Roman" w:hAnsi="Times New Roman" w:eastAsia="Calibri"/>
          <w:b/>
          <w:sz w:val="22"/>
          <w:szCs w:val="22"/>
        </w:rPr>
        <w:t xml:space="preserve">Source: </w:t>
      </w:r>
      <w:r>
        <w:rPr>
          <w:rFonts w:ascii="Times New Roman" w:hAnsi="Times New Roman" w:eastAsia="Calibri"/>
          <w:sz w:val="22"/>
          <w:szCs w:val="22"/>
        </w:rPr>
        <w:t>CBN statistical bulletin (2022), WDI (2023).</w:t>
      </w:r>
    </w:p>
    <w:p>
      <w:pPr>
        <w:pStyle w:val="14"/>
        <w:spacing w:after="120" w:line="276" w:lineRule="auto"/>
        <w:jc w:val="both"/>
        <w:rPr>
          <w:rFonts w:ascii="Times New Roman" w:hAnsi="Times New Roman" w:eastAsia="Calibri"/>
          <w:sz w:val="22"/>
          <w:szCs w:val="22"/>
        </w:rPr>
      </w:pPr>
    </w:p>
    <w:p>
      <w:pPr>
        <w:pStyle w:val="14"/>
        <w:spacing w:after="120" w:line="276" w:lineRule="auto"/>
        <w:jc w:val="both"/>
        <w:rPr>
          <w:rFonts w:ascii="Times New Roman" w:hAnsi="Times New Roman" w:eastAsia="Calibri"/>
          <w:sz w:val="22"/>
          <w:szCs w:val="22"/>
        </w:rPr>
        <w:sectPr>
          <w:pgSz w:w="16838" w:h="11906" w:orient="landscape"/>
          <w:pgMar w:top="1440" w:right="1440" w:bottom="1440" w:left="1440" w:header="709" w:footer="709" w:gutter="0"/>
          <w:cols w:space="708" w:num="1"/>
          <w:docGrid w:linePitch="360" w:charSpace="0"/>
        </w:sectPr>
      </w:pPr>
    </w:p>
    <w:p>
      <w:pPr>
        <w:rPr>
          <w:rFonts w:ascii="Times New Roman" w:hAnsi="Times New Roman" w:cs="Times New Roman"/>
          <w:b/>
          <w:sz w:val="24"/>
          <w:szCs w:val="24"/>
        </w:rPr>
      </w:pPr>
      <w:r>
        <w:rPr>
          <w:rFonts w:ascii="Times New Roman" w:hAnsi="Times New Roman" w:cs="Times New Roman"/>
          <w:b/>
          <w:sz w:val="24"/>
          <w:szCs w:val="24"/>
        </w:rPr>
        <w:t>Unit root</w:t>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LEXP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Lag Length: 1 (Automatic - based on SIC, maxlag=9)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-1.693391</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0.7335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-4.234972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-3.540328</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-3.202445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Equation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D(LEXP)</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12:33</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1987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LEXP(-1)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-0.069455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0.041015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-1.693391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0.1001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D(LEXP(-1))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0.570117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0.130933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4.354279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3.138638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1.803172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1.740620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0.0914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0.017250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0.010863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1.588012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0.1221</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0.455437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0.186139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0.404385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0.233517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0.180220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-0.484842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1.039332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-0.308895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12.72715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-0.423432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8.920918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2.027377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0.000193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D(LEXP)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Lag Length: 0 (Automatic - based on SIC, maxlag=9)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-3.966543</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0.0152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-4.234972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-3.540328</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-3.202445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Equation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D(LEXP,2)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12:35</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1987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D(LEXP(-1))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-0.393991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0.132811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-2.966543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0.087090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0.065834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1.322871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0.1950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-0.000410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0.003124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-0.131252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0.8964</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0.232692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0.009500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0.186188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0.205350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0.185249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-0.454576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1.132468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-0.322616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11.18237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-0.408518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5.003744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2.055973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0.012647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p>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LEXP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Bandwidth: 4 (Newey-West automatic) using Bartlett kernel</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Adj. t-Stat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-2.404411</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0.3714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Residual variance (no correction)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0.045917</w:t>
            </w: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HAC corrected variance (Bartlett kernel)</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0.118918</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Equation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D(LEXP)</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12:39</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LEXP(-1)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-0.117900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0.045663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-2.581980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0.0143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5.264633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2.017396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2.609619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0.0134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0.034377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0.011546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2.977438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0.0053</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0.220653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0.171865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0.174809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0.246078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0.223537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-0.080874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1.698941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0.049741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4.496162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-0.034826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4.813133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0.767503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0.014435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p>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D(LEXP)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Bandwidth: 1 (Newey-West automatic) using Bartlett kernel</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Adj. t-Stat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-3.933272</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0.0166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-4.234972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-3.540328</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-3.202445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Residual variance (no correction)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0.031457</w:t>
            </w: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HAC corrected variance (Bartlett kernel)</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0.030160</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Equation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D(LEXP,2)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12:40</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1987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D(LEXP(-1))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-0.393991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0.132811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-2.966543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0.087090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0.065834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1.322871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0.1950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-0.000410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0.003124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-0.131252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0.8964</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0.232692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0.009500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0.186188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0.205350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0.185249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-0.454576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1.132468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-0.322616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11.18237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-0.408518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5.003744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2.055973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0.012647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UN5M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Lag Length: 4 (Automatic - based on SIC, maxlag=9)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0.067131</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0.9955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-4.262735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-3.552973</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-3.209642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Equation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D(UN5M)</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12:41</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1990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33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UN5M(-1)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0.002777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0.041369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0.067131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0.9470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D(UN5M(-1))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1.774881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0.588138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3.017798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D(UN5M(-2))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-1.043169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0.879581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-1.185983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0.2464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D(UN5M(-3))</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0.290108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0.837195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0.346523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0.7317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D(UN5M(-4))</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-0.068805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0.496527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-0.138572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0.8909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-1.175721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9.475973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-0.124074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0.9022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0.030879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0.135908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0.227204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0.8220</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0.903179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-2.993939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0.880836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1.712991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0.591327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1.972936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9.091360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2.290377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-25.55345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2.079746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40.42287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1.266241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0.000000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D(UN5M)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Lag Length: 1 (Automatic - based on SIC, maxlag=9)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-4.698982</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0.0063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-4.243644</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-3.544284</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-3.204699</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Equation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D(UN5M,2)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12:42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1988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35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D(UN5M(-1))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-0.036963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0.052881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-0.698982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0.4898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D(UN5M(-1),2)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0.646037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0.249271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2.591709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0.0144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-0.439145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0.250988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-1.749671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0.0901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0.019133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0.010514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1.819784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0.0785</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0.381001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-0.025714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0.321098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0.670532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0.552488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1.758442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9.462548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1.936196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-26.77274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1.819803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6.360288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1.247307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0.001736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p>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UN5M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Bandwidth: 5 (Newey-West automatic) using Bartlett kernel</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Adj. t-Stat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-2.460928</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0.3444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Residual variance (no correction)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2.879999</w:t>
            </w: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HAC corrected variance (Bartlett kernel)</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13.36179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Equation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D(UN5M)</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12:46</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UN5M(-1)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-0.108792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0.040273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-2.701348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0.0107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23.16637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9.201523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2.517666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0.0167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-0.405310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0.133999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-3.024725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0.0047</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0.240804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-2.605405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0.196145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1.974553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1.770344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4.057829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106.5600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4.188444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-72.06984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4.103877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5.392102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0.139575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0.009247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D(UN5M)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Bandwidth: 1 (Used-specified) using Bartlett kernel</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Adj. t-Stat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-4.604974</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0.0042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-4.234972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-3.540328</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-3.202445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Residual variance (no correction)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0.331363</w:t>
            </w: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HAC corrected variance (Bartlett kernel)</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0.413828</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Equation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D(UN5M,2)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12:47</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1987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D(UN5M(-1))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-0.024395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0.055922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-0.436231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0.6655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-0.625566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0.226255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-2.764872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0.0092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0.027448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0.010362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2.648981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0.0123</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0.219686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-0.025000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0.172394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0.660898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0.601238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1.900002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11.92906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2.031962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-31.20004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1.946060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4.645322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0.933356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0.016690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MPR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Lag Length: 0 (Automatic - based on SIC, maxlag=9)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-3.591582</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0.0444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Equation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D(MPR)</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12:52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MPR(-1)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-0.540900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0.150602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-3.591582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8.742682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2.600424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3.362021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-0.065417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0.052275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-1.251420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0.2193</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0.275115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0.175676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0.232475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3.657121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3.203949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5.244250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349.0199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5.374865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-94.01863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5.290298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6.451995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2.080899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0.004213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MPR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Bandwidth: 3 (Used-specified) using Bartlett kernel</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Adj. t-Stat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-3.547952</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0.0488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Residual variance (no correction)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9.432970</w:t>
            </w: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HAC corrected variance (Bartlett kernel)</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8.962140</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Equation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D(MPR)</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12:54</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MPR(-1)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-0.540900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0.150602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-3.591582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8.742682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2.600424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3.362021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-0.065417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0.052275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-1.251420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0.2193</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0.275115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0.175676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0.232475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3.657121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3.203949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5.244250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349.0199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5.374865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-94.01863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5.290298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6.451995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2.080899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0.004213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TBR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Lag Length: 0 (Automatic - based on SIC, maxlag=9)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-3.627605</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0.0410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Equation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D(TBR)</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12:55</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TBR(-1)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-0.513192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0.141469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-3.627605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8.653291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2.538662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3.408602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-0.134219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0.062904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-2.133723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0.0402</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0.283703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-0.007568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0.241568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4.184579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3.644266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5.501792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451.5429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5.632407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-98.78315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5.547840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6.733181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1.939204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0.003440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TBR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Bandwidth: 1 (Used-specified) using Bartlett kernel</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Adj. t-Stat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-3.632071</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0.0406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Residual variance (no correction)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12.20386</w:t>
            </w: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HAC corrected variance (Bartlett kernel)</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12.28221</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Equation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D(TBR)</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12:56</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TBR(-1)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-0.513192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0.141469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-3.627605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8.653291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2.538662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3.408602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-0.134219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0.062904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-2.133723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0.0402</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0.283703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-0.007568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0.241568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4.184579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3.644266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5.501792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451.5429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5.632407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-98.78315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5.547840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6.733181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1.939204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0.003440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MDR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Lag Length: 0 (Automatic - based on SIC, maxlag=9)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-3.815970</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0.0268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Equation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D(MDR)</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12:57</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MDR(-1)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-0.542745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0.142230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-3.815970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9.557765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2.596645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3.680813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-0.173398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0.060993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-2.842941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0.0075</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0.305573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-0.084595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0.264725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3.645243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3.125730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5.194818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332.1864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5.325433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-93.10413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5.240866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7.480627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2.041136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0.002031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MDR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Bandwidth: 3 (Used-specified) using Bartlett kernel</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Adj. t-Stat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-3.776786</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0.0293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Residual variance (no correction)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8.978011</w:t>
            </w: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HAC corrected variance (Bartlett kernel)</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8.393797</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Equation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D(MDR)</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12:59</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MDR(-1)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-0.542745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0.142230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-3.815970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9.557765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2.596645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3.680813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-0.173398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0.060993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-2.842941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0.0075</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0.305573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-0.084595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0.264725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3.645243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3.125730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5.194818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332.1864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5.325433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-93.10413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5.240866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7.480627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2.041136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0.002031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LR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Lag Length: 0 (Automatic - based on SIC, maxlag=9)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-4.069396</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0.0147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Equation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D(LR)</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13:00</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-0.608000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0.149408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-4.069396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22.44520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7.397546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3.034141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0.372304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0.207454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1.794635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0.0816</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0.330796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-0.272052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0.291431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15.13370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12.73903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8.004823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5517.619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8.135438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-145.0892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8.050871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8.403306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1.873202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0.001083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LR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Bandwidth: 1 (Newey-West automatic) using Bartlett kernel</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Adj. t-Stat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-4.099379</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0.0137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Residual variance (no correction)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149.1248</w:t>
            </w: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HAC corrected variance (Bartlett kernel)</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156.2904</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Equation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D(LR)</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13:01</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-0.608000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0.149408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-4.069396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22.44520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7.397546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3.034141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0.372304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0.207454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1.794635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0.0816</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0.330796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-0.272052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0.291431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15.13370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12.73903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8.004823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5517.619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8.135438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-145.0892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8.050871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8.403306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1.873202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0.001083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LDR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Lag Length: 3 (Automatic - based on SIC, maxlag=9)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-5.210985</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0.0009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-4.252879</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-3.548490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-3.207094</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Equation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D(LDR)</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13:02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1989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34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LDR(-1)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-0.961451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0.184505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-5.210985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D(LDR(-1))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0.521310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0.165300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3.153716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D(LDR(-2))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0.416272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0.160824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2.588368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0.0151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D(LDR(-3))</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0.508542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0.154825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3.284616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65.52325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13.12504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4.992234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-0.113938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0.164002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-0.694733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0.4929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0.496484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-0.153072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0.406571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12.05672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9.287813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7.454068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2415.377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7.723426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-120.7192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7.545927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5.521799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1.733227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0.001165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LDR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Bandwidth: 2 (Used-specified) using Bartlett kernel</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Adj. t-Stat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-5.177891</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0.0010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Residual variance (no correction)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111.3573</w:t>
            </w: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HAC corrected variance (Bartlett kernel)</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133.3239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Equation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D(LDR)</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13:05</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LDR(-1)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-0.416048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0.139121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-2.990549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29.03208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10.34607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2.806097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0.0082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-0.090209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0.171389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-0.526340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0.6021</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0.208391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-0.140661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0.161826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12.02413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11.00831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7.712783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4120.221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7.843398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-139.6865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7.758831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4.475253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1.643139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0.018823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DCPS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Lag Length: 1 (Automatic - based on SIC, maxlag=9)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-3.158999</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0.1087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-4.234972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-3.540328</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-3.202445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Equation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D(DCPS)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13:21</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1987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DCPS(-1)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-0.367456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0.116320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-3.158999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D(DCPS(-1))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0.368178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0.161312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2.282396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0.0293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1.311877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0.823256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1.593523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0.1209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0.170870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0.060598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2.819718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0.0082</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0.267803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0.320907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0.199159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2.277900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2.038486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4.366731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132.9736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4.542678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-74.60116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4.428141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3.901354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1.833770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0.017538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D(DCPS)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Lag Length: 1 (Automatic - based on SIC, maxlag=9)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-5.531811</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0.0004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-4.243644</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-3.544284</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-3.204699</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Equation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D(DCPS,2)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13:22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1988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35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D(DCPS(-1))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-1.146553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0.207265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-5.531811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D(DCPS(-1),2)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0.415909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0.163111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2.549847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0.0159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0.018155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0.807798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0.022475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0.9822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0.017112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0.036115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0.473809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0.6390</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0.509350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-0.009323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0.461868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2.935532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2.153432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4.479213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143.7554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4.656967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-74.38623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4.540574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10.72718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2.100122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0.000054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DCPS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Bandwidth: 8 (Newey-West automatic) using Bartlett kernel</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Adj. t-Stat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-2.183542</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0.4843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Residual variance (no correction)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4.229831</w:t>
            </w: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HAC corrected variance (Bartlett kernel)</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3.526009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Equation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D(DCPS)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13:23</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DCPS(-1)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-0.264292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0.113501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-2.328544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0.0260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1.170528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0.838928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1.395267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0.1720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0.122120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0.058871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2.074342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0.0457</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0.139038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0.332163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0.088393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2.247083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2.145472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4.442201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156.5038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4.572816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-79.18072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4.488249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2.745347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1.458790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0.078475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D(DCPS)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Bandwidth: 3 (Used-specified) using Bartlett kernel</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Adj. t-Stat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-4.594906</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0.0040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-4.234972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-3.540328</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-3.202445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Residual variance (no correction)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4.845604</w:t>
            </w: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HAC corrected variance (Bartlett kernel)</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3.037998</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Equation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D(DCPS,2)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13:24</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1987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D(DCPS(-1))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-0.808283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0.170683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-4.735580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0.068292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0.815491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0.083743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0.9338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0.009761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0.036913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0.264419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0.7931</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0.404688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-0.003974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0.368609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2.893470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2.299155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4.582616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174.4417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4.714575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-79.48708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4.628673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11.21657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1.842535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0.000192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SMK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Lag Length: 0 (Automatic - based on SIC, maxlag=9)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-3.444637</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0.0608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Equation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D(SMK)</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13:27</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SMK(-1)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-0.511797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0.148578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-3.444637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0.188242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1.458245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0.129088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0.8980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0.347083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0.116725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2.973524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0.0054</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0.259821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0.588689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0.216281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4.908168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4.345099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5.853579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641.9162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5.984194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-105.2912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5.899627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5.967403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1.878550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0.006008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D(SMK)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Lag Length: 0 (Automatic - based on SIC, maxlag=9)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-6.735568</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-4.234972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-3.540328</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-3.202445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Equation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D(SMK,2)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13:28</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1987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D(SMK(-1))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-1.157902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0.171909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-6.735568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0.339265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1.793505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0.189163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0.8511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0.018328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0.081189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0.225741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0.8228</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0.578910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0.041460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0.553389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7.568405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5.057887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6.159430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844.2133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6.291390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-107.8697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6.205487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22.68398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2.095301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0.000001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SMK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Bandwidth: 1 (Newey-West automatic) using Bartlett kernel</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Adj. t-Stat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-3.498694</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0.0542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Residual variance (no correction)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17.34909</w:t>
            </w: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HAC corrected variance (Bartlett kernel)</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18.37881</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Equation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D(SMK)</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13:33</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SMK(-1)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-0.511797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0.148578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-3.444637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0.188242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1.458245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0.129088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0.8980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0.347083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0.116725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2.973524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0.0054</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0.259821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0.588689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0.216281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4.908168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4.345099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5.853579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641.9162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5.984194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-105.2912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5.899627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5.967403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1.878550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0.006008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D(SMK)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Bandwidth: 1 (Newey-West automatic) using Bartlett kernel</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Adj. t-Stat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-8.928487</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-4.234972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-3.540328</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-3.202445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Residual variance (no correction)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23.45037</w:t>
            </w: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HAC corrected variance (Bartlett kernel)</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6.059036</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Equation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D(SMK,2)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13:34</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1987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D(SMK(-1))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-1.157902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0.171909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-6.735568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0.339265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1.793505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0.189163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0.8511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0.018328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0.081189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0.225741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0.8228</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0.578910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0.041460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0.553389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7.568405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5.057887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6.159430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844.2133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6.291390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-107.8697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6.205487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22.68398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2.095301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0.000001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TSTV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Lag Length: 0 (Automatic - based on SIC, maxlag=9)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-2.579305</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0.2913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Equation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D(TSTV)</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14:09</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TSTV(-1)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-0.347232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0.134622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-2.579305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0.0144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0.103358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0.218465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0.473109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0.6392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0.010389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0.011487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0.904405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0.3721</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0.167071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0.011051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0.118075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0.692991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0.650794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2.056358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14.40012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2.186973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-35.04262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2.102406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3.409901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1.884449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0.044703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D(TSTV)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Lag Length: 0 (Automatic - based on SIC, maxlag=9)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-6.444696</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-4.234972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-3.540328</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-3.202445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Equation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D(TSTV,2)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14:10</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1987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D(TSTV(-1))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-1.114813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0.172981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-6.444696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0.100501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0.254935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0.394220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0.6960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-0.004628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0.011539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-0.401092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0.6909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0.557259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-0.001307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0.530426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1.047129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0.717550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2.253707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16.99098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2.385667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-37.56673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2.299765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20.76784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2.056012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0.000001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TSTV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Bandwidth: 2 (Newey-West automatic) using Bartlett kernel</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Adj. t-Stat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-2.585500</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0.2887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Residual variance (no correction)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0.389192</w:t>
            </w: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HAC corrected variance (Bartlett kernel)</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0.391391</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Equation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D(TSTV)</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14:11</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TSTV(-1)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-0.347232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0.134622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-2.579305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0.0144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0.103358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0.218465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0.473109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0.6392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0.010389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0.011487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0.904405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0.3721</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0.167071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0.011051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0.118075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0.692991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0.650794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2.056358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14.40012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2.186973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-35.04262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2.102406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3.409901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1.884449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0.044703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D(TSTV)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Bandwidth: 3 (Used-specified) using Bartlett kernel</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Adj. t-Stat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-6.792522</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-4.234972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-3.540328</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-3.202445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Residual variance (no correction)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0.471972</w:t>
            </w: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HAC corrected variance (Bartlett kernel)</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0.280111</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Equation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D(TSTV,2)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14:12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1987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D(TSTV(-1))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-1.114813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0.172981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-6.444696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0.100501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0.254935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0.394220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0.6960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-0.004628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0.011539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-0.401092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0.6909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0.557259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-0.001307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0.530426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1.047129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0.717550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2.253707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16.99098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2.385667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-37.56673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2.299765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20.76784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2.056012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0.000001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ASI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Lag Length: 0 (Automatic - based on SIC, maxlag=9)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-3.431468</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0.0626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Equation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D(ASI)</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14:13</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ASI(-1)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-0.524416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0.152825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-3.431468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-2995.621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2573.734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-1.163920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0.2526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725.6889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222.5662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3.260553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0.0025</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0.262329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1381.723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0.218936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8087.761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7147.786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20.66460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1.74E+09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20.79521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-379.2951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20.71065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6.045497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1.793060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0.005671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D(ASI)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Lag Length: 1 (Automatic - based on SIC, maxlag=9)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-6.034933</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0.0001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-4.243644</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-3.544284</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-3.204699</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Equation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D(ASI,2)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14:14</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1988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35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D(ASI(-1))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-1.522299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0.252248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-6.034933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D(ASI(-1),2)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0.366504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0.168889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2.170093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0.0378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574.7219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3018.879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0.190376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0.8503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74.69586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134.7913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0.554159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0.5834</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0.611596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243.0720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0.574008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12320.03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8041.044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20.92972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2.00E+09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21.10747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-362.2700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20.99108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16.27126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1.935113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0.000002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ASI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Bandwidth: 3 (Used-specified) using Bartlett kernel</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Adj. t-Stat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-3.387961</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0.0685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Residual variance (no correction)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46948342</w:t>
            </w: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HAC corrected variance (Bartlett kernel)</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44900368</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Equation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D(ASI)</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14:15</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ASI(-1)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-0.524416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0.152825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-3.431468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-2995.621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2573.734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-1.163920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0.2526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725.6889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222.5662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3.260553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0.0025</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0.262329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1381.723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0.218936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8087.761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7147.786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20.66460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1.74E+09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20.79521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-379.2951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20.71065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6.045497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1.793060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0.005671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D(ASI)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Bandwidth: 3 (Used-specified) using Bartlett kernel</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Adj. t-Stat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-6.652746</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-4.234972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-3.540328</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-3.202445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Residual variance (no correction)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64141078</w:t>
            </w: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HAC corrected variance (Bartlett kernel)</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39735873</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Equation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D(ASI,2)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14:16</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1987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D(ASI(-1))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-1.113385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0.174497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-6.380526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295.0695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2966.662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0.099462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0.9214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64.52099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134.3288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0.480322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0.6342</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0.552564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236.0589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0.525447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12142.83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8364.932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20.98114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2.31E+09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21.11310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-374.6605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21.02720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20.37679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2.065338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0.000002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INF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Lag Length: 1 (Fixed)</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-4.430492</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0.0061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-4.234972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-3.540328</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-3.202445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Equation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D(INF)</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14:20</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1987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-0.656270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0.148126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-4.430492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0.389095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0.155125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2.508271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0.0174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23.17716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6.566098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3.529823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-0.520807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0.224180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-2.323162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0.0267</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0.385671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0.364723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0.328078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15.10885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12.38485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7.975265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4908.306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8.151211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-139.5548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8.036675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6.696462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1.906031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0.001233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INF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Bandwidth: 1 (Used-specified) using Bartlett kernel</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Adj. t-Stat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-4.410346</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0.0069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Residual variance (no correction)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164.4281</w:t>
            </w: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HAC corrected variance (Bartlett kernel)</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195.0820</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Equation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D(INF)</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14:21</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-0.451060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0.138499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-3.256762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15.26894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6.202275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2.461829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0.0191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-0.333533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0.223161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-1.494588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0.1442</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0.238943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0.308428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0.194174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14.90146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13.37671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8.102513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6083.840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8.233128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-146.8965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8.148561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5.337340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1.590883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0.009640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TOPEN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Lag Length: 0 (Automatic - based on SIC, maxlag=9)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-2.922781</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0.1673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Equation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D(TOPEN)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14:23</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-0.354203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0.121187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-2.922781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0.0061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14.40826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4.699345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3.066015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-0.112565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0.125989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-0.893457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0.3779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0.227732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0.329312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0.182305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8.995255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8.134094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7.107611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2249.558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7.238226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-128.4908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7.153658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5.013095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2.251892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0.012361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D(TOPEN)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Lag Length: 0 (Automatic - based on SIC, maxlag=9)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-7.832784</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-4.234972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-3.540328</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-3.202445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Equation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D(TOPEN,2)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14:23</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1987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-1.297923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0.165704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-7.832784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4.804140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3.167431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1.516731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0.1389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-0.222049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0.143481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-1.547586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0.1313</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0.650263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0.034893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0.629067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14.41795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8.781143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7.262746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2544.580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7.394706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-127.7294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7.308803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30.67835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2.099475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0.000000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TOPEN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Bandwidth: 5 (Newey-West automatic) using Bartlett kernel</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Adj. t-Stat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-2.673614</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0.2527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Residual variance (no correction)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60.79888</w:t>
            </w: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HAC corrected variance (Bartlett kernel)</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37.57392</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Equation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D(TOPEN)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14:24</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-0.354203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0.121187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-2.922781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0.0061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14.40826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4.699345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3.066015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-0.112565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0.125989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-0.893457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0.3779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0.227732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0.329312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0.182305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8.995255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8.134094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7.107611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2249.558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7.238226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-128.4908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7.153658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5.013095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2.251892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0.012361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D(TOPEN)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Bandwidth: 3 (Used-specified) using Bartlett kernel</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Adj. t-Stat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-8.740681</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-4.234972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-3.540328</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-3.202445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Residual variance (no correction)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70.68277</w:t>
            </w: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HAC corrected variance (Bartlett kernel)</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40.42842</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Equation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D(TOPEN,2)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14:25</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1987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-1.297923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0.165704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-7.832784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4.804140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3.167431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1.516731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0.1389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-0.222049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0.143481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-1.547586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0.1313</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0.650263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0.034893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0.629067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14.41795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8.781143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7.262746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2544.580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7.394706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-127.7294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7.308803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30.67835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2.099475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0.000000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GFCF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Lag Length: 0 (Automatic - based on SIC, maxlag=9)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-0.212788</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0.9903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Equation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D(GFCF)</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14:25</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-0.021378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0.100465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-0.212788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0.8328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-0.739286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5.282424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-0.139952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0.8895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0.055003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0.120421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0.456759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0.6507</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0.050720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-0.359138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-0.005120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3.769163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3.778799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5.574294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485.4969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5.704909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-100.1244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5.620342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0.908314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1.764039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0.412764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D(GFCF)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Lag Length: 0 (Automatic - based on SIC, maxlag=9)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-6.688571</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-4.234972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-3.540328</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-3.202445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Augmented Dickey-Fuller Test Equation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D(GFCF,2)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14:26</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1987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-1.013628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0.151546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-6.688571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-3.100617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1.220276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-2.540915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0.0159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0.127636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0.054978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2.321573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0.0266</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0.579172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-0.237578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0.553667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4.995325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3.337283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5.327846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367.5361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5.459806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-92.90124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5.373904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22.70843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1.871908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0.000001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GFCF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Bandwidth: 2 (Newey-West automatic) using Bartlett kernel</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Adj. t-Stat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0.070999</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0.9958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-4.226815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-3.536601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-3.200320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Residual variance (no correction)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13.12154</w:t>
            </w: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HAC corrected variance (Bartlett kernel)</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11.07403</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Equation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D(GFCF)</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14:26</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1986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37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-0.021378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0.100465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-0.212788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0.8328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-0.739286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5.282424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-0.139952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0.8895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0.055003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0.120421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0.456759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0.6507</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0.050720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-0.359138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-0.005120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3.769163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3.778799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5.574294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485.4969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5.704909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-100.1244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5.620342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0.908314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1.764039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0.412764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Null Hypothesis: D(GFCF) has a unit root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Exogenous: Constant, Linear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Bandwidth: 3 (Newey-West automatic) using Bartlett kernel</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Adj. t-Stat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Prob.*</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single" w:color="auto" w:sz="6" w:space="0"/>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statistic</w:t>
            </w:r>
          </w:p>
        </w:tc>
        <w:tc>
          <w:tcPr>
            <w:tcW w:w="1208"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-6.818599</w:t>
            </w:r>
          </w:p>
        </w:tc>
        <w:tc>
          <w:tcPr>
            <w:tcW w:w="997"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critical values:</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-4.234972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5%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-3.540328</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10% level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-3.202445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*MacKinnon (1996) one-sided p-values.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Residual variance (no correction)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10.20934</w:t>
            </w: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HAC corrected variance (Bartlett kernel)</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8.776434</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Phillips-Perron Test Equation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D(GFCF,2)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Least Squares</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14:27</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1987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-1.013628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0.151546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-6.688571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-3.100617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1.220276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-2.540915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0.0159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@TREND("1985")</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0.127636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0.054978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2.321573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0.0266</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0.579172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-0.237578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0.553667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4.995325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3.337283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5.327846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367.5361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5.459806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-92.90124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5.373904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22.70843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1.871908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0.000001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rPr>
          <w:rFonts w:ascii="Times New Roman" w:hAnsi="Times New Roman" w:cs="Times New Roman"/>
          <w:b/>
          <w:sz w:val="24"/>
          <w:szCs w:val="24"/>
        </w:rPr>
      </w:pPr>
      <w:r>
        <w:rPr>
          <w:rFonts w:ascii="Times New Roman" w:hAnsi="Times New Roman" w:cs="Times New Roman"/>
          <w:b/>
          <w:sz w:val="24"/>
          <w:szCs w:val="24"/>
        </w:rPr>
        <w:t>First objectives</w:t>
      </w:r>
    </w:p>
    <w:p>
      <w:pPr>
        <w:rPr>
          <w:rFonts w:ascii="Times New Roman" w:hAnsi="Times New Roman" w:cs="Times New Roman"/>
          <w:b/>
          <w:sz w:val="24"/>
          <w:szCs w:val="24"/>
        </w:rPr>
      </w:pPr>
      <w:r>
        <w:rPr>
          <w:rFonts w:ascii="Times New Roman" w:hAnsi="Times New Roman" w:cs="Times New Roman"/>
          <w:b/>
          <w:sz w:val="24"/>
          <w:szCs w:val="24"/>
        </w:rPr>
        <w:t>Life expectancy</w:t>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LEXP</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2"/>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ARDL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14:35</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1988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35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Maximum dependent lags: 4 (Automatic selection)</w:t>
            </w: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Model selection method: Akaike info criterion (AIC)</w:t>
            </w: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Dynamic regressors (3 lags, automatic): MPR TBR MDR INF TOPEN GFCF </w:t>
            </w:r>
          </w:p>
        </w:tc>
      </w:tr>
      <w:tr>
        <w:tblPrEx>
          <w:tblCellMar>
            <w:top w:w="0" w:type="dxa"/>
            <w:left w:w="0" w:type="dxa"/>
            <w:bottom w:w="0" w:type="dxa"/>
            <w:right w:w="0" w:type="dxa"/>
          </w:tblCellMar>
        </w:tblPrEx>
        <w:trPr>
          <w:trHeight w:val="225" w:hRule="atLeast"/>
        </w:trPr>
        <w:tc>
          <w:tcPr>
            <w:tcW w:w="2017" w:type="dxa"/>
            <w:gridSpan w:val="2"/>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Fixed regressors: C</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Number of models evalulated: 16384</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Selected Model: ARDL(2, 1, 0, 3, 2, 3, 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Note: final equation sample is larger than selection sample</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LEXP(-1)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0.602154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0.215757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2.790884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0.0137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LEXP(-2)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0.190781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0.191948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0.993923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0.3360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MPR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0.028931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0.012495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2.315342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0.0352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MPR(-1)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0.014841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0.012310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1.205565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0.2467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TBR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-0.032941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0.011609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-2.837539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0.0125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MDR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-0.006543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0.009856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-0.663852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0.5169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MDR(-1)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-0.000529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0.010592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-0.049911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0.9609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MDR(-2)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-0.006299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0.010417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-0.604695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0.5544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MDR(-3)</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0.015929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0.008813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1.807399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0.0908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-0.000928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0.003195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-0.290429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0.7755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-0.000911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0.002971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-0.306761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0.7632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-0.014900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0.003594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-4.145636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0.018497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0.005002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3.697778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-0.008767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0.003822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-2.293784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0.0367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-0.002802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0.003362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-0.833322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0.4177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TOPEN(-3)</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-0.004819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0.003599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-1.338818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0.2006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-0.001691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0.008661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-0.195278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0.8478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0.013401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0.013758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0.974016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0.3455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-0.051078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0.014517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-3.518419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11.56506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2.138937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5.406920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0.999198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49.07374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0.998181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2.767109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0.118002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-1.140677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0.208866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-0.251907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39.96185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-0.833874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98.32257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2.050406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0.000000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*Note: p-values and any subsequent tests do not account for model</w:t>
            </w: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selection.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227"/>
        <w:gridCol w:w="1103"/>
        <w:gridCol w:w="1207"/>
        <w:gridCol w:w="1208"/>
        <w:gridCol w:w="997"/>
      </w:tblGrid>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ARDL Long Run Form and Bounds Test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D(LEXP)</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Selected Model: ARDL(2, 1, 0, 3, 2, 3, 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Case 2: Restricted Constant and No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14:36</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1985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35</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Conditional Error Correction Regression</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11.56506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2.138937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5.406920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LEXP(-1)*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-0.207065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0.037596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-5.507660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MPR(-1)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0.043772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0.016886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2.592186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0.0204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TBR**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-0.032941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0.011609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-2.837539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0.0125</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MDR(-1)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0.002558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0.012858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0.198970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0.8450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-0.016740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0.004104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-4.078637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0.002110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0.005066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0.416493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0.6829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-0.039368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0.007830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-5.028187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D(LEXP(-1))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-0.190781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0.191948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-0.993923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0.3360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D(MPR)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0.028931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0.012495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2.315342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0.0352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D(MDR)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-0.006543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0.009856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-0.663852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0.5169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D(MDR(-1))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-0.009630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0.010554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-0.912416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0.3760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D(MDR(-2))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-0.015929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0.008813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-1.807399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0.0908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-0.000928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0.003195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-0.290429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0.7755</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0.014900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0.003594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4.145636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0.018497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0.005002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3.697778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0.007620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0.003965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1.921684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0.0739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0.004819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0.003599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1.338818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0.2006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-0.001691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0.008661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-0.195278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0.8478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0.051078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0.014517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3.518419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0.0031</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 p-value incompatible with t-Bounds distribution.</w:t>
            </w: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Variable interpreted as Z = Z(-1) + D(Z).</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Levels Equation</w:t>
            </w: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Case 2: Restricted Constant and No Trend</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MPR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0.211395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0.072117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2.931262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0.0103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TBR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-0.159087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0.048635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-3.271049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MDR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0.012356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0.062218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0.198589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0.8453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-0.080843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0.017186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-4.703895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0.010190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0.025031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0.407115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0.6897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-0.190126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0.016318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-11.65122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55.85244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0.865659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64.52016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EC = LEXP - (0.2114*MPR  -0.1591*TBR + 0.0124*MDR  -0.0808*INF + 0.0102</w:t>
            </w: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*TOPEN  -0.1901*GFCF + 55.8524 )</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2"/>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F-Bounds Test</w:t>
            </w:r>
          </w:p>
        </w:tc>
        <w:tc>
          <w:tcPr>
            <w:tcW w:w="1207" w:type="dxa"/>
            <w:gridSpan w:val="3"/>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Null Hypothesis: No levels relationship</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Value</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Signif.</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I(1)</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Asymptotic: n=1000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5.217610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k</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Actual Sample Size</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Finite Sample: n=35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2.254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3.388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2.685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3.713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5.326</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Arial" w:hAnsi="Arial" w:cs="Arial"/>
          <w:sz w:val="18"/>
          <w:szCs w:val="18"/>
        </w:rPr>
        <w:br w:type="textWrapping"/>
      </w:r>
    </w:p>
    <w:p>
      <w:pPr>
        <w:rPr>
          <w:rFonts w:ascii="Times New Roman" w:hAnsi="Times New Roman" w:cs="Times New Roman"/>
          <w:sz w:val="24"/>
          <w:szCs w:val="24"/>
        </w:rPr>
      </w:pPr>
      <w:r>
        <w:rPr>
          <w:rFonts w:ascii="Times New Roman" w:hAnsi="Times New Roman" w:cs="Times New Roman"/>
          <w:sz w:val="24"/>
          <w:szCs w:val="24"/>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227"/>
        <w:gridCol w:w="1103"/>
        <w:gridCol w:w="1207"/>
        <w:gridCol w:w="1208"/>
        <w:gridCol w:w="997"/>
      </w:tblGrid>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ARDL Error Correction Regression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D(LEXP)</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Selected Model: ARDL(2, 1, 0, 3, 2, 3, 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Case 2: Restricted Constant and No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14:36</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1985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35</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ECM Regression</w:t>
            </w: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Case 2: Restricted Constant and No Trend</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D(LEXP(-1))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-0.190781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0.141158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-1.351541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0.1966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D(MPR)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0.028931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0.006731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4.298370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D(MDR)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-0.006543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0.006370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-1.027110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0.3206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D(MDR(-1))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-0.009630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0.005477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-1.758314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0.0991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D(MDR(-2))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-0.015929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0.006244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-2.550897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0.0222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-0.000928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0.001571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-0.590663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0.5635</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0.014900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0.002587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5.759173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0.018497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0.003427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5.396760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0.007620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0.002704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2.818416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0.0130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0.004819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0.002551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1.888828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0.0784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-0.001691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0.005938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-0.284823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0.7797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0.051078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0.011071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4.613812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CointEq(-1)*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-0.207065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0.026464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-7.824319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0.889342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0.190229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0.828983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0.235615</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0.097437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-1.540677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0.208866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-0.962976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39.96185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-1.341255</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Durbin-Watson stat</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2.050406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p-value incompatible with t-Bounds distribution.</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2"/>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F-Bounds Test</w:t>
            </w:r>
          </w:p>
        </w:tc>
        <w:tc>
          <w:tcPr>
            <w:tcW w:w="1207" w:type="dxa"/>
            <w:gridSpan w:val="3"/>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Null Hypothesis: No levels relationship</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Value</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Signif.</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I(1)</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5.217610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K</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3.99</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rPr>
          <w:rFonts w:ascii="Times New Roman" w:hAnsi="Times New Roman" w:cs="Times New Roman"/>
          <w:sz w:val="24"/>
          <w:szCs w:val="24"/>
        </w:rPr>
      </w:pPr>
      <w:r>
        <w:object>
          <v:shape id="_x0000_i1053" o:spt="75" type="#_x0000_t75" style="height:207.75pt;width:466.5pt;" o:ole="t" filled="f" o:preferrelative="t" stroked="f" coordsize="21600,21600">
            <v:path/>
            <v:fill on="f" focussize="0,0"/>
            <v:stroke on="f" joinstyle="miter"/>
            <v:imagedata r:id="rId71" o:title=""/>
            <o:lock v:ext="edit" aspectratio="t"/>
            <w10:wrap type="none"/>
            <w10:anchorlock/>
          </v:shape>
          <o:OLEObject Type="Embed" ProgID="EViews.Workfile.2" ShapeID="_x0000_i1053" DrawAspect="Content" ObjectID="_1468075753" r:id="rId70">
            <o:LockedField>false</o:LockedField>
          </o:OLEObject>
        </w:object>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Breusch-Godfrey Serial Correlation LM Test: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1.958041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F(2,13)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0.1806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Obs*R-squared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8.102520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Chi-Square(2)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0.0174</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autoSpaceDE w:val="0"/>
        <w:autoSpaceDN w:val="0"/>
        <w:adjustRightInd w:val="0"/>
        <w:spacing w:after="0" w:line="240" w:lineRule="auto"/>
        <w:rPr>
          <w:rFonts w:ascii="Arial" w:hAnsi="Arial" w:cs="Arial"/>
          <w:sz w:val="18"/>
          <w:szCs w:val="18"/>
        </w:rPr>
      </w:pPr>
      <w:r>
        <w:rPr>
          <w:rFonts w:ascii="Arial" w:hAnsi="Arial" w:cs="Arial"/>
          <w:sz w:val="18"/>
          <w:szCs w:val="18"/>
        </w:rPr>
        <w:br w:type="textWrapping"/>
      </w: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Heteroskedasticity Test: Breusch-Pagan-Godfrey</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1.525520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F(19,15)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0.2053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Obs*R-squared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23.06408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Chi-Square(19)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0.2345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Scaled explained SS</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2.121771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Chi-Square(19)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1.0000</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autoSpaceDE w:val="0"/>
        <w:autoSpaceDN w:val="0"/>
        <w:adjustRightInd w:val="0"/>
        <w:spacing w:after="0" w:line="240" w:lineRule="auto"/>
        <w:rPr>
          <w:rFonts w:ascii="Arial" w:hAnsi="Arial" w:cs="Arial"/>
          <w:sz w:val="18"/>
          <w:szCs w:val="18"/>
        </w:rPr>
      </w:pPr>
      <w:r>
        <w:rPr>
          <w:rFonts w:ascii="Arial" w:hAnsi="Arial" w:cs="Arial"/>
          <w:sz w:val="18"/>
          <w:szCs w:val="18"/>
        </w:rPr>
        <w:br w:type="textWrapping"/>
      </w:r>
    </w:p>
    <w:tbl>
      <w:tblPr>
        <w:tblStyle w:val="6"/>
        <w:tblW w:w="0" w:type="auto"/>
        <w:tblInd w:w="30" w:type="dxa"/>
        <w:tblLayout w:type="fixed"/>
        <w:tblCellMar>
          <w:top w:w="0" w:type="dxa"/>
          <w:left w:w="0" w:type="dxa"/>
          <w:bottom w:w="0" w:type="dxa"/>
          <w:right w:w="0" w:type="dxa"/>
        </w:tblCellMar>
      </w:tblPr>
      <w:tblGrid>
        <w:gridCol w:w="2122"/>
        <w:gridCol w:w="1050"/>
        <w:gridCol w:w="1155"/>
        <w:gridCol w:w="1155"/>
        <w:gridCol w:w="998"/>
      </w:tblGrid>
      <w:tr>
        <w:tblPrEx>
          <w:tblCellMar>
            <w:top w:w="0" w:type="dxa"/>
            <w:left w:w="0" w:type="dxa"/>
            <w:bottom w:w="0" w:type="dxa"/>
            <w:right w:w="0" w:type="dxa"/>
          </w:tblCellMar>
        </w:tblPrEx>
        <w:trPr>
          <w:trHeight w:val="225" w:hRule="atLeast"/>
        </w:trPr>
        <w:tc>
          <w:tcPr>
            <w:tcW w:w="2122"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Ramsey RESET Test</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Equation: UNTITLED</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Specification: LEXP   LEXP(-1) LEXP(-2) MPR MPR(-1) TBR MDR MDR(-1)</w:t>
            </w:r>
          </w:p>
        </w:tc>
      </w:tr>
      <w:tr>
        <w:tblPrEx>
          <w:tblCellMar>
            <w:top w:w="0" w:type="dxa"/>
            <w:left w:w="0" w:type="dxa"/>
            <w:bottom w:w="0" w:type="dxa"/>
            <w:right w:w="0" w:type="dxa"/>
          </w:tblCellMar>
        </w:tblPrEx>
        <w:trPr>
          <w:trHeight w:val="225" w:hRule="atLeast"/>
        </w:trPr>
        <w:tc>
          <w:tcPr>
            <w:tcW w:w="2122"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MDR(-2) MDR(-3) INF INF(-1) INF(-2) TOPEN TOPEN(-1) TOPEN(-2)</w:t>
            </w:r>
          </w:p>
        </w:tc>
      </w:tr>
      <w:tr>
        <w:tblPrEx>
          <w:tblCellMar>
            <w:top w:w="0" w:type="dxa"/>
            <w:left w:w="0" w:type="dxa"/>
            <w:bottom w:w="0" w:type="dxa"/>
            <w:right w:w="0" w:type="dxa"/>
          </w:tblCellMar>
        </w:tblPrEx>
        <w:trPr>
          <w:trHeight w:val="225" w:hRule="atLeast"/>
        </w:trPr>
        <w:tc>
          <w:tcPr>
            <w:tcW w:w="2122"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TOPEN(-3) GFCF GFCF(-1) GFCF(-2) C </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Omitted Variables: Squares of fitted values</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122"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Value</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df</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Probability</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t-statistic</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0.581827</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14</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0.5699</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0.338523</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(1, 14)</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0.5699</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122"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F-test summary:</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Sum of Sq.</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df</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Mean Squares</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SSR</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0.004931</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0.004931</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Restricted SSR</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0.208866</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15</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0.013924</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Unrestricted SSR</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0.203935</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14</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0.014567</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122"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Arial" w:hAnsi="Arial" w:cs="Arial"/>
          <w:sz w:val="18"/>
          <w:szCs w:val="18"/>
        </w:rPr>
        <w:br w:type="textWrapping"/>
      </w:r>
      <w:r>
        <w:object>
          <v:shape id="_x0000_i1054" o:spt="75" type="#_x0000_t75" style="height:255.75pt;width:360.75pt;" o:ole="t" filled="f" o:preferrelative="t" stroked="f" coordsize="21600,21600">
            <v:path/>
            <v:fill on="f" focussize="0,0"/>
            <v:stroke on="f" joinstyle="miter"/>
            <v:imagedata r:id="rId47" o:title=""/>
            <o:lock v:ext="edit" aspectratio="t"/>
            <w10:wrap type="none"/>
            <w10:anchorlock/>
          </v:shape>
          <o:OLEObject Type="Embed" ProgID="EViews.Workfile.2" ShapeID="_x0000_i1054" DrawAspect="Content" ObjectID="_1468075754" r:id="rId72">
            <o:LockedField>false</o:LockedField>
          </o:OLEObject>
        </w:object>
      </w:r>
    </w:p>
    <w:p>
      <w:pPr>
        <w:rPr>
          <w:rFonts w:ascii="Times New Roman" w:hAnsi="Times New Roman" w:cs="Times New Roman"/>
          <w:sz w:val="24"/>
          <w:szCs w:val="24"/>
        </w:rPr>
      </w:pPr>
      <w:r>
        <w:object>
          <v:shape id="_x0000_i1055" o:spt="75" type="#_x0000_t75" style="height:255.75pt;width:363.75pt;" o:ole="t" filled="f" o:preferrelative="t" stroked="f" coordsize="21600,21600">
            <v:path/>
            <v:fill on="f" focussize="0,0"/>
            <v:stroke on="f" joinstyle="miter"/>
            <v:imagedata r:id="rId49" o:title=""/>
            <o:lock v:ext="edit" aspectratio="t"/>
            <w10:wrap type="none"/>
            <w10:anchorlock/>
          </v:shape>
          <o:OLEObject Type="Embed" ProgID="EViews.Workfile.2" ShapeID="_x0000_i1055" DrawAspect="Content" ObjectID="_1468075755" r:id="rId73">
            <o:LockedField>false</o:LockedField>
          </o:OLEObject>
        </w:object>
      </w:r>
    </w:p>
    <w:p>
      <w:pPr>
        <w:rPr>
          <w:rFonts w:ascii="Times New Roman" w:hAnsi="Times New Roman" w:cs="Times New Roman"/>
          <w:sz w:val="24"/>
          <w:szCs w:val="24"/>
        </w:rPr>
      </w:pPr>
      <w:r>
        <w:rPr>
          <w:rFonts w:ascii="Times New Roman" w:hAnsi="Times New Roman" w:cs="Times New Roman"/>
          <w:sz w:val="24"/>
          <w:szCs w:val="24"/>
        </w:rPr>
        <w:br w:type="page"/>
      </w:r>
    </w:p>
    <w:p>
      <w:pPr>
        <w:rPr>
          <w:rFonts w:ascii="Arial" w:hAnsi="Arial" w:cs="Arial"/>
          <w:sz w:val="18"/>
          <w:szCs w:val="18"/>
        </w:rPr>
      </w:pPr>
      <w:r>
        <w:rPr>
          <w:rFonts w:ascii="Times New Roman" w:hAnsi="Times New Roman" w:cs="Times New Roman"/>
          <w:b/>
          <w:sz w:val="24"/>
          <w:szCs w:val="24"/>
        </w:rPr>
        <w:t>Child mortality</w:t>
      </w: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43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LOG(UN5M)</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3120" w:type="dxa"/>
            <w:gridSpan w:val="2"/>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ARDL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43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14:53</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43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1988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5535"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35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6532"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Maximum dependent lags: 3 (Automatic selection)</w:t>
            </w:r>
          </w:p>
        </w:tc>
      </w:tr>
      <w:tr>
        <w:tblPrEx>
          <w:tblCellMar>
            <w:top w:w="0" w:type="dxa"/>
            <w:left w:w="0" w:type="dxa"/>
            <w:bottom w:w="0" w:type="dxa"/>
            <w:right w:w="0" w:type="dxa"/>
          </w:tblCellMar>
        </w:tblPrEx>
        <w:trPr>
          <w:trHeight w:val="225" w:hRule="atLeast"/>
        </w:trPr>
        <w:tc>
          <w:tcPr>
            <w:tcW w:w="6532"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Model selection method: Akaike info criterion (AIC)</w:t>
            </w:r>
          </w:p>
        </w:tc>
      </w:tr>
      <w:tr>
        <w:tblPrEx>
          <w:tblCellMar>
            <w:top w:w="0" w:type="dxa"/>
            <w:left w:w="0" w:type="dxa"/>
            <w:bottom w:w="0" w:type="dxa"/>
            <w:right w:w="0" w:type="dxa"/>
          </w:tblCellMar>
        </w:tblPrEx>
        <w:trPr>
          <w:trHeight w:val="225" w:hRule="atLeast"/>
        </w:trPr>
        <w:tc>
          <w:tcPr>
            <w:tcW w:w="6532"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Dynamic regressors (3 lags, automatic): MPR TBR MDR INF TOPEN GFCF </w:t>
            </w:r>
          </w:p>
        </w:tc>
      </w:tr>
      <w:tr>
        <w:tblPrEx>
          <w:tblCellMar>
            <w:top w:w="0" w:type="dxa"/>
            <w:left w:w="0" w:type="dxa"/>
            <w:bottom w:w="0" w:type="dxa"/>
            <w:right w:w="0" w:type="dxa"/>
          </w:tblCellMar>
        </w:tblPrEx>
        <w:trPr>
          <w:trHeight w:val="225" w:hRule="atLeast"/>
        </w:trPr>
        <w:tc>
          <w:tcPr>
            <w:tcW w:w="3120" w:type="dxa"/>
            <w:gridSpan w:val="2"/>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43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Fixed regressors: C</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5535"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Number of models evalulated: 12288</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5535"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Selected Model: ARDL(3, 1, 1, 3, 3, 3, 3)</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LOG(UN5M(-1))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4.532518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0.536625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8.446348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LOG(UN5M(-2))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-7.221624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1.186384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-6.087088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LOG(UN5M(-3))</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3.669305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0.666462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5.505650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MPR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0.000211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0.000307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0.686520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0.5066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MPR(-1)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-0.000365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0.000369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-0.990945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0.3430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TBR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0.001234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0.000331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3.725221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TBR(-1)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0.000671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0.000289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2.325559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0.0402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MDR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-0.000186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0.000203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-0.919851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0.3774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MDR(-1)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0.000520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0.000236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2.207650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0.0494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MDR(-2)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-0.001166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0.000268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-4.354046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MDR(-3)</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-0.001452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0.000317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-4.574771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0.000358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9.39E-05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3.811886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0.000209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8.41E-05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2.490947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5.60E-05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7.74E-05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0.722777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0.4849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INF(-3)</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0.000439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8.96E-05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4.897668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0.000187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0.000125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1.490256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0.1643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-0.000208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0.000107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-1.956220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0.0763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-0.000342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8.45E-05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-4.050633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TOPEN(-3)</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6.90E-05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1.520648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0.1566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0.000401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0.000261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1.534586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0.1531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0.000698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0.000286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2.439155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0.0329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-0.000191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0.000353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-0.541137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0.5992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GFCF(-3)</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-0.000436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0.000366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-1.193354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0.2578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0.064774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0.065376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0.990801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0.3431</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0.999967</w:t>
            </w:r>
          </w:p>
        </w:tc>
        <w:tc>
          <w:tcPr>
            <w:tcW w:w="2415"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5.056519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0.999898</w:t>
            </w:r>
          </w:p>
        </w:tc>
        <w:tc>
          <w:tcPr>
            <w:tcW w:w="2415"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0.225193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0.002275</w:t>
            </w:r>
          </w:p>
        </w:tc>
        <w:tc>
          <w:tcPr>
            <w:tcW w:w="2415"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-9.119308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5.70E-05</w:t>
            </w:r>
          </w:p>
        </w:tc>
        <w:tc>
          <w:tcPr>
            <w:tcW w:w="2415"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-8.052783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183.5879</w:t>
            </w:r>
          </w:p>
        </w:tc>
        <w:tc>
          <w:tcPr>
            <w:tcW w:w="2415"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-8.751144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144.7825</w:t>
            </w:r>
          </w:p>
        </w:tc>
        <w:tc>
          <w:tcPr>
            <w:tcW w:w="2415"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2.098709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0.000000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6532"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*Note: p-values and any subsequent tests do not account for model</w:t>
            </w:r>
          </w:p>
        </w:tc>
      </w:tr>
      <w:tr>
        <w:tblPrEx>
          <w:tblCellMar>
            <w:top w:w="0" w:type="dxa"/>
            <w:left w:w="0" w:type="dxa"/>
            <w:bottom w:w="0" w:type="dxa"/>
            <w:right w:w="0" w:type="dxa"/>
          </w:tblCellMar>
        </w:tblPrEx>
        <w:trPr>
          <w:trHeight w:val="225" w:hRule="atLeast"/>
        </w:trPr>
        <w:tc>
          <w:tcPr>
            <w:tcW w:w="43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selection.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227"/>
        <w:gridCol w:w="1103"/>
        <w:gridCol w:w="1207"/>
        <w:gridCol w:w="1208"/>
        <w:gridCol w:w="997"/>
      </w:tblGrid>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ARDL Long Run Form and Bounds Test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DLOG(UN5M)</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Selected Model: ARDL(3, 1, 1, 3, 3, 3, 3)</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Case 2: Restricted Constant and No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14:54</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1985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35</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Conditional Error Correction Regression</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0.064774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0.065376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0.990801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0.3431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LOG(UN5M(-1))*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-0.019801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0.013289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-1.490035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0.1643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MPR(-1)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-0.000154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0.000562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-0.274814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0.7886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TBR(-1)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0.001905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0.000486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3.920963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MDR(-1)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-0.002285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0.000418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-5.470497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0.001062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0.000194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5.482010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-0.000259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0.000141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-1.838142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0.0932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0.000472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0.000220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2.148436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0.0548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DLOG(UN5M(-1))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3.552319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0.527520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6.734001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DLOG(UN5M(-2))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-3.669305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0.666462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-5.505650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D(MPR)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0.000211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0.000307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0.686520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0.5066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D(TBR)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0.001234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0.000331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3.725221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D(MDR)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-0.000186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0.000203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-0.919851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0.3774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D(MDR(-1))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0.002618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0.000460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5.691350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D(MDR(-2))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0.001452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0.000317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4.574771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0.000358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9.39E-05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3.811886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-0.000495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9.04E-05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-5.478841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-0.000439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8.96E-05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-4.897668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0.0005</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0.000187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0.000125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1.490256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0.1643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0.000238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9.38E-05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2.533363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0.0278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6.90E-05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-1.520648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0.1566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0.000401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0.000261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1.534586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0.1531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0.000628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0.000444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1.412195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0.1856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0.000436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0.000366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1.193354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0.2578</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 p-value incompatible with t-Bounds distribution.</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Levels Equation</w:t>
            </w: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Case 2: Restricted Constant and No Trend</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MPR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-0.007801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0.025535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-0.305513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0.7657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TBR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0.096204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0.065785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1.462408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0.1716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MDR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-0.115379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0.087739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-1.315019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0.2153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0.053650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0.041564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1.290782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0.2232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-0.013088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0.011926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-1.097484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0.2959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0.023830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0.006987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3.410743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3.271211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1.127921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2.900213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0.0144</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EC = LOG(UN5M) - (-0.0078*MPR + 0.0962*TBR  -0.1154*MDR + 0.0536*INF  </w:t>
            </w: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-0.0131*TOPEN + 0.0238*GFCF + 3.2712 )</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2"/>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F-Bounds Test</w:t>
            </w:r>
          </w:p>
        </w:tc>
        <w:tc>
          <w:tcPr>
            <w:tcW w:w="1207" w:type="dxa"/>
            <w:gridSpan w:val="3"/>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Null Hypothesis: No levels relationship</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Value</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Signif.</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I(1)</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Asymptotic: n=1000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9.318262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k</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Actual Sample Size</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35</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Finite Sample: n=35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2.254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3.388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2.685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3.713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5.326</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227"/>
        <w:gridCol w:w="1103"/>
        <w:gridCol w:w="1207"/>
        <w:gridCol w:w="1208"/>
        <w:gridCol w:w="997"/>
      </w:tblGrid>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ARDL Error Correction Regression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DLOG(UN5M)</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Selected Model: ARDL(3, 1, 1, 3, 3, 3, 3)</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Case 2: Restricted Constant and No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14:57</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1985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35</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ECM Regression</w:t>
            </w: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Case 2: Restricted Constant and No Trend</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DLOG(UN5M(-1))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3.552319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0.208415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17.04446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DLOG(UN5M(-2))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-3.669305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0.288259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-12.72918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D(MPR)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0.000211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0.000140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1.505717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0.1603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D(TBR)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0.001234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0.000167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7.382933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D(MDR)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-0.000186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0.000125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-1.495520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0.1629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D(MDR(-1))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0.002618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0.000242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10.83667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D(MDR(-2))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0.001452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0.000202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7.182237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0.000358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4.25E-05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8.416851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-0.000495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5.59E-05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-8.853249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-0.000439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4.92E-05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-8.915741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0.000187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6.29E-05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2.967640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0.0128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0.000238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4.57E-05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5.197214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4.48E-05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-2.340017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0.0392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0.000401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0.000119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3.366106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0.0063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0.000628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0.000144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4.359399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0.000436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0.000138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3.161068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0.0091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CointEq(-1)*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-0.019801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0.001793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-11.04466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0.886555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-0.018132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0.774603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0.011162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0.001779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-9.519308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5.70E-05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-8.763853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183.5879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-9.258525</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Durbin-Watson stat</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2.098709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p-value incompatible with t-Bounds distribution.</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2"/>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F-Bounds Test</w:t>
            </w:r>
          </w:p>
        </w:tc>
        <w:tc>
          <w:tcPr>
            <w:tcW w:w="1207" w:type="dxa"/>
            <w:gridSpan w:val="3"/>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Null Hypothesis: No levels relationship</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Value</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Signif.</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I(1)</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9.318262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k</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3.99</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rPr>
          <w:rFonts w:ascii="Times New Roman" w:hAnsi="Times New Roman" w:cs="Times New Roman"/>
          <w:sz w:val="24"/>
          <w:szCs w:val="24"/>
        </w:rPr>
      </w:pPr>
      <w:r>
        <w:object>
          <v:shape id="_x0000_i1056" o:spt="75" type="#_x0000_t75" style="height:209.25pt;width:467.25pt;" o:ole="t" filled="f" o:preferrelative="t" stroked="f" coordsize="21600,21600">
            <v:path/>
            <v:fill on="f" focussize="0,0"/>
            <v:stroke on="f" joinstyle="miter"/>
            <v:imagedata r:id="rId75" o:title=""/>
            <o:lock v:ext="edit" aspectratio="t"/>
            <w10:wrap type="none"/>
            <w10:anchorlock/>
          </v:shape>
          <o:OLEObject Type="Embed" ProgID="EViews.Workfile.2" ShapeID="_x0000_i1056" DrawAspect="Content" ObjectID="_1468075756" r:id="rId74">
            <o:LockedField>false</o:LockedField>
          </o:OLEObject>
        </w:object>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Breusch-Godfrey Serial Correlation LM Test: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3.495329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F(3,8)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0.0697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Obs*R-squared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19.85339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Chi-Square(3)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autoSpaceDE w:val="0"/>
        <w:autoSpaceDN w:val="0"/>
        <w:adjustRightInd w:val="0"/>
        <w:spacing w:after="0" w:line="240" w:lineRule="auto"/>
        <w:rPr>
          <w:rFonts w:ascii="Arial" w:hAnsi="Arial" w:cs="Arial"/>
          <w:sz w:val="18"/>
          <w:szCs w:val="18"/>
        </w:rPr>
      </w:pPr>
      <w:r>
        <w:rPr>
          <w:rFonts w:ascii="Arial" w:hAnsi="Arial" w:cs="Arial"/>
          <w:sz w:val="18"/>
          <w:szCs w:val="18"/>
        </w:rPr>
        <w:br w:type="textWrapping"/>
      </w: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Heteroskedasticity Test: Breusch-Pagan-Godfrey</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2.108221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F(23,11)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0.0996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Obs*R-squared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28.52822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Chi-Square(23)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0.1965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Scaled explained SS</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2.679410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Chi-Square(23)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1.0000</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autoSpaceDE w:val="0"/>
        <w:autoSpaceDN w:val="0"/>
        <w:adjustRightInd w:val="0"/>
        <w:spacing w:after="0" w:line="240" w:lineRule="auto"/>
        <w:rPr>
          <w:rFonts w:ascii="Arial" w:hAnsi="Arial" w:cs="Arial"/>
          <w:sz w:val="18"/>
          <w:szCs w:val="18"/>
        </w:rPr>
      </w:pPr>
      <w:r>
        <w:rPr>
          <w:rFonts w:ascii="Arial" w:hAnsi="Arial" w:cs="Arial"/>
          <w:sz w:val="18"/>
          <w:szCs w:val="18"/>
        </w:rPr>
        <w:br w:type="textWrapping"/>
      </w:r>
    </w:p>
    <w:tbl>
      <w:tblPr>
        <w:tblStyle w:val="6"/>
        <w:tblW w:w="0" w:type="auto"/>
        <w:tblInd w:w="30" w:type="dxa"/>
        <w:tblLayout w:type="fixed"/>
        <w:tblCellMar>
          <w:top w:w="0" w:type="dxa"/>
          <w:left w:w="0" w:type="dxa"/>
          <w:bottom w:w="0" w:type="dxa"/>
          <w:right w:w="0" w:type="dxa"/>
        </w:tblCellMar>
      </w:tblPr>
      <w:tblGrid>
        <w:gridCol w:w="2122"/>
        <w:gridCol w:w="1050"/>
        <w:gridCol w:w="1155"/>
        <w:gridCol w:w="1155"/>
        <w:gridCol w:w="998"/>
      </w:tblGrid>
      <w:tr>
        <w:tblPrEx>
          <w:tblCellMar>
            <w:top w:w="0" w:type="dxa"/>
            <w:left w:w="0" w:type="dxa"/>
            <w:bottom w:w="0" w:type="dxa"/>
            <w:right w:w="0" w:type="dxa"/>
          </w:tblCellMar>
        </w:tblPrEx>
        <w:trPr>
          <w:trHeight w:val="225" w:hRule="atLeast"/>
        </w:trPr>
        <w:tc>
          <w:tcPr>
            <w:tcW w:w="2122"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Ramsey RESET Test</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Equation: UNTITLED</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Specification: LOG(UN5M)   LOG(UN5M(-1)) LOG(UN5M(-2)) LOG(UN5M(</w:t>
            </w:r>
          </w:p>
        </w:tc>
      </w:tr>
      <w:tr>
        <w:tblPrEx>
          <w:tblCellMar>
            <w:top w:w="0" w:type="dxa"/>
            <w:left w:w="0" w:type="dxa"/>
            <w:bottom w:w="0" w:type="dxa"/>
            <w:right w:w="0" w:type="dxa"/>
          </w:tblCellMar>
        </w:tblPrEx>
        <w:trPr>
          <w:trHeight w:val="225" w:hRule="atLeast"/>
        </w:trPr>
        <w:tc>
          <w:tcPr>
            <w:tcW w:w="2122"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-3)) MPR MPR(-1) TBR TBR(-1) MDR MDR(-1) MDR(-2) MDR(-3) INF</w:t>
            </w:r>
          </w:p>
        </w:tc>
      </w:tr>
      <w:tr>
        <w:tblPrEx>
          <w:tblCellMar>
            <w:top w:w="0" w:type="dxa"/>
            <w:left w:w="0" w:type="dxa"/>
            <w:bottom w:w="0" w:type="dxa"/>
            <w:right w:w="0" w:type="dxa"/>
          </w:tblCellMar>
        </w:tblPrEx>
        <w:trPr>
          <w:trHeight w:val="225" w:hRule="atLeast"/>
        </w:trPr>
        <w:tc>
          <w:tcPr>
            <w:tcW w:w="2122"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INF(-1) INF(-2) INF(-3) TOPEN TOPEN(-1) TOPEN(-2) TOPEN(-3)</w:t>
            </w:r>
          </w:p>
        </w:tc>
      </w:tr>
      <w:tr>
        <w:tblPrEx>
          <w:tblCellMar>
            <w:top w:w="0" w:type="dxa"/>
            <w:left w:w="0" w:type="dxa"/>
            <w:bottom w:w="0" w:type="dxa"/>
            <w:right w:w="0" w:type="dxa"/>
          </w:tblCellMar>
        </w:tblPrEx>
        <w:trPr>
          <w:trHeight w:val="225" w:hRule="atLeast"/>
        </w:trPr>
        <w:tc>
          <w:tcPr>
            <w:tcW w:w="2122"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GFCF GFCF(-1) GFCF(-2) GFCF(-3) C </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Omitted Variables: Squares of fitted values</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122"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Value</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df</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Probability</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t-statistic</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1.483046</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10</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0.2324</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3.165515</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(1, 10)</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0.2324</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122"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F-test summary:</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Sum of Sq.</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df</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Mean Squares</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SSR</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2.17E-05</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2.17E-05</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Restricted SSR</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5.70E-05</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11</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5.18E-06</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Unrestricted SSR</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3.52E-05</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10</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3.52E-06</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122"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Arial" w:hAnsi="Arial" w:cs="Arial"/>
          <w:sz w:val="18"/>
          <w:szCs w:val="18"/>
        </w:rPr>
      </w:pPr>
      <w:r>
        <w:rPr>
          <w:rFonts w:ascii="Arial" w:hAnsi="Arial" w:cs="Arial"/>
          <w:sz w:val="18"/>
          <w:szCs w:val="18"/>
        </w:rPr>
        <w:br w:type="page"/>
      </w:r>
    </w:p>
    <w:p>
      <w:pPr>
        <w:rPr>
          <w:rFonts w:ascii="Times New Roman" w:hAnsi="Times New Roman" w:cs="Times New Roman"/>
          <w:sz w:val="24"/>
          <w:szCs w:val="24"/>
        </w:rPr>
      </w:pPr>
      <w:r>
        <w:object>
          <v:shape id="_x0000_i1057" o:spt="75" type="#_x0000_t75" style="height:255pt;width:371.25pt;" o:ole="t" filled="f" o:preferrelative="t" stroked="f" coordsize="21600,21600">
            <v:path/>
            <v:fill on="f" focussize="0,0"/>
            <v:stroke on="f" joinstyle="miter"/>
            <v:imagedata r:id="rId51" o:title=""/>
            <o:lock v:ext="edit" aspectratio="t"/>
            <w10:wrap type="none"/>
            <w10:anchorlock/>
          </v:shape>
          <o:OLEObject Type="Embed" ProgID="EViews.Workfile.2" ShapeID="_x0000_i1057" DrawAspect="Content" ObjectID="_1468075757" r:id="rId76">
            <o:LockedField>false</o:LockedField>
          </o:OLEObject>
        </w:object>
      </w:r>
    </w:p>
    <w:p>
      <w:r>
        <w:object>
          <v:shape id="_x0000_i1058" o:spt="75" type="#_x0000_t75" style="height:255pt;width:360.75pt;" o:ole="t" filled="f" o:preferrelative="t" stroked="f" coordsize="21600,21600">
            <v:path/>
            <v:fill on="f" focussize="0,0"/>
            <v:stroke on="f" joinstyle="miter"/>
            <v:imagedata r:id="rId53" o:title=""/>
            <o:lock v:ext="edit" aspectratio="t"/>
            <w10:wrap type="none"/>
            <w10:anchorlock/>
          </v:shape>
          <o:OLEObject Type="Embed" ProgID="EViews.Workfile.2" ShapeID="_x0000_i1058" DrawAspect="Content" ObjectID="_1468075758" r:id="rId77">
            <o:LockedField>false</o:LockedField>
          </o:OLEObject>
        </w:object>
      </w:r>
    </w:p>
    <w:p>
      <w:r>
        <w:br w:type="page"/>
      </w:r>
    </w:p>
    <w:p>
      <w:pPr>
        <w:rPr>
          <w:rFonts w:ascii="Times New Roman" w:hAnsi="Times New Roman" w:cs="Times New Roman"/>
          <w:b/>
          <w:sz w:val="24"/>
          <w:szCs w:val="24"/>
        </w:rPr>
      </w:pPr>
      <w:r>
        <w:rPr>
          <w:rFonts w:ascii="Times New Roman" w:hAnsi="Times New Roman" w:cs="Times New Roman"/>
          <w:b/>
          <w:sz w:val="24"/>
          <w:szCs w:val="24"/>
        </w:rPr>
        <w:t>Second Objective</w:t>
      </w:r>
    </w:p>
    <w:p>
      <w:pPr>
        <w:rPr>
          <w:rFonts w:ascii="Times New Roman" w:hAnsi="Times New Roman" w:cs="Times New Roman"/>
          <w:b/>
          <w:sz w:val="24"/>
          <w:szCs w:val="24"/>
        </w:rPr>
      </w:pPr>
      <w:r>
        <w:rPr>
          <w:rFonts w:ascii="Times New Roman" w:hAnsi="Times New Roman" w:cs="Times New Roman"/>
          <w:b/>
          <w:sz w:val="24"/>
          <w:szCs w:val="24"/>
        </w:rPr>
        <w:t>Life expectancy</w:t>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LEXP</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2"/>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ARDL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16:16</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1987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Maximum dependent lags: 3 (Automatic selection)</w:t>
            </w: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Model selection method: Akaike info criterion (AIC)</w:t>
            </w: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Dynamic regressors (2 lags, automatic): LR LDR DCPS INF TOPEN GFCF  </w:t>
            </w: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Fixed regressors: C</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Number of models evalulated: 2187</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Selected Model: ARDL(2, 1, 2, 0, 2, 1, 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Note: final equation sample is larger than selection sample</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LEXP(-1)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0.713498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0.188202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3.791135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LEXP(-2)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0.144473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0.173032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0.834945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0.4141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0.003337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0.002170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1.537642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0.1406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0.003965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0.002314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1.713599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0.1029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LDR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-0.001212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0.002399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-0.505085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0.6193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LDR(-1)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0.001288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0.003164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0.406907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0.6886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LDR(-2)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0.003551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0.003003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1.182344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0.2517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DCPS</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-0.004897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0.011257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-0.435018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0.6685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-0.001187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0.002550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-0.465564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0.6468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0.001823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0.002657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0.686231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0.5009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-0.009098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0.002264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-4.018526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0.009202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0.003709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2.480661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0.0226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-0.003676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0.003244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-1.133428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0.2711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-0.002987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0.008418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-0.354901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0.7266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-0.004885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0.011964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-0.408294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0.6876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-0.023350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0.011567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-2.018619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0.0579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7.540894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1.947275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3.872537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0.0010</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0.999018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48.98886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0.998191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2.774437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0.118009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-1.130742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0.264598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-0.382969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37.35336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-0.869750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120.7922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2.124439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0.000000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*Note: p-values and any subsequent tests do not account for model</w:t>
            </w: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selection.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227"/>
        <w:gridCol w:w="1103"/>
        <w:gridCol w:w="1207"/>
        <w:gridCol w:w="1208"/>
        <w:gridCol w:w="997"/>
      </w:tblGrid>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ARDL Long Run Form and Bounds Test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D(LEXP)</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Selected Model: ARDL(2, 1, 2, 0, 2, 1, 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Case 2: Restricted Constant and No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16:17</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1985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Conditional Error Correction Regression</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7.540894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1.947275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3.872537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LEXP(-1)*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-0.142030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0.037026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-3.835980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0.007302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0.002730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2.674423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0.0150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LDR(-1)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0.003627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0.002439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1.487004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0.1534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DCPS**</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-0.004897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0.011257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-0.435018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0.6685</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-0.008462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0.002322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-3.644714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0.005525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0.004321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1.278742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0.2164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-0.031222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0.007116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-4.387827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D(LEXP(-1))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-0.144473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0.173032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-0.834945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0.4141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0.003337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0.002170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1.537642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0.1406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D(LDR)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-0.001212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0.002399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-0.505085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0.6193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D(LDR(-1))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-0.003551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0.003003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-1.182344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0.2517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-0.001187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0.002550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-0.465564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0.6468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0.009098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0.002264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4.018526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0.009202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0.003709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2.480661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0.0226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-0.002987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0.008418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-0.354901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0.7266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0.023350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0.011567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2.018619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0.0579</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 p-value incompatible with t-Bounds distribution.</w:t>
            </w: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Variable interpreted as Z = Z(-1) + D(Z).</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Levels Equation</w:t>
            </w: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Case 2: Restricted Constant and No Trend</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0.051415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0.015953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3.222861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0.0045</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LDR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0.025535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0.019082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1.338205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0.1966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DCPS</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-0.034480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0.083612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-0.412375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0.6847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-0.059578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0.019811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-3.007274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0.0072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0.038902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0.034298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1.134219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0.2708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-0.219829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0.039186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-5.609874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53.09382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2.856288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18.58840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EC = LEXP - (0.0514*LR + 0.0255*LDR  -0.0345*DCPS  -0.0596*INF + 0.0389</w:t>
            </w: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*TOPEN  -0.2198*GFCF + 53.0938 )</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2"/>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F-Bounds Test</w:t>
            </w:r>
          </w:p>
        </w:tc>
        <w:tc>
          <w:tcPr>
            <w:tcW w:w="1207" w:type="dxa"/>
            <w:gridSpan w:val="3"/>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Null Hypothesis: No levels relationship</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Value</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Signif.</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I(1)</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Asymptotic: n=1000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5.491435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k</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Actual Sample Size</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36</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Finite Sample: n=40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2.218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3.314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2.618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3.863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3.505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5.121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Finite Sample: n=35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2.254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3.388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2.685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3.713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5.326</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Arial" w:hAnsi="Arial" w:cs="Arial"/>
          <w:sz w:val="18"/>
          <w:szCs w:val="18"/>
        </w:rPr>
        <w:br w:type="textWrapping"/>
      </w:r>
    </w:p>
    <w:p>
      <w:pPr>
        <w:rPr>
          <w:rFonts w:ascii="Times New Roman" w:hAnsi="Times New Roman" w:cs="Times New Roman"/>
          <w:sz w:val="24"/>
          <w:szCs w:val="24"/>
        </w:rPr>
      </w:pPr>
      <w:r>
        <w:rPr>
          <w:rFonts w:ascii="Times New Roman" w:hAnsi="Times New Roman" w:cs="Times New Roman"/>
          <w:sz w:val="24"/>
          <w:szCs w:val="24"/>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227"/>
        <w:gridCol w:w="1103"/>
        <w:gridCol w:w="1207"/>
        <w:gridCol w:w="1208"/>
        <w:gridCol w:w="997"/>
      </w:tblGrid>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ARDL Error Correction Regression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D(LEXP)</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Selected Model: ARDL(2, 1, 2, 0, 2, 1, 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Case 2: Restricted Constant and No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16:19</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1985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ECM Regression</w:t>
            </w: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Case 2: Restricted Constant and No Trend</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D(LEXP(-1))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-0.144473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0.136000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-1.062295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0.3014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0.003337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0.001314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2.540058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D(LDR)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-0.001212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0.001587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-0.763289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0.4547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D(LDR(-1))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-0.003551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0.002029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-1.749858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0.0963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-0.001187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0.001488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-0.797956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0.4348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0.009098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0.001791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5.079907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0.009202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0.002066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4.454369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-0.002987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0.005908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-0.505646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0.6189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0.023350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0.007331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3.185080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CointEq(-1)*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-0.142030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0.018318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-7.753500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0.861363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0.186139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0.813373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0.233517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0.100880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-1.519631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0.264598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-1.079765</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37.35336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-1.366106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Durbin-Watson stat</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2.124439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p-value incompatible with t-Bounds distribution.</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2"/>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F-Bounds Test</w:t>
            </w:r>
          </w:p>
        </w:tc>
        <w:tc>
          <w:tcPr>
            <w:tcW w:w="1207" w:type="dxa"/>
            <w:gridSpan w:val="3"/>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Null Hypothesis: No levels relationship</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Value</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Signif.</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I(1)</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5.491435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k</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3.99</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rPr>
          <w:rFonts w:ascii="Times New Roman" w:hAnsi="Times New Roman" w:cs="Times New Roman"/>
          <w:sz w:val="24"/>
          <w:szCs w:val="24"/>
        </w:rPr>
      </w:pPr>
      <w:r>
        <w:object>
          <v:shape id="_x0000_i1059" o:spt="75" type="#_x0000_t75" style="height:208.5pt;width:468pt;" o:ole="t" filled="f" o:preferrelative="t" stroked="f" coordsize="21600,21600">
            <v:path/>
            <v:fill on="f" focussize="0,0"/>
            <v:stroke on="f" joinstyle="miter"/>
            <v:imagedata r:id="rId79" o:title=""/>
            <o:lock v:ext="edit" aspectratio="t"/>
            <w10:wrap type="none"/>
            <w10:anchorlock/>
          </v:shape>
          <o:OLEObject Type="Embed" ProgID="EViews.Workfile.2" ShapeID="_x0000_i1059" DrawAspect="Content" ObjectID="_1468075759" r:id="rId78">
            <o:LockedField>false</o:LockedField>
          </o:OLEObject>
        </w:object>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Breusch-Godfrey Serial Correlation LM Test: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3.076188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F(2,17)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0.0724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Obs*R-squared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9.566427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Chi-Square(2)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0.0084</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autoSpaceDE w:val="0"/>
        <w:autoSpaceDN w:val="0"/>
        <w:adjustRightInd w:val="0"/>
        <w:spacing w:after="0" w:line="240" w:lineRule="auto"/>
        <w:rPr>
          <w:rFonts w:ascii="Arial" w:hAnsi="Arial" w:cs="Arial"/>
          <w:sz w:val="18"/>
          <w:szCs w:val="18"/>
        </w:rPr>
      </w:pPr>
      <w:r>
        <w:rPr>
          <w:rFonts w:ascii="Arial" w:hAnsi="Arial" w:cs="Arial"/>
          <w:sz w:val="18"/>
          <w:szCs w:val="18"/>
        </w:rPr>
        <w:br w:type="textWrapping"/>
      </w: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Heteroskedasticity Test: Breusch-Pagan-Godfrey</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0.379519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F(16,19)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0.9723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Obs*R-squared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8.718895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Chi-Square(16)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0.9245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Scaled explained SS</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3.087418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Chi-Square(16)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0.9998</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autoSpaceDE w:val="0"/>
        <w:autoSpaceDN w:val="0"/>
        <w:adjustRightInd w:val="0"/>
        <w:spacing w:after="0" w:line="240" w:lineRule="auto"/>
        <w:rPr>
          <w:rFonts w:ascii="Arial" w:hAnsi="Arial" w:cs="Arial"/>
          <w:sz w:val="18"/>
          <w:szCs w:val="18"/>
        </w:rPr>
      </w:pPr>
      <w:r>
        <w:rPr>
          <w:rFonts w:ascii="Arial" w:hAnsi="Arial" w:cs="Arial"/>
          <w:sz w:val="18"/>
          <w:szCs w:val="18"/>
        </w:rPr>
        <w:br w:type="textWrapping"/>
      </w:r>
    </w:p>
    <w:tbl>
      <w:tblPr>
        <w:tblStyle w:val="6"/>
        <w:tblW w:w="0" w:type="auto"/>
        <w:tblInd w:w="30" w:type="dxa"/>
        <w:tblLayout w:type="fixed"/>
        <w:tblCellMar>
          <w:top w:w="0" w:type="dxa"/>
          <w:left w:w="0" w:type="dxa"/>
          <w:bottom w:w="0" w:type="dxa"/>
          <w:right w:w="0" w:type="dxa"/>
        </w:tblCellMar>
      </w:tblPr>
      <w:tblGrid>
        <w:gridCol w:w="2122"/>
        <w:gridCol w:w="1050"/>
        <w:gridCol w:w="1155"/>
        <w:gridCol w:w="1155"/>
        <w:gridCol w:w="998"/>
      </w:tblGrid>
      <w:tr>
        <w:tblPrEx>
          <w:tblCellMar>
            <w:top w:w="0" w:type="dxa"/>
            <w:left w:w="0" w:type="dxa"/>
            <w:bottom w:w="0" w:type="dxa"/>
            <w:right w:w="0" w:type="dxa"/>
          </w:tblCellMar>
        </w:tblPrEx>
        <w:trPr>
          <w:trHeight w:val="225" w:hRule="atLeast"/>
        </w:trPr>
        <w:tc>
          <w:tcPr>
            <w:tcW w:w="2122"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Ramsey RESET Test</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Equation: UNTITLED</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Specification: LEXP   LEXP(-1) LEXP(-2) LR LR(-1) LDR LDR(-1) LDR(-2)</w:t>
            </w:r>
          </w:p>
        </w:tc>
      </w:tr>
      <w:tr>
        <w:tblPrEx>
          <w:tblCellMar>
            <w:top w:w="0" w:type="dxa"/>
            <w:left w:w="0" w:type="dxa"/>
            <w:bottom w:w="0" w:type="dxa"/>
            <w:right w:w="0" w:type="dxa"/>
          </w:tblCellMar>
        </w:tblPrEx>
        <w:trPr>
          <w:trHeight w:val="225" w:hRule="atLeast"/>
        </w:trPr>
        <w:tc>
          <w:tcPr>
            <w:tcW w:w="2122"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DCPS INF INF(-1) INF(-2) TOPEN TOPEN(-1) GFCF GFCF(-1) GFCF(</w:t>
            </w:r>
          </w:p>
        </w:tc>
      </w:tr>
      <w:tr>
        <w:tblPrEx>
          <w:tblCellMar>
            <w:top w:w="0" w:type="dxa"/>
            <w:left w:w="0" w:type="dxa"/>
            <w:bottom w:w="0" w:type="dxa"/>
            <w:right w:w="0" w:type="dxa"/>
          </w:tblCellMar>
        </w:tblPrEx>
        <w:trPr>
          <w:trHeight w:val="225" w:hRule="atLeast"/>
        </w:trPr>
        <w:tc>
          <w:tcPr>
            <w:tcW w:w="2122"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-2) C </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Omitted Variables: Squares of fitted values</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122"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Value</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df</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Probability</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t-statistic</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1.881101</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18</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0.0762</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3.538541</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(1, 18)</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0.0762</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122"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F-test summary:</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Sum of Sq.</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df</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Mean Squares</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SSR</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0.043470</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0.043470</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Restricted SSR</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0.264598</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19</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0.013926</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Unrestricted SSR</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0.221127</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18</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0.012285</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122"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rPr>
          <w:rFonts w:ascii="Times New Roman" w:hAnsi="Times New Roman" w:cs="Times New Roman"/>
          <w:sz w:val="24"/>
          <w:szCs w:val="24"/>
        </w:rPr>
      </w:pPr>
      <w:r>
        <w:object>
          <v:shape id="_x0000_i1060" o:spt="75" type="#_x0000_t75" style="height:254.25pt;width:360pt;" o:ole="t" filled="f" o:preferrelative="t" stroked="f" coordsize="21600,21600">
            <v:path/>
            <v:fill on="f" focussize="0,0"/>
            <v:stroke on="f" joinstyle="miter"/>
            <v:imagedata r:id="rId55" o:title=""/>
            <o:lock v:ext="edit" aspectratio="t"/>
            <w10:wrap type="none"/>
            <w10:anchorlock/>
          </v:shape>
          <o:OLEObject Type="Embed" ProgID="EViews.Workfile.2" ShapeID="_x0000_i1060" DrawAspect="Content" ObjectID="_1468075760" r:id="rId80">
            <o:LockedField>false</o:LockedField>
          </o:OLEObject>
        </w:object>
      </w:r>
    </w:p>
    <w:p>
      <w:pPr>
        <w:rPr>
          <w:rFonts w:ascii="Times New Roman" w:hAnsi="Times New Roman" w:cs="Times New Roman"/>
          <w:sz w:val="24"/>
          <w:szCs w:val="24"/>
        </w:rPr>
      </w:pPr>
      <w:r>
        <w:object>
          <v:shape id="_x0000_i1061" o:spt="75" type="#_x0000_t75" style="height:254.25pt;width:365.25pt;" o:ole="t" filled="f" o:preferrelative="t" stroked="f" coordsize="21600,21600">
            <v:path/>
            <v:fill on="f" focussize="0,0"/>
            <v:stroke on="f" joinstyle="miter"/>
            <v:imagedata r:id="rId57" o:title=""/>
            <o:lock v:ext="edit" aspectratio="t"/>
            <w10:wrap type="none"/>
            <w10:anchorlock/>
          </v:shape>
          <o:OLEObject Type="Embed" ProgID="EViews.Workfile.2" ShapeID="_x0000_i1061" DrawAspect="Content" ObjectID="_1468075761" r:id="rId81">
            <o:LockedField>false</o:LockedField>
          </o:OLEObject>
        </w:object>
      </w:r>
    </w:p>
    <w:p>
      <w:pPr>
        <w:rPr>
          <w:rFonts w:ascii="Times New Roman" w:hAnsi="Times New Roman" w:cs="Times New Roman"/>
          <w:sz w:val="24"/>
          <w:szCs w:val="24"/>
        </w:rPr>
      </w:pPr>
      <w:r>
        <w:rPr>
          <w:rFonts w:ascii="Times New Roman" w:hAnsi="Times New Roman" w:cs="Times New Roman"/>
          <w:sz w:val="24"/>
          <w:szCs w:val="24"/>
        </w:rPr>
        <w:br w:type="page"/>
      </w:r>
    </w:p>
    <w:p>
      <w:pPr>
        <w:rPr>
          <w:rFonts w:ascii="Times New Roman" w:hAnsi="Times New Roman" w:cs="Times New Roman"/>
          <w:b/>
          <w:sz w:val="24"/>
          <w:szCs w:val="24"/>
        </w:rPr>
      </w:pPr>
      <w:r>
        <w:rPr>
          <w:rFonts w:ascii="Times New Roman" w:hAnsi="Times New Roman" w:cs="Times New Roman"/>
          <w:b/>
          <w:sz w:val="24"/>
          <w:szCs w:val="24"/>
        </w:rPr>
        <w:t>Child mortality</w:t>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LOG(UN5M)</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2"/>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ARDL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16:22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1987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Maximum dependent lags: 3 (Automatic selection)</w:t>
            </w: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Model selection method: Akaike info criterion (AIC)</w:t>
            </w: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Dynamic regressors (2 lags, automatic): LR LDR DCPS INF TOPEN GFCF  </w:t>
            </w:r>
          </w:p>
        </w:tc>
      </w:tr>
      <w:tr>
        <w:tblPrEx>
          <w:tblCellMar>
            <w:top w:w="0" w:type="dxa"/>
            <w:left w:w="0" w:type="dxa"/>
            <w:bottom w:w="0" w:type="dxa"/>
            <w:right w:w="0" w:type="dxa"/>
          </w:tblCellMar>
        </w:tblPrEx>
        <w:trPr>
          <w:trHeight w:val="225" w:hRule="atLeast"/>
        </w:trPr>
        <w:tc>
          <w:tcPr>
            <w:tcW w:w="2017" w:type="dxa"/>
            <w:gridSpan w:val="2"/>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Fixed regressors: C</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Number of models evalulated: 2187</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Selected Model: ARDL(2, 2, 1, 2, 2, 0, 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Note: final equation sample is larger than selection sample</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LOG(UN5M(-1))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1.780936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0.117862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15.11029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LOG(UN5M(-2))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-0.864722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0.128111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-6.749794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-0.000120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4.88E-05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-2.466550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0.0233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-0.000156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5.00E-05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-3.126214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LR(-2)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-0.000156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5.09E-05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-3.066399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0.0064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LDR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0.000125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6.03E-05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2.077511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0.0516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LDR(-1)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-0.000137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5.42E-05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-2.522641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0.0207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DCPS</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8.31E-05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0.000355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0.233640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0.8178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DCPS(-1)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-0.000452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0.000384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-1.176310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0.2540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DCPS(-2)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-0.000457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0.000446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-1.024769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0.3183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-3.41E-05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4.95E-05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-0.687930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0.4998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0.000144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5.69E-05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2.536479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0.0201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-0.000128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4.70E-05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-2.733609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0.0132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0.000211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0.000101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2.099338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0.0494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-0.000246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0.000198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-1.239833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0.2301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0.001197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0.000227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5.267735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0.418719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0.091359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4.583253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0.999915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5.064458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0.999844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0.227007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0.002838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-8.586209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0.000153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-7.838436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171.5518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-8.325216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139.9674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1.855396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0.000000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*Note: p-values and any subsequent tests do not account for model</w:t>
            </w: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selection.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227"/>
        <w:gridCol w:w="1103"/>
        <w:gridCol w:w="1207"/>
        <w:gridCol w:w="1208"/>
        <w:gridCol w:w="997"/>
      </w:tblGrid>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ARDL Long Run Form and Bounds Test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DLOG(UN5M)</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Selected Model: ARDL(2, 2, 1, 2, 2, 0, 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Case 2: Restricted Constant and No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16:22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1985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Conditional Error Correction Regression</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0.418719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0.091359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4.583253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LOG(UN5M(-1))*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-0.083786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0.016830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-4.978420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-0.000433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8.36E-05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-5.174110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LDR(-1)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-1.14E-05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4.82E-05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-0.236276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0.8157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DCPS(-1)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-0.000826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0.000528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-1.563589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0.1344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-1.81E-05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5.52E-05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-0.327202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0.7471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0.000211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0.000101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2.099338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0.0494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0.000951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0.000124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7.697051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DLOG(UN5M(-1))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0.864722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0.128111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6.749794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-0.000120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4.88E-05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-2.466550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0.0233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0.000156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5.09E-05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3.066399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0.0064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D(LDR)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0.000125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6.03E-05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2.077511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0.0516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D(DCPS)</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8.31E-05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0.000355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0.233640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0.8178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D(DCPS(-1))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0.000457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0.000446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1.024769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0.3183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-3.41E-05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4.95E-05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-0.687930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0.4998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0.000128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4.70E-05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2.733609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0.0132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-0.000246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0.000198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-1.239833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0.2301</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 p-value incompatible with t-Bounds distribution.</w:t>
            </w: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Variable interpreted as Z = Z(-1) + D(Z).</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Levels Equation</w:t>
            </w: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Case 2: Restricted Constant and No Trend</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-0.005163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0.001119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-4.612869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LDR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-0.000136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0.000575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-0.236587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0.8155</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DCPS</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-0.009854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0.004609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-2.138244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0.0457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-0.000216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0.000664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-0.324660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0.7490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0.002520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0.000995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2.532994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0.0203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0.011349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0.002214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5.125408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4.997465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0.136213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36.68861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EC = LOG(UN5M) - (-0.0052*LR  -0.0001*LDR  -0.0099*DCPS  -0.0002*INF +</w:t>
            </w: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0.0025*TOPEN + 0.0113*GFCF + 4.9975 )</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2"/>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F-Bounds Test</w:t>
            </w:r>
          </w:p>
        </w:tc>
        <w:tc>
          <w:tcPr>
            <w:tcW w:w="1207" w:type="dxa"/>
            <w:gridSpan w:val="3"/>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Null Hypothesis: No levels relationship</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Value</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Signif.</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I(1)</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Asymptotic: n=1000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11.03228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k</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Actual Sample Size</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36</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Finite Sample: n=40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2.218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3.314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2.618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3.863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3.505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5.121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Finite Sample: n=35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2.254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3.388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2.685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3.713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5.326</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227"/>
        <w:gridCol w:w="1103"/>
        <w:gridCol w:w="1207"/>
        <w:gridCol w:w="1208"/>
        <w:gridCol w:w="997"/>
      </w:tblGrid>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ARDL Error Correction Regression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DLOG(UN5M)</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Selected Model: ARDL(2, 2, 1, 2, 2, 0, 1)</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Case 2: Restricted Constant and No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16:24</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1985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ECM Regression</w:t>
            </w: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Case 2: Restricted Constant and No Trend</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DLOG(UN5M(-1))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0.864722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0.022311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38.75760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-0.000120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3.26E-05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-3.695332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0.0015</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D(LR(-1))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0.000156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3.67E-05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4.254955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D(LDR)</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0.000125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3.78E-05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3.312637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D(DCPS)</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8.31E-05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0.000197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0.420931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0.6785</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D(DCPS(-1))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0.000457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2.232187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0.0378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-3.41E-05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3.08E-05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-1.108008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0.2817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0.000128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3.05E-05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4.213501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0.0005</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-0.000246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0.000136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-1.801910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0.0874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CointEq(-1)*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-0.083786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0.007624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-10.98974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0.767623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-0.017508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0.756416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0.011620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0.002426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-8.975098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0.000153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-8.535231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171.5518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-8.821573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Durbin-Watson stat</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1.855396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p-value incompatible with t-Bounds distribution.</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2"/>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F-Bounds Test</w:t>
            </w:r>
          </w:p>
        </w:tc>
        <w:tc>
          <w:tcPr>
            <w:tcW w:w="1207" w:type="dxa"/>
            <w:gridSpan w:val="3"/>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Null Hypothesis: No levels relationship</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Value</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Signif.</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I(1)</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11.03228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k</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3.99</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rPr>
          <w:rFonts w:ascii="Times New Roman" w:hAnsi="Times New Roman" w:cs="Times New Roman"/>
          <w:sz w:val="24"/>
          <w:szCs w:val="24"/>
        </w:rPr>
      </w:pPr>
      <w:r>
        <w:object>
          <v:shape id="_x0000_i1062" o:spt="75" type="#_x0000_t75" style="height:207pt;width:465.75pt;" o:ole="t" filled="f" o:preferrelative="t" stroked="f" coordsize="21600,21600">
            <v:path/>
            <v:fill on="f" focussize="0,0"/>
            <v:stroke on="f" joinstyle="miter"/>
            <v:imagedata r:id="rId83" o:title=""/>
            <o:lock v:ext="edit" aspectratio="t"/>
            <w10:wrap type="none"/>
            <w10:anchorlock/>
          </v:shape>
          <o:OLEObject Type="Embed" ProgID="EViews.Workfile.2" ShapeID="_x0000_i1062" DrawAspect="Content" ObjectID="_1468075762" r:id="rId82">
            <o:LockedField>false</o:LockedField>
          </o:OLEObject>
        </w:object>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Breusch-Godfrey Serial Correlation LM Test: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1.521261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F(2,17)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0.2467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Obs*R-squared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5.464920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Chi-Square(2)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0.0651</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autoSpaceDE w:val="0"/>
        <w:autoSpaceDN w:val="0"/>
        <w:adjustRightInd w:val="0"/>
        <w:spacing w:after="0" w:line="240" w:lineRule="auto"/>
        <w:rPr>
          <w:rFonts w:ascii="Arial" w:hAnsi="Arial" w:cs="Arial"/>
          <w:sz w:val="18"/>
          <w:szCs w:val="18"/>
        </w:rPr>
      </w:pPr>
      <w:r>
        <w:rPr>
          <w:rFonts w:ascii="Arial" w:hAnsi="Arial" w:cs="Arial"/>
          <w:sz w:val="18"/>
          <w:szCs w:val="18"/>
        </w:rPr>
        <w:br w:type="textWrapping"/>
      </w: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Heteroskedasticity Test: Breusch-Pagan-Godfrey</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1.659699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F(16,19)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0.2106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Obs*R-squared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19.04561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Chi-Square(16)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0.1236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Scaled explained SS</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8.592662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Chi-Square(16)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0.9292</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autoSpaceDE w:val="0"/>
        <w:autoSpaceDN w:val="0"/>
        <w:adjustRightInd w:val="0"/>
        <w:spacing w:after="0" w:line="240" w:lineRule="auto"/>
        <w:rPr>
          <w:rFonts w:ascii="Arial" w:hAnsi="Arial" w:cs="Arial"/>
          <w:sz w:val="18"/>
          <w:szCs w:val="18"/>
        </w:rPr>
      </w:pPr>
      <w:r>
        <w:rPr>
          <w:rFonts w:ascii="Arial" w:hAnsi="Arial" w:cs="Arial"/>
          <w:sz w:val="18"/>
          <w:szCs w:val="18"/>
        </w:rPr>
        <w:br w:type="textWrapping"/>
      </w:r>
    </w:p>
    <w:tbl>
      <w:tblPr>
        <w:tblStyle w:val="6"/>
        <w:tblW w:w="0" w:type="auto"/>
        <w:tblInd w:w="30" w:type="dxa"/>
        <w:tblLayout w:type="fixed"/>
        <w:tblCellMar>
          <w:top w:w="0" w:type="dxa"/>
          <w:left w:w="0" w:type="dxa"/>
          <w:bottom w:w="0" w:type="dxa"/>
          <w:right w:w="0" w:type="dxa"/>
        </w:tblCellMar>
      </w:tblPr>
      <w:tblGrid>
        <w:gridCol w:w="2122"/>
        <w:gridCol w:w="1050"/>
        <w:gridCol w:w="1155"/>
        <w:gridCol w:w="1155"/>
        <w:gridCol w:w="998"/>
      </w:tblGrid>
      <w:tr>
        <w:tblPrEx>
          <w:tblCellMar>
            <w:top w:w="0" w:type="dxa"/>
            <w:left w:w="0" w:type="dxa"/>
            <w:bottom w:w="0" w:type="dxa"/>
            <w:right w:w="0" w:type="dxa"/>
          </w:tblCellMar>
        </w:tblPrEx>
        <w:trPr>
          <w:trHeight w:val="225" w:hRule="atLeast"/>
        </w:trPr>
        <w:tc>
          <w:tcPr>
            <w:tcW w:w="2122"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Ramsey RESET Test</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Equation: UNTITLED</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Specification: LOG(UN5M)   LOG(UN5M(-1)) LOG(UN5M(-2)) LR LR(-1)</w:t>
            </w:r>
          </w:p>
        </w:tc>
      </w:tr>
      <w:tr>
        <w:tblPrEx>
          <w:tblCellMar>
            <w:top w:w="0" w:type="dxa"/>
            <w:left w:w="0" w:type="dxa"/>
            <w:bottom w:w="0" w:type="dxa"/>
            <w:right w:w="0" w:type="dxa"/>
          </w:tblCellMar>
        </w:tblPrEx>
        <w:trPr>
          <w:trHeight w:val="225" w:hRule="atLeast"/>
        </w:trPr>
        <w:tc>
          <w:tcPr>
            <w:tcW w:w="2122"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LR(-2) LDR LDR(-1) DCPS DCPS(-1) DCPS(-2) INF INF(-1) INF(-2)</w:t>
            </w:r>
          </w:p>
        </w:tc>
      </w:tr>
      <w:tr>
        <w:tblPrEx>
          <w:tblCellMar>
            <w:top w:w="0" w:type="dxa"/>
            <w:left w:w="0" w:type="dxa"/>
            <w:bottom w:w="0" w:type="dxa"/>
            <w:right w:w="0" w:type="dxa"/>
          </w:tblCellMar>
        </w:tblPrEx>
        <w:trPr>
          <w:trHeight w:val="225" w:hRule="atLeast"/>
        </w:trPr>
        <w:tc>
          <w:tcPr>
            <w:tcW w:w="2122"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TOPEN GFCF GFCF(-1) C </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Omitted Variables: Squares of fitted values</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122"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Value</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df</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Probability</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t-statistic</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0.323342</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18</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0.7502</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0.104550</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(1, 18)</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0.7502</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122"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F-test summary:</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Sum of Sq.</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df</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Mean Squares</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SSR</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8.84E-07</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8.84E-07</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Restricted SSR</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0.000153</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19</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8.05E-06</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Unrestricted SSR</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0.000152</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18</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8.45E-06</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122"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autoSpaceDE w:val="0"/>
        <w:autoSpaceDN w:val="0"/>
        <w:adjustRightInd w:val="0"/>
        <w:spacing w:after="0" w:line="240" w:lineRule="auto"/>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br w:type="page"/>
      </w:r>
    </w:p>
    <w:p>
      <w:r>
        <w:object>
          <v:shape id="_x0000_i1063" o:spt="75" type="#_x0000_t75" style="height:254.25pt;width:360pt;" o:ole="t" filled="f" o:preferrelative="t" stroked="f" coordsize="21600,21600">
            <v:path/>
            <v:fill on="f" focussize="0,0"/>
            <v:stroke on="f" joinstyle="miter"/>
            <v:imagedata r:id="rId59" o:title=""/>
            <o:lock v:ext="edit" aspectratio="t"/>
            <w10:wrap type="none"/>
            <w10:anchorlock/>
          </v:shape>
          <o:OLEObject Type="Embed" ProgID="EViews.Workfile.2" ShapeID="_x0000_i1063" DrawAspect="Content" ObjectID="_1468075763" r:id="rId84">
            <o:LockedField>false</o:LockedField>
          </o:OLEObject>
        </w:object>
      </w:r>
    </w:p>
    <w:p>
      <w:r>
        <w:object>
          <v:shape id="_x0000_i1064" o:spt="75" type="#_x0000_t75" style="height:254.25pt;width:364.5pt;" o:ole="t" filled="f" o:preferrelative="t" stroked="f" coordsize="21600,21600">
            <v:path/>
            <v:fill on="f" focussize="0,0"/>
            <v:stroke on="f" joinstyle="miter"/>
            <v:imagedata r:id="rId61" o:title=""/>
            <o:lock v:ext="edit" aspectratio="t"/>
            <w10:wrap type="none"/>
            <w10:anchorlock/>
          </v:shape>
          <o:OLEObject Type="Embed" ProgID="EViews.Workfile.2" ShapeID="_x0000_i1064" DrawAspect="Content" ObjectID="_1468075764" r:id="rId85">
            <o:LockedField>false</o:LockedField>
          </o:OLEObject>
        </w:object>
      </w:r>
    </w:p>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br w:type="page"/>
      </w:r>
    </w:p>
    <w:p>
      <w:pPr>
        <w:rPr>
          <w:rFonts w:ascii="Times New Roman" w:hAnsi="Times New Roman" w:cs="Times New Roman"/>
          <w:b/>
          <w:sz w:val="24"/>
          <w:szCs w:val="24"/>
        </w:rPr>
      </w:pPr>
      <w:r>
        <w:rPr>
          <w:rFonts w:ascii="Times New Roman" w:hAnsi="Times New Roman" w:cs="Times New Roman"/>
          <w:b/>
          <w:sz w:val="24"/>
          <w:szCs w:val="24"/>
        </w:rPr>
        <w:t>Third Objective</w:t>
      </w:r>
    </w:p>
    <w:p>
      <w:pPr>
        <w:rPr>
          <w:rFonts w:ascii="Times New Roman" w:hAnsi="Times New Roman" w:cs="Times New Roman"/>
          <w:b/>
          <w:sz w:val="24"/>
          <w:szCs w:val="24"/>
        </w:rPr>
      </w:pPr>
      <w:r>
        <w:rPr>
          <w:rFonts w:ascii="Times New Roman" w:hAnsi="Times New Roman" w:cs="Times New Roman"/>
          <w:b/>
          <w:sz w:val="24"/>
          <w:szCs w:val="24"/>
        </w:rPr>
        <w:t>Life expectancy</w:t>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LEXP</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2"/>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ARDL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16:55</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1987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Maximum dependent lags: 3 (Automatic selection)</w:t>
            </w: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Model selection method: Akaike info criterion (AIC)</w:t>
            </w: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Dynamic regressors (2 lags, automatic): SMK TSTV ASI INF TOPEN GFCF   </w:t>
            </w: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Fixed regressors: C</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Number of models evalulated: 2187</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Selected Model: ARDL(2, 0, 2, 2, 2, 1, 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Note: final equation sample is larger than selection sample</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LEXP(-1)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1.107626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0.126236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8.774234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LEXP(-2)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-0.241097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0.118850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-2.028585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0.0576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SMK</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-0.004977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0.011942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-0.416743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0.6818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TSTV</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0.032121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0.058889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0.545447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0.5921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TSTV(-1)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-0.063241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0.052342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-1.208228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0.2426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TSTV(-2)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-0.125216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0.046343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-2.701972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0.0146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ASI</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2.77E-06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6.20E-06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0.446283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0.6607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ASI(-1)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-5.14E-06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4.84E-06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-1.061843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0.3023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ASI(-2)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1.79E-05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4.98E-06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3.585137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-0.001951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0.002277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-0.856868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0.4028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0.001148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0.002188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0.524734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0.6062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-0.008346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0.001925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-4.336498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0.012355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0.003295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3.749406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-0.007291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0.002748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-2.652985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0.0162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-0.004948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0.007858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-0.629654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0.5368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0.001369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0.011283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0.121328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0.9048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-0.016792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0.010152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-1.654124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0.1154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7.210723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1.809252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3.985472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0.0009</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0.999201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48.98886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0.998446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2.774437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0.109373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-1.281253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0.215324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-0.489493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41.06255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-1.004908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132.3737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1.850820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0.000000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*Note: p-values and any subsequent tests do not account for model</w:t>
            </w: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selection.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Arial" w:hAnsi="Arial" w:cs="Arial"/>
          <w:sz w:val="18"/>
          <w:szCs w:val="18"/>
        </w:rPr>
        <w:br w:type="textWrapping"/>
      </w:r>
      <w:r>
        <w:rPr>
          <w:rFonts w:ascii="Times New Roman" w:hAnsi="Times New Roman" w:cs="Times New Roman"/>
          <w:sz w:val="24"/>
          <w:szCs w:val="24"/>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227"/>
        <w:gridCol w:w="1103"/>
        <w:gridCol w:w="1207"/>
        <w:gridCol w:w="1208"/>
        <w:gridCol w:w="997"/>
      </w:tblGrid>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ARDL Long Run Form and Bounds Test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D(LEXP)</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Selected Model: ARDL(2, 0, 2, 2, 2, 1, 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Case 2: Restricted Constant and No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16:54</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1985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Conditional Error Correction Regression</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7.210723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1.809252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3.985472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LEXP(-1)*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-0.133470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0.034711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-3.845232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SMK**</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-0.004977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0.011942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-0.416743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0.6818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TSTV(-1)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-0.156337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0.064624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-2.419189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0.0264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ASI(-1)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1.55E-05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7.09E-06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2.186572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0.0422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-0.009149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0.002212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-4.136194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0.005065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0.003676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1.377800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0.1852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-0.020371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0.005425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-3.755245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D(LEXP(-1))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0.241097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0.118850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2.028585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0.0576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D(TSTV)</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0.032121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0.058889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0.545447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0.5921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D(TSTV(-1))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0.125216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0.046343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2.701972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0.0146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D(ASI)</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2.77E-06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6.20E-06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0.446283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0.6607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D(ASI(-1))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-1.79E-05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4.98E-06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-3.585137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-0.001951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0.002277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-0.856868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0.4028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0.008346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0.001925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4.336498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0.012355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0.003295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3.749406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0.0015</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-0.004948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0.007858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-0.629654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0.5368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0.016792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0.010152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1.654124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0.1154</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 p-value incompatible with t-Bounds distribution.</w:t>
            </w: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Variable interpreted as Z = Z(-1) + D(Z).</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Levels Equation</w:t>
            </w: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Case 2: Restricted Constant and No Trend</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SMK</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-0.037287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0.093586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-0.398428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0.6950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TSTV</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-1.171321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0.442915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-2.644574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0.0165</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ASI</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0.000116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5.57E-05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2.086613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0.0514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-0.068545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0.020173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-3.397803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0.037947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0.031440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1.206982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0.2431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-0.152624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0.032509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-4.694825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54.02490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1.822913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29.63657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EC = LEXP - (-0.0373*SMK  -1.1713*TSTV + 0.0001*ASI  -0.0685*INF + 0.0379</w:t>
            </w: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*TOPEN  -0.1526*GFCF + 54.0249 )</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2"/>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F-Bounds Test</w:t>
            </w:r>
          </w:p>
        </w:tc>
        <w:tc>
          <w:tcPr>
            <w:tcW w:w="1207" w:type="dxa"/>
            <w:gridSpan w:val="3"/>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Null Hypothesis: No levels relationship</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Value</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Signif.</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I(1)</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Asymptotic: n=1000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7.258433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k</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Actual Sample Size</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36</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Finite Sample: n=40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2.218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3.314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2.618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3.863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3.505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5.121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Finite Sample: n=35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2.254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3.388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2.685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3.713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5.326</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227"/>
        <w:gridCol w:w="1103"/>
        <w:gridCol w:w="1207"/>
        <w:gridCol w:w="1208"/>
        <w:gridCol w:w="997"/>
      </w:tblGrid>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ARDL Error Correction Regression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D(LEXP)</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Selected Model: ARDL(2, 0, 2, 2, 2, 1, 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Case 2: Restricted Constant and No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16:58</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1985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36</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ECM Regression</w:t>
            </w: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Case 2: Restricted Constant and No Trend</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D(LEXP(-1))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0.241097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0.086376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2.791231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0.0121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D(TSTV)</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0.032121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0.038829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0.827241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0.4189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D(TSTV(-1))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0.125216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0.030618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4.089612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D(ASI)</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2.77E-06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2.59E-06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1.068033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0.2996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D(ASI(-1))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-1.79E-05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3.35E-06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-5.334115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-0.001951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0.001233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-1.582580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0.1309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D(INF(-1))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0.008346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0.001422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5.869643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0.012355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0.001959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6.307433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-0.004948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0.005164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-0.958022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0.3507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0.016792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0.005740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2.925550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0.0090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CointEq(-1)*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-0.133470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0.014862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-8.980493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0.887180</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0.186139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0.842052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0.233517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0.092806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-1.670142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0.215324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-1.186289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41.06255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-1.501264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Durbin-Watson stat</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1.850820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p-value incompatible with t-Bounds distribution.</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2"/>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F-Bounds Test</w:t>
            </w:r>
          </w:p>
        </w:tc>
        <w:tc>
          <w:tcPr>
            <w:tcW w:w="1207" w:type="dxa"/>
            <w:gridSpan w:val="3"/>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Null Hypothesis: No levels relationship</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Value</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Signif.</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I(1)</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7.258433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k</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3.99</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rPr>
          <w:rFonts w:ascii="Times New Roman" w:hAnsi="Times New Roman" w:cs="Times New Roman"/>
          <w:sz w:val="24"/>
          <w:szCs w:val="24"/>
        </w:rPr>
      </w:pPr>
      <w:r>
        <w:object>
          <v:shape id="_x0000_i1065" o:spt="75" type="#_x0000_t75" style="height:208.5pt;width:468pt;" o:ole="t" filled="f" o:preferrelative="t" stroked="f" coordsize="21600,21600">
            <v:path/>
            <v:fill on="f" focussize="0,0"/>
            <v:stroke on="f" joinstyle="miter"/>
            <v:imagedata r:id="rId87" o:title=""/>
            <o:lock v:ext="edit" aspectratio="t"/>
            <w10:wrap type="none"/>
            <w10:anchorlock/>
          </v:shape>
          <o:OLEObject Type="Embed" ProgID="EViews.Workfile.2" ShapeID="_x0000_i1065" DrawAspect="Content" ObjectID="_1468075765" r:id="rId86">
            <o:LockedField>false</o:LockedField>
          </o:OLEObject>
        </w:object>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Breusch-Godfrey Serial Correlation LM Test: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1.101952</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F(2,16)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0.3562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Obs*R-squared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4.358435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Chi-Square(2)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0.1131</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autoSpaceDE w:val="0"/>
        <w:autoSpaceDN w:val="0"/>
        <w:adjustRightInd w:val="0"/>
        <w:spacing w:after="0" w:line="240" w:lineRule="auto"/>
        <w:rPr>
          <w:rFonts w:ascii="Arial" w:hAnsi="Arial" w:cs="Arial"/>
          <w:sz w:val="18"/>
          <w:szCs w:val="18"/>
        </w:rPr>
      </w:pPr>
      <w:r>
        <w:rPr>
          <w:rFonts w:ascii="Arial" w:hAnsi="Arial" w:cs="Arial"/>
          <w:sz w:val="18"/>
          <w:szCs w:val="18"/>
        </w:rPr>
        <w:br w:type="textWrapping"/>
      </w: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Heteroskedasticity Test: Breusch-Pagan-Godfrey</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0.334137</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F(17,18)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0.9858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Obs*R-squared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8.635518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Chi-Square(17)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0.9510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Scaled explained SS</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2.017123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Chi-Square(17)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1.0000</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autoSpaceDE w:val="0"/>
        <w:autoSpaceDN w:val="0"/>
        <w:adjustRightInd w:val="0"/>
        <w:spacing w:after="0" w:line="240" w:lineRule="auto"/>
        <w:rPr>
          <w:rFonts w:ascii="Arial" w:hAnsi="Arial" w:cs="Arial"/>
          <w:sz w:val="18"/>
          <w:szCs w:val="18"/>
        </w:rPr>
      </w:pPr>
      <w:r>
        <w:rPr>
          <w:rFonts w:ascii="Arial" w:hAnsi="Arial" w:cs="Arial"/>
          <w:sz w:val="18"/>
          <w:szCs w:val="18"/>
        </w:rPr>
        <w:br w:type="textWrapping"/>
      </w:r>
    </w:p>
    <w:tbl>
      <w:tblPr>
        <w:tblStyle w:val="6"/>
        <w:tblW w:w="0" w:type="auto"/>
        <w:tblInd w:w="30" w:type="dxa"/>
        <w:tblLayout w:type="fixed"/>
        <w:tblCellMar>
          <w:top w:w="0" w:type="dxa"/>
          <w:left w:w="0" w:type="dxa"/>
          <w:bottom w:w="0" w:type="dxa"/>
          <w:right w:w="0" w:type="dxa"/>
        </w:tblCellMar>
      </w:tblPr>
      <w:tblGrid>
        <w:gridCol w:w="2122"/>
        <w:gridCol w:w="1050"/>
        <w:gridCol w:w="1155"/>
        <w:gridCol w:w="1155"/>
        <w:gridCol w:w="998"/>
      </w:tblGrid>
      <w:tr>
        <w:tblPrEx>
          <w:tblCellMar>
            <w:top w:w="0" w:type="dxa"/>
            <w:left w:w="0" w:type="dxa"/>
            <w:bottom w:w="0" w:type="dxa"/>
            <w:right w:w="0" w:type="dxa"/>
          </w:tblCellMar>
        </w:tblPrEx>
        <w:trPr>
          <w:trHeight w:val="225" w:hRule="atLeast"/>
        </w:trPr>
        <w:tc>
          <w:tcPr>
            <w:tcW w:w="2122"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Ramsey RESET Test</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Equation: UNTITLED</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Specification: LEXP   LEXP(-1) LEXP(-2) SMK TSTV TSTV(-1) TSTV(-2) ASI</w:t>
            </w:r>
          </w:p>
        </w:tc>
      </w:tr>
      <w:tr>
        <w:tblPrEx>
          <w:tblCellMar>
            <w:top w:w="0" w:type="dxa"/>
            <w:left w:w="0" w:type="dxa"/>
            <w:bottom w:w="0" w:type="dxa"/>
            <w:right w:w="0" w:type="dxa"/>
          </w:tblCellMar>
        </w:tblPrEx>
        <w:trPr>
          <w:trHeight w:val="225" w:hRule="atLeast"/>
        </w:trPr>
        <w:tc>
          <w:tcPr>
            <w:tcW w:w="2122"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ASI(-1) ASI(-2) INF INF(-1) INF(-2) TOPEN TOPEN(-1) GFCF GFCF(-1)</w:t>
            </w:r>
          </w:p>
        </w:tc>
      </w:tr>
      <w:tr>
        <w:tblPrEx>
          <w:tblCellMar>
            <w:top w:w="0" w:type="dxa"/>
            <w:left w:w="0" w:type="dxa"/>
            <w:bottom w:w="0" w:type="dxa"/>
            <w:right w:w="0" w:type="dxa"/>
          </w:tblCellMar>
        </w:tblPrEx>
        <w:trPr>
          <w:trHeight w:val="225" w:hRule="atLeast"/>
        </w:trPr>
        <w:tc>
          <w:tcPr>
            <w:tcW w:w="2122"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GFCF(-2) C </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Omitted Variables: Squares of fitted values</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122"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Value</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df</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Probability</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t-statistic</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0.538311</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17</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0.5973</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0.289779</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(1, 17)</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0.5973</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122"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F-test summary:</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Sum of Sq.</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df</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Mean Squares</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SSR</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0.003609</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0.003609</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Restricted SSR</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0.215324</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18</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0.011962</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Unrestricted SSR</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0.211715</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17</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0.012454</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122"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rPr>
          <w:rFonts w:ascii="Times New Roman" w:hAnsi="Times New Roman" w:cs="Times New Roman"/>
          <w:sz w:val="24"/>
          <w:szCs w:val="24"/>
        </w:rPr>
      </w:pPr>
      <w:r>
        <w:object>
          <v:shape id="_x0000_i1066" o:spt="75" type="#_x0000_t75" style="height:254.25pt;width:360pt;" o:ole="t" filled="f" o:preferrelative="t" stroked="f" coordsize="21600,21600">
            <v:path/>
            <v:fill on="f" focussize="0,0"/>
            <v:stroke on="f" joinstyle="miter"/>
            <v:imagedata r:id="rId63" o:title=""/>
            <o:lock v:ext="edit" aspectratio="t"/>
            <w10:wrap type="none"/>
            <w10:anchorlock/>
          </v:shape>
          <o:OLEObject Type="Embed" ProgID="EViews.Workfile.2" ShapeID="_x0000_i1066" DrawAspect="Content" ObjectID="_1468075766" r:id="rId88">
            <o:LockedField>false</o:LockedField>
          </o:OLEObject>
        </w:object>
      </w:r>
    </w:p>
    <w:p>
      <w:pPr>
        <w:rPr>
          <w:rFonts w:ascii="Times New Roman" w:hAnsi="Times New Roman" w:cs="Times New Roman"/>
          <w:sz w:val="24"/>
          <w:szCs w:val="24"/>
        </w:rPr>
      </w:pPr>
      <w:r>
        <w:object>
          <v:shape id="_x0000_i1067" o:spt="75" type="#_x0000_t75" style="height:254.25pt;width:364.5pt;" o:ole="t" filled="f" o:preferrelative="t" stroked="f" coordsize="21600,21600">
            <v:path/>
            <v:fill on="f" focussize="0,0"/>
            <v:stroke on="f" joinstyle="miter"/>
            <v:imagedata r:id="rId65" o:title=""/>
            <o:lock v:ext="edit" aspectratio="t"/>
            <w10:wrap type="none"/>
            <w10:anchorlock/>
          </v:shape>
          <o:OLEObject Type="Embed" ProgID="EViews.Workfile.2" ShapeID="_x0000_i1067" DrawAspect="Content" ObjectID="_1468075767" r:id="rId89">
            <o:LockedField>false</o:LockedField>
          </o:OLEObject>
        </w:object>
      </w:r>
    </w:p>
    <w:p>
      <w:pPr>
        <w:rPr>
          <w:rFonts w:ascii="Times New Roman" w:hAnsi="Times New Roman" w:cs="Times New Roman"/>
          <w:sz w:val="24"/>
          <w:szCs w:val="24"/>
        </w:rPr>
      </w:pPr>
      <w:r>
        <w:rPr>
          <w:rFonts w:ascii="Times New Roman" w:hAnsi="Times New Roman" w:cs="Times New Roman"/>
          <w:sz w:val="24"/>
          <w:szCs w:val="24"/>
        </w:rPr>
        <w:br w:type="page"/>
      </w:r>
    </w:p>
    <w:p>
      <w:pPr>
        <w:rPr>
          <w:rFonts w:ascii="Times New Roman" w:hAnsi="Times New Roman" w:cs="Times New Roman"/>
          <w:b/>
          <w:sz w:val="24"/>
          <w:szCs w:val="24"/>
        </w:rPr>
      </w:pPr>
      <w:r>
        <w:rPr>
          <w:rFonts w:ascii="Times New Roman" w:hAnsi="Times New Roman" w:cs="Times New Roman"/>
          <w:b/>
          <w:sz w:val="24"/>
          <w:szCs w:val="24"/>
        </w:rPr>
        <w:t>Child mortality</w:t>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LOG(UN5M)</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2"/>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Method: ARDL</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17:04</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(adjusted): 1989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34 after adjustments</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Maximum dependent lags: 4 (Automatic selection)</w:t>
            </w: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Model selection method: Akaike info criterion (AIC)</w:t>
            </w: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Dynamic regressors (3 lags, automatic): SMK TSTV ASI INF TOPEN GFCF   </w:t>
            </w: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Fixed regressors: C</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Number of models evalulated: 16384</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Selected Model: ARDL(4, 3, 3, 3, 0, 3, 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LOG(UN5M(-1))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2.840028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0.423598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6.704540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LOG(UN5M(-2))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-2.277918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0.855471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-2.662764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0.0259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LOG(UN5M(-3))</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-0.198874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0.744198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-0.267232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0.7953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LOG(UN5M(-4))</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0.660964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0.365220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1.809769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0.1038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SMK</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-0.000742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0.000277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-2.676085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0.0254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SMK(-1)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0.000509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0.000398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1.280354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0.2324</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SMK(-2)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-0.001037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0.000393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-2.638539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0.0270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SMK(-3)</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0.003143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0.000401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7.832527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TSTV</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-0.000176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0.001133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-0.155214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0.8801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TSTV(-1)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0.001027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0.001382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0.743606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0.4761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TSTV(-2)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-0.008243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0.002325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-3.545102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0.0063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TSTV(-3)</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-0.002310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0.001446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-1.597808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0.1446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ASI</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6.86E-07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2.37E-07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2.892350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0.0178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ASI(-1)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-4.37E-07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2.42E-07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-1.803192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0.1049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ASI(-2)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1.34E-06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2.17E-07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6.159761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ASI(-3)</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-1.25E-06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1.86E-07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-6.744541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2.68E-05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3.22E-05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0.831923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0.4270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9.31E-05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6.10E-05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1.526279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0.1613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1.35E-05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5.96E-05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0.226102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0.8262</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-8.39E-05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4.93E-05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-1.702689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0.1228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TOPEN(-3)</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-5.11E-05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4.92E-05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-1.037438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0.3266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0.000106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0.000117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0.903275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0.3899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0.000251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0.000172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1.459220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0.1785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0.000294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0.000149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1.975896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0.0796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-0.166330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0.053497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-3.109128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0.0125</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0.999989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5.048056</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0.999961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0.222859</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0.001389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-10.17973</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1.74E-05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-9.057407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198.0554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-9.796987</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35.42156</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Durbin-Watson stat</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2.022070</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Prob(F-statistic)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0.000000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*Note: p-values and any subsequent tests do not account for model</w:t>
            </w:r>
          </w:p>
        </w:tc>
      </w:tr>
      <w:tr>
        <w:tblPrEx>
          <w:tblCellMar>
            <w:top w:w="0" w:type="dxa"/>
            <w:left w:w="0" w:type="dxa"/>
            <w:bottom w:w="0" w:type="dxa"/>
            <w:right w:w="0" w:type="dxa"/>
          </w:tblCellMar>
        </w:tblPrEx>
        <w:trPr>
          <w:trHeight w:val="225" w:hRule="atLeast"/>
        </w:trPr>
        <w:tc>
          <w:tcPr>
            <w:tcW w:w="201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selection.</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227"/>
        <w:gridCol w:w="1103"/>
        <w:gridCol w:w="1207"/>
        <w:gridCol w:w="1208"/>
        <w:gridCol w:w="997"/>
      </w:tblGrid>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ARDL Long Run Form and Bounds Test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DLOG(UN5M)</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Selected Model: ARDL(4, 3, 3, 3, 0, 3, 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Case 2: Restricted Constant and No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17:06</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1985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34</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Conditional Error Correction Regression</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-0.166330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0.053497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-3.109128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0.0125</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LOG(UN5M(-1))*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0.024200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0.010499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2.304962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0.0466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SMK(-1)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0.001873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0.000456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4.104720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TSTV(-1)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-0.009702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0.003953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-2.454082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0.0365</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ASI(-1)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3.32E-07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2.86E-07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1.158776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0.2764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2.68E-05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3.22E-05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0.831923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0.4270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-2.84E-05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0.000124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-0.228636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0.8243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0.000651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9.99E-05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6.517524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DLOG(UN5M(-1))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1.815828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0.418904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4.334706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DLOG(UN5M(-2))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-0.462090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0.493262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-0.936805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0.3733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DLOG(UN5M(-3))</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-0.660964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0.365220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-1.809769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0.1038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D(SMK)</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-0.000742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0.000277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-2.676085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0.0254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D(SMK(-1))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-0.002106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0.000367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-5.741329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D(SMK(-2))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-0.003143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0.000401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-7.832527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D(TSTV)</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-0.000176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0.001133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-0.155214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0.8801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D(TSTV(-1))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0.010553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0.003612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2.921712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0.0170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D(TSTV(-2))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0.002310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0.001446</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1.597808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0.1446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D(ASI)</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6.86E-07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2.37E-07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2.892350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0.0178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D(ASI(-1))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-8.24E-08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2.14E-07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-0.385563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0.7088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D(ASI(-2))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1.25E-06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1.86E-07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6.744541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9.31E-05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6.10E-05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1.526279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0.1613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0.000135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6.11E-05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2.209676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0.0545</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5.11E-05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4.92E-05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1.037438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0.3266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0.000106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0.000117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0.903275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0.3899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-0.000294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0.000149</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-1.975896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0.0796</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 p-value incompatible with t-Bounds distribution.</w:t>
            </w: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Variable interpreted as Z = Z(-1) + D(Z).</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Levels Equation</w:t>
            </w: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Case 2: Restricted Constant and No Trend</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SMK</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-0.077409</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0.029221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-2.649132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0.0265</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TSTV</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0.400891</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0.140068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2.862121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0.0187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ASI</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-1.37E-05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1.17E-05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-1.175047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0.2701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INF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-0.001107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0.001553</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-0.712983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0.4939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0.001172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0.005071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0.231085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0.8224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-0.026910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0.014048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-1.915616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0.0877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6.873027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0.831258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8.268221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EC = LOG(UN5M) - (-0.0774*SMK + 0.4009*TSTV  -0.0000*ASI  -0.0011*INF +</w:t>
            </w: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0.0012*TOPEN  -0.0269*GFCF + 6.8730 )</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2"/>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F-Bounds Test</w:t>
            </w:r>
          </w:p>
        </w:tc>
        <w:tc>
          <w:tcPr>
            <w:tcW w:w="1207" w:type="dxa"/>
            <w:gridSpan w:val="3"/>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Null Hypothesis: No levels relationship</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Value</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Signif.</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I(1)</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Asymptotic: n=1000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23.59946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k</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3.99</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Actual Sample Size</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34</w:t>
            </w: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Finite Sample: n=35</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2.254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3.388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2.685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3.713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5.326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Finite Sample: n=30</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2.334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3.515</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2.794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4.148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3.976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5.691</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227"/>
        <w:gridCol w:w="1103"/>
        <w:gridCol w:w="1207"/>
        <w:gridCol w:w="1208"/>
        <w:gridCol w:w="997"/>
      </w:tblGrid>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ARDL Error Correction Regression</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Dependent Variable: DLOG(UN5M)</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Selected Model: ARDL(4, 3, 3, 3, 0, 3, 2)</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Case 2: Restricted Constant and No Trend</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Date: 11/15/23   Time: 17:11</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Sample: 1985 2022</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Included observations: 34</w:t>
            </w: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ECM Regression</w:t>
            </w: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Case 2: Restricted Constant and No Trend</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Variable</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Coefficient</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Std. Error</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t-Statistic</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Prob.   </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DLOG(UN5M(-1))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1.815828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0.166594</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10.89975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DLOG(UN5M(-2))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-0.462090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0.328870</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-1.405083</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0.1936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DLOG(UN5M(-3))</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-0.660964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0.179607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-3.680051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D(SMK)</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-0.000742</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0.000118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-6.302996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D(SMK(-1))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-0.002106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0.000175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-12.01260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D(SMK(-2))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-0.003143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0.000252</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-12.45588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D(TSTV)</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-0.000176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0.000687</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-0.256098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0.8036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D(TSTV(-1))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0.010553</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0.001005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10.50162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D(TSTV(-2))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0.002310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0.000488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4.731136</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D(ASI)</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6.86E-07</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9.30E-08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7.375924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D(ASI(-1))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-8.24E-08</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8.28E-08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-0.995057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0.3457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D(ASI(-2))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1.25E-06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9.50E-08</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13.20058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9.31E-05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2.79E-05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3.335840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0.0087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0.000135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2.66E-05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5.078261</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0.0007</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D(TOPEN(-2))</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5.11E-05</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2.51E-05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2.035640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0.0723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0.000106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6.73E-05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1.571000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0.1506</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D(GFCF(-1))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-0.000294</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8.17E-05</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-3.598124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0.0058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CointEq(-1)*</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-0.024200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0.001321</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-18.32039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0.0000</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0.895461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Mean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-0.018721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Adjusted 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0.780638</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S.D. dependent var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0.010762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S.E. of regression</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0.001041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Akaike info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-10.59150</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Sum squared resid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1.74E-05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Schwarz criterion</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-9.783423</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Log likelihood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198.0554</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Hannan-Quinn criter.</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-10.31592</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Durbin-Watson stat</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2.022070</w:t>
            </w:r>
          </w:p>
        </w:tc>
        <w:tc>
          <w:tcPr>
            <w:tcW w:w="120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ind w:right="10"/>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p-value incompatible with t-Bounds distribution.</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gridSpan w:val="2"/>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F-Bounds Test</w:t>
            </w:r>
          </w:p>
        </w:tc>
        <w:tc>
          <w:tcPr>
            <w:tcW w:w="1207" w:type="dxa"/>
            <w:gridSpan w:val="3"/>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Null Hypothesis: No levels relationship</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Value</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Signif.</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I(0)</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I(1)</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23.59946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1.99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2.94</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k</w:t>
            </w: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6</w:t>
            </w: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2.27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3.28</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2.55</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3.61</w:t>
            </w:r>
          </w:p>
        </w:tc>
      </w:tr>
      <w:tr>
        <w:tblPrEx>
          <w:tblCellMar>
            <w:top w:w="0" w:type="dxa"/>
            <w:left w:w="0" w:type="dxa"/>
            <w:bottom w:w="0" w:type="dxa"/>
            <w:right w:w="0" w:type="dxa"/>
          </w:tblCellMar>
        </w:tblPrEx>
        <w:trPr>
          <w:trHeight w:val="225" w:hRule="atLeas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  </w:t>
            </w:r>
          </w:p>
        </w:tc>
        <w:tc>
          <w:tcPr>
            <w:tcW w:w="1208"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2.88</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3.99</w:t>
            </w:r>
          </w:p>
        </w:tc>
      </w:tr>
      <w:tr>
        <w:tblPrEx>
          <w:tblCellMar>
            <w:top w:w="0" w:type="dxa"/>
            <w:left w:w="0" w:type="dxa"/>
            <w:bottom w:w="0" w:type="dxa"/>
            <w:right w:w="0" w:type="dxa"/>
          </w:tblCellMar>
        </w:tblPrEx>
        <w:trPr>
          <w:trHeight w:val="90" w:hRule="exact"/>
        </w:trPr>
        <w:tc>
          <w:tcPr>
            <w:tcW w:w="222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22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rPr>
          <w:rFonts w:ascii="Times New Roman" w:hAnsi="Times New Roman" w:cs="Times New Roman"/>
          <w:sz w:val="24"/>
          <w:szCs w:val="24"/>
        </w:rPr>
      </w:pPr>
      <w:r>
        <w:object>
          <v:shape id="_x0000_i1068" o:spt="75" type="#_x0000_t75" style="height:208.5pt;width:468pt;" o:ole="t" filled="f" o:preferrelative="t" stroked="f" coordsize="21600,21600">
            <v:path/>
            <v:fill on="f" focussize="0,0"/>
            <v:stroke on="f" joinstyle="miter"/>
            <v:imagedata r:id="rId91" o:title=""/>
            <o:lock v:ext="edit" aspectratio="t"/>
            <w10:wrap type="none"/>
            <w10:anchorlock/>
          </v:shape>
          <o:OLEObject Type="Embed" ProgID="EViews.Workfile.2" ShapeID="_x0000_i1068" DrawAspect="Content" ObjectID="_1468075768" r:id="rId90">
            <o:LockedField>false</o:LockedField>
          </o:OLEObject>
        </w:object>
      </w:r>
    </w:p>
    <w:p>
      <w:pPr>
        <w:autoSpaceDE w:val="0"/>
        <w:autoSpaceDN w:val="0"/>
        <w:adjustRightInd w:val="0"/>
        <w:spacing w:after="0" w:line="240" w:lineRule="auto"/>
        <w:rPr>
          <w:rFonts w:ascii="Arial" w:hAnsi="Arial" w:cs="Arial"/>
          <w:sz w:val="18"/>
          <w:szCs w:val="18"/>
        </w:rPr>
      </w:pP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Breusch-Godfrey Serial Correlation LM Test:</w:t>
            </w: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1.128399</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F(2,7)</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0.4365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Obs*R-squared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2.595075</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Chi-Square(2)</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0.2310</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autoSpaceDE w:val="0"/>
        <w:autoSpaceDN w:val="0"/>
        <w:adjustRightInd w:val="0"/>
        <w:spacing w:after="0" w:line="240" w:lineRule="auto"/>
        <w:rPr>
          <w:rFonts w:ascii="Arial" w:hAnsi="Arial" w:cs="Arial"/>
          <w:sz w:val="18"/>
          <w:szCs w:val="18"/>
        </w:rPr>
      </w:pPr>
      <w:r>
        <w:rPr>
          <w:rFonts w:ascii="Arial" w:hAnsi="Arial" w:cs="Arial"/>
          <w:sz w:val="18"/>
          <w:szCs w:val="18"/>
        </w:rPr>
        <w:br w:type="textWrapping"/>
      </w:r>
    </w:p>
    <w:tbl>
      <w:tblPr>
        <w:tblStyle w:val="6"/>
        <w:tblW w:w="0" w:type="auto"/>
        <w:tblInd w:w="30" w:type="dxa"/>
        <w:tblLayout w:type="fixed"/>
        <w:tblCellMar>
          <w:top w:w="0" w:type="dxa"/>
          <w:left w:w="0" w:type="dxa"/>
          <w:bottom w:w="0" w:type="dxa"/>
          <w:right w:w="0" w:type="dxa"/>
        </w:tblCellMar>
      </w:tblPr>
      <w:tblGrid>
        <w:gridCol w:w="2017"/>
        <w:gridCol w:w="1103"/>
        <w:gridCol w:w="1207"/>
        <w:gridCol w:w="1208"/>
        <w:gridCol w:w="997"/>
      </w:tblGrid>
      <w:tr>
        <w:tblPrEx>
          <w:tblCellMar>
            <w:top w:w="0" w:type="dxa"/>
            <w:left w:w="0" w:type="dxa"/>
            <w:bottom w:w="0" w:type="dxa"/>
            <w:right w:w="0" w:type="dxa"/>
          </w:tblCellMar>
        </w:tblPrEx>
        <w:trPr>
          <w:trHeight w:val="225" w:hRule="atLeast"/>
        </w:trPr>
        <w:tc>
          <w:tcPr>
            <w:tcW w:w="2017"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Heteroskedasticity Test: Breusch-Pagan-Godfrey</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0.431361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F(24,9)</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0.9515</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Obs*R-squared</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18.18823</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Chi-Square(24)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0.7938</w:t>
            </w:r>
          </w:p>
        </w:tc>
      </w:tr>
      <w:tr>
        <w:tblPrEx>
          <w:tblCellMar>
            <w:top w:w="0" w:type="dxa"/>
            <w:left w:w="0" w:type="dxa"/>
            <w:bottom w:w="0" w:type="dxa"/>
            <w:right w:w="0" w:type="dxa"/>
          </w:tblCellMar>
        </w:tblPrEx>
        <w:trPr>
          <w:trHeight w:val="225" w:hRule="atLeast"/>
        </w:trPr>
        <w:tc>
          <w:tcPr>
            <w:tcW w:w="2017"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Scaled explained SS</w:t>
            </w:r>
          </w:p>
        </w:tc>
        <w:tc>
          <w:tcPr>
            <w:tcW w:w="1103"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0.812801</w:t>
            </w:r>
          </w:p>
        </w:tc>
        <w:tc>
          <w:tcPr>
            <w:tcW w:w="1207" w:type="dxa"/>
            <w:gridSpan w:val="2"/>
            <w:tcBorders>
              <w:top w:val="nil"/>
              <w:left w:val="nil"/>
              <w:bottom w:val="nil"/>
              <w:right w:val="nil"/>
            </w:tcBorders>
            <w:vAlign w:val="bottom"/>
          </w:tcPr>
          <w:p>
            <w:pPr>
              <w:autoSpaceDE w:val="0"/>
              <w:autoSpaceDN w:val="0"/>
              <w:adjustRightInd w:val="0"/>
              <w:spacing w:after="0" w:line="240" w:lineRule="auto"/>
              <w:ind w:right="10"/>
              <w:rPr>
                <w:rFonts w:ascii="Arial" w:hAnsi="Arial" w:cs="Arial"/>
                <w:sz w:val="18"/>
                <w:szCs w:val="18"/>
              </w:rPr>
            </w:pPr>
            <w:r>
              <w:rPr>
                <w:rFonts w:ascii="Arial" w:hAnsi="Arial" w:cs="Arial"/>
                <w:sz w:val="18"/>
                <w:szCs w:val="18"/>
              </w:rPr>
              <w:t>    Prob. Chi-Square(24)</w:t>
            </w:r>
          </w:p>
        </w:tc>
        <w:tc>
          <w:tcPr>
            <w:tcW w:w="997" w:type="dxa"/>
            <w:tcBorders>
              <w:top w:val="nil"/>
              <w:left w:val="nil"/>
              <w:bottom w:val="nil"/>
              <w:right w:val="nil"/>
            </w:tcBorders>
            <w:vAlign w:val="bottom"/>
          </w:tcPr>
          <w:p>
            <w:pPr>
              <w:autoSpaceDE w:val="0"/>
              <w:autoSpaceDN w:val="0"/>
              <w:adjustRightInd w:val="0"/>
              <w:spacing w:after="0" w:line="240" w:lineRule="auto"/>
              <w:ind w:right="10"/>
              <w:jc w:val="right"/>
              <w:rPr>
                <w:rFonts w:ascii="Arial" w:hAnsi="Arial" w:cs="Arial"/>
                <w:sz w:val="18"/>
                <w:szCs w:val="18"/>
              </w:rPr>
            </w:pPr>
            <w:r>
              <w:rPr>
                <w:rFonts w:ascii="Arial" w:hAnsi="Arial" w:cs="Arial"/>
                <w:sz w:val="18"/>
                <w:szCs w:val="18"/>
              </w:rPr>
              <w:t>1.0000</w:t>
            </w:r>
          </w:p>
        </w:tc>
      </w:tr>
      <w:tr>
        <w:tblPrEx>
          <w:tblCellMar>
            <w:top w:w="0" w:type="dxa"/>
            <w:left w:w="0" w:type="dxa"/>
            <w:bottom w:w="0" w:type="dxa"/>
            <w:right w:w="0" w:type="dxa"/>
          </w:tblCellMar>
        </w:tblPrEx>
        <w:trPr>
          <w:trHeight w:val="90" w:hRule="exact"/>
        </w:trPr>
        <w:tc>
          <w:tcPr>
            <w:tcW w:w="201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01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03"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20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7"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autoSpaceDE w:val="0"/>
        <w:autoSpaceDN w:val="0"/>
        <w:adjustRightInd w:val="0"/>
        <w:spacing w:after="0" w:line="240" w:lineRule="auto"/>
        <w:rPr>
          <w:rFonts w:ascii="Arial" w:hAnsi="Arial" w:cs="Arial"/>
          <w:sz w:val="18"/>
          <w:szCs w:val="18"/>
        </w:rPr>
      </w:pPr>
      <w:r>
        <w:rPr>
          <w:rFonts w:ascii="Arial" w:hAnsi="Arial" w:cs="Arial"/>
          <w:sz w:val="18"/>
          <w:szCs w:val="18"/>
        </w:rPr>
        <w:br w:type="textWrapping"/>
      </w:r>
    </w:p>
    <w:tbl>
      <w:tblPr>
        <w:tblStyle w:val="6"/>
        <w:tblW w:w="0" w:type="auto"/>
        <w:tblInd w:w="30" w:type="dxa"/>
        <w:tblLayout w:type="fixed"/>
        <w:tblCellMar>
          <w:top w:w="0" w:type="dxa"/>
          <w:left w:w="0" w:type="dxa"/>
          <w:bottom w:w="0" w:type="dxa"/>
          <w:right w:w="0" w:type="dxa"/>
        </w:tblCellMar>
      </w:tblPr>
      <w:tblGrid>
        <w:gridCol w:w="2122"/>
        <w:gridCol w:w="1050"/>
        <w:gridCol w:w="1155"/>
        <w:gridCol w:w="1155"/>
        <w:gridCol w:w="998"/>
      </w:tblGrid>
      <w:tr>
        <w:tblPrEx>
          <w:tblCellMar>
            <w:top w:w="0" w:type="dxa"/>
            <w:left w:w="0" w:type="dxa"/>
            <w:bottom w:w="0" w:type="dxa"/>
            <w:right w:w="0" w:type="dxa"/>
          </w:tblCellMar>
        </w:tblPrEx>
        <w:trPr>
          <w:trHeight w:val="225" w:hRule="atLeast"/>
        </w:trPr>
        <w:tc>
          <w:tcPr>
            <w:tcW w:w="2122"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Ramsey RESET Test</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Equation: EQ03</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Specification: LOG(UN5M)   LOG(UN5M(-1)) LOG(UN5M(-2)) LOG(UN5M(</w:t>
            </w:r>
          </w:p>
        </w:tc>
      </w:tr>
      <w:tr>
        <w:tblPrEx>
          <w:tblCellMar>
            <w:top w:w="0" w:type="dxa"/>
            <w:left w:w="0" w:type="dxa"/>
            <w:bottom w:w="0" w:type="dxa"/>
            <w:right w:w="0" w:type="dxa"/>
          </w:tblCellMar>
        </w:tblPrEx>
        <w:trPr>
          <w:trHeight w:val="225" w:hRule="atLeast"/>
        </w:trPr>
        <w:tc>
          <w:tcPr>
            <w:tcW w:w="2122"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-3)) LOG(UN5M(-4)) SMK SMK(-1) SMK(-2) SMK(-3) TSTV TSTV(-1)</w:t>
            </w:r>
          </w:p>
        </w:tc>
      </w:tr>
      <w:tr>
        <w:tblPrEx>
          <w:tblCellMar>
            <w:top w:w="0" w:type="dxa"/>
            <w:left w:w="0" w:type="dxa"/>
            <w:bottom w:w="0" w:type="dxa"/>
            <w:right w:w="0" w:type="dxa"/>
          </w:tblCellMar>
        </w:tblPrEx>
        <w:trPr>
          <w:trHeight w:val="225" w:hRule="atLeast"/>
        </w:trPr>
        <w:tc>
          <w:tcPr>
            <w:tcW w:w="2122"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TSTV(-2) TSTV(-3) ASI ASI(-1) ASI(-2) ASI(-3) INF TOPEN TOPEN(-1)</w:t>
            </w:r>
          </w:p>
        </w:tc>
      </w:tr>
      <w:tr>
        <w:tblPrEx>
          <w:tblCellMar>
            <w:top w:w="0" w:type="dxa"/>
            <w:left w:w="0" w:type="dxa"/>
            <w:bottom w:w="0" w:type="dxa"/>
            <w:right w:w="0" w:type="dxa"/>
          </w:tblCellMar>
        </w:tblPrEx>
        <w:trPr>
          <w:trHeight w:val="225" w:hRule="atLeast"/>
        </w:trPr>
        <w:tc>
          <w:tcPr>
            <w:tcW w:w="2122" w:type="dxa"/>
            <w:gridSpan w:val="5"/>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        TOPEN(-2) TOPEN(-3) GFCF GFCF(-1) GFCF(-2) C </w:t>
            </w:r>
          </w:p>
        </w:tc>
      </w:tr>
      <w:tr>
        <w:tblPrEx>
          <w:tblCellMar>
            <w:top w:w="0" w:type="dxa"/>
            <w:left w:w="0" w:type="dxa"/>
            <w:bottom w:w="0" w:type="dxa"/>
            <w:right w:w="0" w:type="dxa"/>
          </w:tblCellMar>
        </w:tblPrEx>
        <w:trPr>
          <w:trHeight w:val="225" w:hRule="atLeast"/>
        </w:trPr>
        <w:tc>
          <w:tcPr>
            <w:tcW w:w="2122" w:type="dxa"/>
            <w:gridSpan w:val="4"/>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Omitted Variables: Squares of fitted values</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122"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Value</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df</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Probability</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t-statistic</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1.176503</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8</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0.2732</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F-statistic</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1.384160</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(1, 8)</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0.2732</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122"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gridSpan w:val="3"/>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F-test summary:</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Sum of Sq.</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df</w:t>
            </w:r>
          </w:p>
        </w:tc>
        <w:tc>
          <w:tcPr>
            <w:tcW w:w="1155" w:type="dxa"/>
            <w:tcBorders>
              <w:top w:val="nil"/>
              <w:left w:val="nil"/>
              <w:bottom w:val="sing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Mean Squares</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Test SSR</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2.56E-06</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2.56E-06</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Restricted SSR</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1.74E-05</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9</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1.93E-06</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225" w:hRule="atLeast"/>
        </w:trPr>
        <w:tc>
          <w:tcPr>
            <w:tcW w:w="2122" w:type="dxa"/>
            <w:tcBorders>
              <w:top w:val="nil"/>
              <w:left w:val="nil"/>
              <w:bottom w:val="nil"/>
              <w:right w:val="nil"/>
            </w:tcBorders>
            <w:vAlign w:val="bottom"/>
          </w:tcPr>
          <w:p>
            <w:pPr>
              <w:autoSpaceDE w:val="0"/>
              <w:autoSpaceDN w:val="0"/>
              <w:adjustRightInd w:val="0"/>
              <w:spacing w:after="0" w:line="240" w:lineRule="auto"/>
              <w:rPr>
                <w:rFonts w:ascii="Arial" w:hAnsi="Arial" w:cs="Arial"/>
                <w:sz w:val="18"/>
                <w:szCs w:val="18"/>
              </w:rPr>
            </w:pPr>
            <w:r>
              <w:rPr>
                <w:rFonts w:ascii="Arial" w:hAnsi="Arial" w:cs="Arial"/>
                <w:sz w:val="18"/>
                <w:szCs w:val="18"/>
              </w:rPr>
              <w:t>Unrestricted SSR</w:t>
            </w: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1.48E-05</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8</w:t>
            </w: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1.85E-06</w:t>
            </w: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90" w:hRule="exact"/>
        </w:trPr>
        <w:tc>
          <w:tcPr>
            <w:tcW w:w="2122"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double" w:color="auto" w:sz="6" w:space="0"/>
              <w:right w:val="nil"/>
            </w:tcBorders>
            <w:vAlign w:val="bottom"/>
          </w:tcPr>
          <w:p>
            <w:pPr>
              <w:autoSpaceDE w:val="0"/>
              <w:autoSpaceDN w:val="0"/>
              <w:adjustRightInd w:val="0"/>
              <w:spacing w:after="0" w:line="240" w:lineRule="auto"/>
              <w:jc w:val="center"/>
              <w:rPr>
                <w:rFonts w:ascii="Arial" w:hAnsi="Arial" w:cs="Arial"/>
                <w:sz w:val="18"/>
                <w:szCs w:val="18"/>
              </w:rPr>
            </w:pPr>
          </w:p>
        </w:tc>
      </w:tr>
      <w:tr>
        <w:tblPrEx>
          <w:tblCellMar>
            <w:top w:w="0" w:type="dxa"/>
            <w:left w:w="0" w:type="dxa"/>
            <w:bottom w:w="0" w:type="dxa"/>
            <w:right w:w="0" w:type="dxa"/>
          </w:tblCellMar>
        </w:tblPrEx>
        <w:trPr>
          <w:trHeight w:val="135" w:hRule="exact"/>
        </w:trPr>
        <w:tc>
          <w:tcPr>
            <w:tcW w:w="2122"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050"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1155"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c>
          <w:tcPr>
            <w:tcW w:w="998" w:type="dxa"/>
            <w:tcBorders>
              <w:top w:val="nil"/>
              <w:left w:val="nil"/>
              <w:bottom w:val="nil"/>
              <w:right w:val="nil"/>
            </w:tcBorders>
            <w:vAlign w:val="bottom"/>
          </w:tcPr>
          <w:p>
            <w:pPr>
              <w:autoSpaceDE w:val="0"/>
              <w:autoSpaceDN w:val="0"/>
              <w:adjustRightInd w:val="0"/>
              <w:spacing w:after="0" w:line="240" w:lineRule="auto"/>
              <w:jc w:val="center"/>
              <w:rPr>
                <w:rFonts w:ascii="Arial" w:hAnsi="Arial" w:cs="Arial"/>
                <w:sz w:val="18"/>
                <w:szCs w:val="18"/>
              </w:rPr>
            </w:pPr>
          </w:p>
        </w:tc>
      </w:tr>
    </w:tbl>
    <w:p>
      <w:pPr>
        <w:rPr>
          <w:rFonts w:ascii="Times New Roman" w:hAnsi="Times New Roman" w:cs="Times New Roman"/>
          <w:sz w:val="24"/>
          <w:szCs w:val="24"/>
        </w:rPr>
      </w:pPr>
      <w:r>
        <w:rPr>
          <w:rFonts w:ascii="Times New Roman" w:hAnsi="Times New Roman" w:cs="Times New Roman"/>
          <w:sz w:val="24"/>
          <w:szCs w:val="24"/>
        </w:rPr>
        <w:br w:type="page"/>
      </w:r>
    </w:p>
    <w:p>
      <w:pPr>
        <w:rPr>
          <w:rFonts w:ascii="Times New Roman" w:hAnsi="Times New Roman" w:cs="Times New Roman"/>
          <w:sz w:val="24"/>
          <w:szCs w:val="24"/>
        </w:rPr>
      </w:pPr>
      <w:r>
        <w:object>
          <v:shape id="_x0000_i1069" o:spt="75" type="#_x0000_t75" style="height:254.25pt;width:371.25pt;" o:ole="t" filled="f" o:preferrelative="t" stroked="f" coordsize="21600,21600">
            <v:path/>
            <v:fill on="f" focussize="0,0"/>
            <v:stroke on="f" joinstyle="miter"/>
            <v:imagedata r:id="rId67" o:title=""/>
            <o:lock v:ext="edit" aspectratio="t"/>
            <w10:wrap type="none"/>
            <w10:anchorlock/>
          </v:shape>
          <o:OLEObject Type="Embed" ProgID="EViews.Workfile.2" ShapeID="_x0000_i1069" DrawAspect="Content" ObjectID="_1468075769" r:id="rId92">
            <o:LockedField>false</o:LockedField>
          </o:OLEObject>
        </w:object>
      </w:r>
    </w:p>
    <w:p>
      <w:pPr>
        <w:rPr>
          <w:rFonts w:ascii="Times New Roman" w:hAnsi="Times New Roman" w:cs="Times New Roman"/>
          <w:sz w:val="24"/>
          <w:szCs w:val="24"/>
        </w:rPr>
      </w:pPr>
      <w:r>
        <w:object>
          <v:shape id="_x0000_i1070" o:spt="75" type="#_x0000_t75" style="height:254.25pt;width:364.5pt;" o:ole="t" filled="f" o:preferrelative="t" stroked="f" coordsize="21600,21600">
            <v:path/>
            <v:fill on="f" focussize="0,0"/>
            <v:stroke on="f" joinstyle="miter"/>
            <v:imagedata r:id="rId69" o:title=""/>
            <o:lock v:ext="edit" aspectratio="t"/>
            <w10:wrap type="none"/>
            <w10:anchorlock/>
          </v:shape>
          <o:OLEObject Type="Embed" ProgID="EViews.Workfile.2" ShapeID="_x0000_i1070" DrawAspect="Content" ObjectID="_1468075770" r:id="rId93">
            <o:LockedField>false</o:LockedField>
          </o:OLEObject>
        </w:object>
      </w:r>
    </w:p>
    <w:p>
      <w:pPr>
        <w:spacing w:after="0" w:line="240" w:lineRule="auto"/>
        <w:rPr>
          <w:rFonts w:ascii="Times New Roman" w:hAnsi="Times New Roman" w:eastAsia="Calibri"/>
          <w:sz w:val="24"/>
          <w:szCs w:val="24"/>
        </w:rPr>
      </w:pPr>
      <w:r>
        <w:rPr>
          <w:rFonts w:ascii="Times New Roman" w:hAnsi="Times New Roman" w:eastAsia="Calibri"/>
          <w:sz w:val="24"/>
          <w:szCs w:val="24"/>
        </w:rPr>
        <w:br w:type="page"/>
      </w:r>
    </w:p>
    <w:p>
      <w:pPr>
        <w:pStyle w:val="14"/>
        <w:spacing w:after="120" w:line="276" w:lineRule="auto"/>
        <w:jc w:val="center"/>
        <w:rPr>
          <w:rFonts w:ascii="Times New Roman" w:hAnsi="Times New Roman" w:eastAsia="Calibri"/>
          <w:b/>
          <w:bCs/>
          <w:sz w:val="24"/>
          <w:szCs w:val="24"/>
        </w:rPr>
      </w:pPr>
      <w:r>
        <w:rPr>
          <w:rFonts w:ascii="Times New Roman" w:hAnsi="Times New Roman" w:eastAsia="Calibri"/>
          <w:b/>
          <w:bCs/>
          <w:sz w:val="24"/>
          <w:szCs w:val="24"/>
        </w:rPr>
        <w:t>Biodata</w:t>
      </w:r>
    </w:p>
    <w:p>
      <w:pPr>
        <w:pStyle w:val="14"/>
        <w:spacing w:after="120" w:line="276" w:lineRule="auto"/>
        <w:jc w:val="both"/>
        <w:rPr>
          <w:rFonts w:ascii="Times New Roman" w:hAnsi="Times New Roman" w:eastAsia="Calibri"/>
          <w:b/>
          <w:bCs/>
          <w:sz w:val="24"/>
          <w:szCs w:val="24"/>
        </w:rPr>
      </w:pPr>
      <w:r>
        <w:rPr>
          <w:rFonts w:ascii="Times New Roman" w:hAnsi="Times New Roman" w:eastAsia="Calibri"/>
          <w:b/>
          <w:bCs/>
          <w:sz w:val="24"/>
          <w:szCs w:val="24"/>
        </w:rPr>
        <w:t xml:space="preserve">A. Personal information </w:t>
      </w:r>
    </w:p>
    <w:p>
      <w:pPr>
        <w:pStyle w:val="14"/>
        <w:numPr>
          <w:ilvl w:val="0"/>
          <w:numId w:val="7"/>
        </w:numPr>
        <w:spacing w:after="120" w:line="276" w:lineRule="auto"/>
        <w:jc w:val="both"/>
        <w:rPr>
          <w:rFonts w:ascii="Times New Roman" w:hAnsi="Times New Roman" w:eastAsia="Calibri"/>
          <w:sz w:val="24"/>
          <w:szCs w:val="24"/>
        </w:rPr>
      </w:pPr>
      <w:r>
        <w:rPr>
          <w:rFonts w:ascii="Times New Roman" w:hAnsi="Times New Roman" w:eastAsia="Calibri"/>
          <w:sz w:val="24"/>
          <w:szCs w:val="24"/>
        </w:rPr>
        <w:t>Full name: Ibrahim SAMAILA</w:t>
      </w:r>
    </w:p>
    <w:p>
      <w:pPr>
        <w:pStyle w:val="14"/>
        <w:numPr>
          <w:ilvl w:val="0"/>
          <w:numId w:val="7"/>
        </w:numPr>
        <w:spacing w:after="120" w:line="276" w:lineRule="auto"/>
        <w:jc w:val="both"/>
        <w:rPr>
          <w:rFonts w:ascii="Times New Roman" w:hAnsi="Times New Roman" w:eastAsia="Calibri"/>
          <w:sz w:val="24"/>
          <w:szCs w:val="24"/>
        </w:rPr>
      </w:pPr>
      <w:r>
        <w:rPr>
          <w:rFonts w:ascii="Times New Roman" w:hAnsi="Times New Roman" w:eastAsia="Calibri"/>
          <w:sz w:val="24"/>
          <w:szCs w:val="24"/>
        </w:rPr>
        <w:t>Address: No.38 TudunWada Premier Road, Gusau, Zamfara state, Nigeria.</w:t>
      </w:r>
    </w:p>
    <w:p>
      <w:pPr>
        <w:pStyle w:val="14"/>
        <w:numPr>
          <w:ilvl w:val="0"/>
          <w:numId w:val="7"/>
        </w:numPr>
        <w:spacing w:after="120" w:line="276" w:lineRule="auto"/>
        <w:jc w:val="both"/>
        <w:rPr>
          <w:rFonts w:ascii="Times New Roman" w:hAnsi="Times New Roman" w:eastAsia="Calibri"/>
          <w:sz w:val="24"/>
          <w:szCs w:val="24"/>
        </w:rPr>
      </w:pPr>
      <w:r>
        <w:rPr>
          <w:rFonts w:ascii="Times New Roman" w:hAnsi="Times New Roman" w:eastAsia="Calibri"/>
          <w:sz w:val="24"/>
          <w:szCs w:val="24"/>
        </w:rPr>
        <w:t>Date and Place of Birth: 26/12/1985, Gusau</w:t>
      </w:r>
    </w:p>
    <w:p>
      <w:pPr>
        <w:pStyle w:val="14"/>
        <w:numPr>
          <w:ilvl w:val="0"/>
          <w:numId w:val="7"/>
        </w:numPr>
        <w:spacing w:after="120" w:line="276" w:lineRule="auto"/>
        <w:jc w:val="both"/>
        <w:rPr>
          <w:rFonts w:ascii="Times New Roman" w:hAnsi="Times New Roman" w:eastAsia="Calibri"/>
          <w:sz w:val="24"/>
          <w:szCs w:val="24"/>
        </w:rPr>
      </w:pPr>
      <w:r>
        <w:rPr>
          <w:rFonts w:ascii="Times New Roman" w:hAnsi="Times New Roman" w:eastAsia="Calibri"/>
          <w:sz w:val="24"/>
          <w:szCs w:val="24"/>
        </w:rPr>
        <w:t>Nationality: Nigeria</w:t>
      </w:r>
    </w:p>
    <w:p>
      <w:pPr>
        <w:pStyle w:val="14"/>
        <w:spacing w:after="120" w:line="276" w:lineRule="auto"/>
        <w:jc w:val="both"/>
        <w:rPr>
          <w:rFonts w:ascii="Times New Roman" w:hAnsi="Times New Roman" w:eastAsia="Calibri"/>
          <w:sz w:val="24"/>
          <w:szCs w:val="24"/>
        </w:rPr>
      </w:pPr>
      <w:r>
        <w:rPr>
          <w:rFonts w:ascii="Times New Roman" w:hAnsi="Times New Roman" w:eastAsia="Calibri"/>
          <w:b/>
          <w:bCs/>
          <w:sz w:val="24"/>
          <w:szCs w:val="24"/>
        </w:rPr>
        <w:t>B. Name and Address of Next of Kin:</w:t>
      </w:r>
      <w:r>
        <w:rPr>
          <w:rFonts w:ascii="Times New Roman" w:hAnsi="Times New Roman" w:eastAsia="Calibri"/>
          <w:sz w:val="24"/>
          <w:szCs w:val="24"/>
        </w:rPr>
        <w:t>Fatima Ibrahim Aliyu</w:t>
      </w:r>
    </w:p>
    <w:p>
      <w:pPr>
        <w:pStyle w:val="14"/>
        <w:spacing w:after="120" w:line="276" w:lineRule="auto"/>
        <w:ind w:left="2880" w:firstLine="720"/>
        <w:jc w:val="both"/>
        <w:rPr>
          <w:rFonts w:ascii="Times New Roman" w:hAnsi="Times New Roman" w:eastAsia="Calibri"/>
          <w:sz w:val="24"/>
          <w:szCs w:val="24"/>
        </w:rPr>
      </w:pPr>
      <w:r>
        <w:rPr>
          <w:rFonts w:ascii="Times New Roman" w:hAnsi="Times New Roman" w:eastAsia="Calibri"/>
          <w:sz w:val="24"/>
          <w:szCs w:val="24"/>
        </w:rPr>
        <w:t>No.38,Tudun Wada Premier Road Gusau.</w:t>
      </w:r>
    </w:p>
    <w:p>
      <w:pPr>
        <w:pStyle w:val="14"/>
        <w:spacing w:after="120" w:line="276" w:lineRule="auto"/>
        <w:jc w:val="both"/>
        <w:rPr>
          <w:rFonts w:ascii="Times New Roman" w:hAnsi="Times New Roman" w:eastAsia="Calibri"/>
          <w:b/>
          <w:bCs/>
          <w:sz w:val="24"/>
          <w:szCs w:val="24"/>
        </w:rPr>
      </w:pPr>
      <w:r>
        <w:rPr>
          <w:rFonts w:ascii="Times New Roman" w:hAnsi="Times New Roman" w:eastAsia="Calibri"/>
          <w:b/>
          <w:bCs/>
          <w:sz w:val="24"/>
          <w:szCs w:val="24"/>
        </w:rPr>
        <w:t xml:space="preserve">C. Educational Background </w:t>
      </w:r>
    </w:p>
    <w:p>
      <w:pPr>
        <w:pStyle w:val="14"/>
        <w:spacing w:after="120" w:line="276" w:lineRule="auto"/>
        <w:jc w:val="both"/>
        <w:rPr>
          <w:rFonts w:ascii="Times New Roman" w:hAnsi="Times New Roman" w:eastAsia="Calibri"/>
          <w:sz w:val="24"/>
          <w:szCs w:val="24"/>
        </w:rPr>
      </w:pPr>
      <w:r>
        <w:rPr>
          <w:rFonts w:ascii="Times New Roman" w:hAnsi="Times New Roman" w:eastAsia="Calibri"/>
          <w:sz w:val="24"/>
          <w:szCs w:val="24"/>
        </w:rPr>
        <w:t>Lead City University,Ibadan, Oyo State (MScEconomics)</w:t>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Inview</w:t>
      </w:r>
    </w:p>
    <w:p>
      <w:pPr>
        <w:pStyle w:val="14"/>
        <w:spacing w:after="120" w:line="276" w:lineRule="auto"/>
        <w:jc w:val="both"/>
        <w:rPr>
          <w:rFonts w:ascii="Times New Roman" w:hAnsi="Times New Roman" w:eastAsia="Calibri"/>
          <w:sz w:val="24"/>
          <w:szCs w:val="24"/>
        </w:rPr>
      </w:pPr>
      <w:r>
        <w:rPr>
          <w:rFonts w:ascii="Times New Roman" w:hAnsi="Times New Roman" w:eastAsia="Calibri"/>
          <w:sz w:val="24"/>
          <w:szCs w:val="24"/>
        </w:rPr>
        <w:t>National open University of Nigerian (BSc Economics)</w:t>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2017-2021</w:t>
      </w:r>
    </w:p>
    <w:p>
      <w:pPr>
        <w:pStyle w:val="14"/>
        <w:spacing w:after="120" w:line="276" w:lineRule="auto"/>
        <w:jc w:val="both"/>
        <w:rPr>
          <w:rFonts w:ascii="Times New Roman" w:hAnsi="Times New Roman" w:eastAsia="Calibri"/>
          <w:sz w:val="24"/>
          <w:szCs w:val="24"/>
        </w:rPr>
      </w:pPr>
      <w:r>
        <w:rPr>
          <w:rFonts w:ascii="Times New Roman" w:hAnsi="Times New Roman" w:eastAsia="Calibri"/>
          <w:sz w:val="24"/>
          <w:szCs w:val="24"/>
        </w:rPr>
        <w:t>Abdu Gusau Polytechnic Talata</w:t>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2005-2007</w:t>
      </w:r>
    </w:p>
    <w:p>
      <w:pPr>
        <w:pStyle w:val="14"/>
        <w:spacing w:after="120" w:line="276" w:lineRule="auto"/>
        <w:jc w:val="both"/>
        <w:rPr>
          <w:rFonts w:ascii="Times New Roman" w:hAnsi="Times New Roman" w:eastAsia="Calibri"/>
          <w:sz w:val="24"/>
          <w:szCs w:val="24"/>
        </w:rPr>
      </w:pPr>
      <w:r>
        <w:rPr>
          <w:rFonts w:ascii="Times New Roman" w:hAnsi="Times New Roman" w:eastAsia="Calibri"/>
          <w:sz w:val="24"/>
          <w:szCs w:val="24"/>
        </w:rPr>
        <w:t xml:space="preserve">Abdu Gusau Polytechnic,TalataMafara,Zamfara state (National Diploma in Banking and Finance) </w:t>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2002-2004</w:t>
      </w:r>
    </w:p>
    <w:p>
      <w:pPr>
        <w:pStyle w:val="14"/>
        <w:spacing w:after="120" w:line="276" w:lineRule="auto"/>
        <w:jc w:val="both"/>
        <w:rPr>
          <w:rFonts w:ascii="Times New Roman" w:hAnsi="Times New Roman" w:eastAsia="Calibri"/>
          <w:sz w:val="24"/>
          <w:szCs w:val="24"/>
        </w:rPr>
      </w:pPr>
      <w:r>
        <w:rPr>
          <w:rFonts w:ascii="Times New Roman" w:hAnsi="Times New Roman" w:eastAsia="Calibri"/>
          <w:sz w:val="24"/>
          <w:szCs w:val="24"/>
        </w:rPr>
        <w:t>Sambo Secondary School,Gusau(SSCE)</w:t>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1996-2002</w:t>
      </w:r>
    </w:p>
    <w:p>
      <w:pPr>
        <w:pStyle w:val="14"/>
        <w:spacing w:after="120" w:line="276" w:lineRule="auto"/>
        <w:jc w:val="both"/>
        <w:rPr>
          <w:rFonts w:ascii="Times New Roman" w:hAnsi="Times New Roman" w:eastAsia="Calibri"/>
          <w:sz w:val="24"/>
          <w:szCs w:val="24"/>
        </w:rPr>
      </w:pPr>
      <w:r>
        <w:rPr>
          <w:rFonts w:ascii="Times New Roman" w:hAnsi="Times New Roman" w:eastAsia="Calibri"/>
          <w:sz w:val="24"/>
          <w:szCs w:val="24"/>
        </w:rPr>
        <w:t>Army Children Primary School,Gusau (First School Leaving Certificate)</w:t>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1991-1996</w:t>
      </w:r>
    </w:p>
    <w:p>
      <w:pPr>
        <w:pStyle w:val="14"/>
        <w:spacing w:after="120" w:line="276" w:lineRule="auto"/>
        <w:jc w:val="both"/>
        <w:rPr>
          <w:rFonts w:ascii="Times New Roman" w:hAnsi="Times New Roman" w:eastAsia="Calibri"/>
          <w:b/>
          <w:bCs/>
          <w:sz w:val="24"/>
          <w:szCs w:val="24"/>
        </w:rPr>
      </w:pPr>
      <w:r>
        <w:rPr>
          <w:rFonts w:ascii="Times New Roman" w:hAnsi="Times New Roman" w:eastAsia="Calibri"/>
          <w:b/>
          <w:bCs/>
          <w:sz w:val="24"/>
          <w:szCs w:val="24"/>
        </w:rPr>
        <w:t>D. Working Experience with Dates</w:t>
      </w:r>
    </w:p>
    <w:p>
      <w:pPr>
        <w:pStyle w:val="14"/>
        <w:spacing w:after="120" w:line="276" w:lineRule="auto"/>
        <w:ind w:right="-244"/>
        <w:jc w:val="both"/>
        <w:rPr>
          <w:rFonts w:ascii="Times New Roman" w:hAnsi="Times New Roman" w:eastAsia="Calibri"/>
          <w:sz w:val="24"/>
          <w:szCs w:val="24"/>
        </w:rPr>
      </w:pPr>
      <w:r>
        <w:rPr>
          <w:rFonts w:ascii="Times New Roman" w:hAnsi="Times New Roman" w:eastAsia="Calibri"/>
          <w:sz w:val="24"/>
          <w:szCs w:val="24"/>
        </w:rPr>
        <w:t>Central Bank of Nigeria, Senior Security Supervisor, Security Services Dept.</w:t>
      </w:r>
      <w:r>
        <w:rPr>
          <w:rFonts w:ascii="Times New Roman" w:hAnsi="Times New Roman" w:eastAsia="Calibri"/>
          <w:sz w:val="24"/>
          <w:szCs w:val="24"/>
        </w:rPr>
        <w:tab/>
      </w:r>
      <w:r>
        <w:rPr>
          <w:rFonts w:ascii="Times New Roman" w:hAnsi="Times New Roman" w:eastAsia="Calibri"/>
          <w:sz w:val="24"/>
          <w:szCs w:val="24"/>
        </w:rPr>
        <w:t xml:space="preserve">2017-till date </w:t>
      </w:r>
    </w:p>
    <w:p>
      <w:pPr>
        <w:pStyle w:val="14"/>
        <w:spacing w:after="120" w:line="276" w:lineRule="auto"/>
        <w:jc w:val="both"/>
        <w:rPr>
          <w:rFonts w:ascii="Times New Roman" w:hAnsi="Times New Roman" w:eastAsia="Calibri"/>
          <w:sz w:val="24"/>
          <w:szCs w:val="24"/>
        </w:rPr>
      </w:pPr>
      <w:r>
        <w:rPr>
          <w:rFonts w:ascii="Times New Roman" w:hAnsi="Times New Roman" w:eastAsia="Calibri"/>
          <w:sz w:val="24"/>
          <w:szCs w:val="24"/>
        </w:rPr>
        <w:t>JifatuGeneral Enterprises, Head Electronics Department</w:t>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2013-2015</w:t>
      </w:r>
    </w:p>
    <w:p>
      <w:pPr>
        <w:pStyle w:val="14"/>
        <w:spacing w:after="120" w:line="276" w:lineRule="auto"/>
        <w:jc w:val="both"/>
        <w:rPr>
          <w:rFonts w:ascii="Times New Roman" w:hAnsi="Times New Roman" w:eastAsia="Calibri"/>
          <w:sz w:val="24"/>
          <w:szCs w:val="24"/>
        </w:rPr>
      </w:pPr>
      <w:r>
        <w:rPr>
          <w:rFonts w:ascii="Times New Roman" w:hAnsi="Times New Roman" w:eastAsia="Calibri"/>
          <w:sz w:val="24"/>
          <w:szCs w:val="24"/>
        </w:rPr>
        <w:t>Sokoto Hotel Sokoto, Billing Cashier</w:t>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2011-2012</w:t>
      </w:r>
    </w:p>
    <w:p>
      <w:pPr>
        <w:pStyle w:val="14"/>
        <w:spacing w:after="120" w:line="276" w:lineRule="auto"/>
        <w:jc w:val="both"/>
        <w:rPr>
          <w:rFonts w:ascii="Times New Roman" w:hAnsi="Times New Roman" w:eastAsia="Calibri"/>
          <w:sz w:val="24"/>
          <w:szCs w:val="24"/>
        </w:rPr>
      </w:pPr>
      <w:r>
        <w:rPr>
          <w:rFonts w:ascii="Times New Roman" w:hAnsi="Times New Roman" w:eastAsia="Calibri"/>
          <w:b/>
          <w:bCs/>
          <w:sz w:val="24"/>
          <w:szCs w:val="24"/>
        </w:rPr>
        <w:t>E. Aword and Fellowship:</w:t>
      </w:r>
      <w:r>
        <w:rPr>
          <w:rFonts w:ascii="Times New Roman" w:hAnsi="Times New Roman" w:eastAsia="Calibri"/>
          <w:sz w:val="24"/>
          <w:szCs w:val="24"/>
        </w:rPr>
        <w:t>NIL</w:t>
      </w:r>
    </w:p>
    <w:p>
      <w:pPr>
        <w:pStyle w:val="14"/>
        <w:spacing w:after="120" w:line="276" w:lineRule="auto"/>
        <w:jc w:val="both"/>
        <w:rPr>
          <w:rFonts w:ascii="Times New Roman" w:hAnsi="Times New Roman" w:eastAsia="Calibri"/>
          <w:sz w:val="24"/>
          <w:szCs w:val="24"/>
        </w:rPr>
      </w:pPr>
      <w:r>
        <w:rPr>
          <w:rFonts w:ascii="Times New Roman" w:hAnsi="Times New Roman" w:eastAsia="Calibri"/>
          <w:b/>
          <w:bCs/>
          <w:sz w:val="24"/>
          <w:szCs w:val="24"/>
        </w:rPr>
        <w:t>F. Membership of Academic Professional Body:</w:t>
      </w:r>
      <w:r>
        <w:rPr>
          <w:rFonts w:ascii="Times New Roman" w:hAnsi="Times New Roman" w:eastAsia="Calibri"/>
          <w:sz w:val="24"/>
          <w:szCs w:val="24"/>
        </w:rPr>
        <w:t>NIL</w:t>
      </w:r>
    </w:p>
    <w:p>
      <w:pPr>
        <w:pStyle w:val="14"/>
        <w:spacing w:after="120" w:line="276" w:lineRule="auto"/>
        <w:jc w:val="both"/>
        <w:rPr>
          <w:rFonts w:ascii="Times New Roman" w:hAnsi="Times New Roman" w:eastAsia="Calibri"/>
          <w:sz w:val="24"/>
          <w:szCs w:val="24"/>
        </w:rPr>
      </w:pPr>
      <w:r>
        <w:rPr>
          <w:rFonts w:ascii="Times New Roman" w:hAnsi="Times New Roman" w:eastAsia="Calibri"/>
          <w:b/>
          <w:bCs/>
          <w:sz w:val="24"/>
          <w:szCs w:val="24"/>
        </w:rPr>
        <w:t>G. Publications (if any):</w:t>
      </w:r>
      <w:r>
        <w:rPr>
          <w:rFonts w:ascii="Times New Roman" w:hAnsi="Times New Roman" w:eastAsia="Calibri"/>
          <w:sz w:val="24"/>
          <w:szCs w:val="24"/>
        </w:rPr>
        <w:t> NIL</w:t>
      </w:r>
    </w:p>
    <w:p>
      <w:pPr>
        <w:pStyle w:val="14"/>
        <w:spacing w:after="120" w:line="276" w:lineRule="auto"/>
        <w:jc w:val="both"/>
        <w:rPr>
          <w:rFonts w:ascii="Times New Roman" w:hAnsi="Times New Roman" w:eastAsia="Calibri"/>
          <w:sz w:val="24"/>
          <w:szCs w:val="24"/>
        </w:rPr>
      </w:pPr>
    </w:p>
    <w:p>
      <w:pPr>
        <w:pStyle w:val="14"/>
        <w:spacing w:after="120" w:line="276" w:lineRule="auto"/>
        <w:jc w:val="both"/>
        <w:rPr>
          <w:rFonts w:ascii="Times New Roman" w:hAnsi="Times New Roman" w:eastAsia="Calibri"/>
          <w:sz w:val="24"/>
          <w:szCs w:val="24"/>
        </w:rPr>
      </w:pPr>
    </w:p>
    <w:p>
      <w:pPr>
        <w:pStyle w:val="14"/>
        <w:spacing w:after="120" w:line="276" w:lineRule="auto"/>
        <w:jc w:val="both"/>
        <w:rPr>
          <w:rFonts w:ascii="Times New Roman" w:hAnsi="Times New Roman" w:eastAsia="Calibri"/>
          <w:sz w:val="24"/>
          <w:szCs w:val="24"/>
        </w:rPr>
      </w:pPr>
    </w:p>
    <w:p>
      <w:pPr>
        <w:pStyle w:val="14"/>
        <w:spacing w:after="120" w:line="276" w:lineRule="auto"/>
        <w:jc w:val="both"/>
        <w:rPr>
          <w:rFonts w:ascii="Times New Roman" w:hAnsi="Times New Roman" w:eastAsia="Calibri"/>
          <w:sz w:val="24"/>
          <w:szCs w:val="24"/>
        </w:rPr>
      </w:pPr>
      <w:r>
        <w:rPr>
          <w:rFonts w:ascii="Times New Roman" w:hAnsi="Times New Roman" w:eastAsia="Calibri"/>
          <w:sz w:val="24"/>
          <w:szCs w:val="24"/>
        </w:rPr>
        <w:t>____________________________</w:t>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____________________________</w:t>
      </w:r>
    </w:p>
    <w:p>
      <w:pPr>
        <w:pStyle w:val="14"/>
        <w:spacing w:after="120" w:line="276" w:lineRule="auto"/>
        <w:jc w:val="both"/>
        <w:rPr>
          <w:rFonts w:ascii="Times New Roman" w:hAnsi="Times New Roman" w:eastAsia="Calibri"/>
          <w:sz w:val="24"/>
          <w:szCs w:val="24"/>
        </w:rPr>
      </w:pPr>
      <w:r>
        <w:rPr>
          <w:rFonts w:ascii="Times New Roman" w:hAnsi="Times New Roman" w:eastAsia="Calibri"/>
          <w:sz w:val="24"/>
          <w:szCs w:val="24"/>
        </w:rPr>
        <w:tab/>
      </w:r>
      <w:r>
        <w:rPr>
          <w:rFonts w:ascii="Times New Roman" w:hAnsi="Times New Roman" w:eastAsia="Calibri"/>
          <w:sz w:val="24"/>
          <w:szCs w:val="24"/>
        </w:rPr>
        <w:t xml:space="preserve">         Signature</w:t>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Date</w:t>
      </w:r>
    </w:p>
    <w:p>
      <w:pPr>
        <w:spacing w:after="0" w:line="240" w:lineRule="auto"/>
        <w:rPr>
          <w:rFonts w:ascii="Times New Roman" w:hAnsi="Times New Roman" w:eastAsia="Calibri"/>
          <w:sz w:val="24"/>
          <w:szCs w:val="24"/>
        </w:rPr>
      </w:pPr>
      <w:r>
        <w:rPr>
          <w:rFonts w:ascii="Times New Roman" w:hAnsi="Times New Roman" w:eastAsia="Calibri"/>
          <w:sz w:val="24"/>
          <w:szCs w:val="24"/>
        </w:rPr>
        <w:br w:type="page"/>
      </w:r>
    </w:p>
    <w:p>
      <w:pPr>
        <w:pStyle w:val="14"/>
        <w:spacing w:after="120" w:line="480" w:lineRule="auto"/>
        <w:jc w:val="center"/>
        <w:rPr>
          <w:rFonts w:ascii="Times New Roman" w:hAnsi="Times New Roman" w:eastAsia="Calibri"/>
          <w:b/>
          <w:bCs/>
          <w:sz w:val="24"/>
          <w:szCs w:val="24"/>
        </w:rPr>
      </w:pPr>
      <w:r>
        <w:rPr>
          <w:rFonts w:ascii="Times New Roman" w:hAnsi="Times New Roman" w:eastAsia="Calibri"/>
          <w:b/>
          <w:bCs/>
          <w:sz w:val="24"/>
          <w:szCs w:val="24"/>
        </w:rPr>
        <w:t>University Compliance Certification</w:t>
      </w:r>
    </w:p>
    <w:p>
      <w:pPr>
        <w:pStyle w:val="14"/>
        <w:spacing w:after="120" w:line="480" w:lineRule="auto"/>
        <w:jc w:val="both"/>
        <w:rPr>
          <w:rFonts w:ascii="Times New Roman" w:hAnsi="Times New Roman" w:eastAsia="Calibri"/>
          <w:sz w:val="24"/>
          <w:szCs w:val="24"/>
        </w:rPr>
      </w:pPr>
      <w:r>
        <w:rPr>
          <w:rFonts w:ascii="Times New Roman" w:hAnsi="Times New Roman" w:eastAsia="Calibri"/>
          <w:sz w:val="24"/>
          <w:szCs w:val="24"/>
        </w:rPr>
        <w:t>This is to certify that this thesis written by Ibrahim SAMAILA with Matric No: LCU/PG/002779 in the Department of Economics, Faculty of Management and Social Sciences, Lead City University, Ibadan, is in full compliance with the approved University format and style.</w:t>
      </w:r>
    </w:p>
    <w:p>
      <w:pPr>
        <w:spacing w:after="120" w:line="480" w:lineRule="auto"/>
        <w:rPr>
          <w:rFonts w:ascii="Times New Roman" w:hAnsi="Times New Roman" w:eastAsia="Calibri"/>
          <w:sz w:val="24"/>
          <w:szCs w:val="24"/>
        </w:rPr>
      </w:pPr>
    </w:p>
    <w:p>
      <w:pPr>
        <w:spacing w:after="120" w:line="480" w:lineRule="auto"/>
        <w:rPr>
          <w:rFonts w:ascii="Times New Roman" w:hAnsi="Times New Roman" w:eastAsia="Calibri"/>
          <w:sz w:val="24"/>
          <w:szCs w:val="24"/>
        </w:rPr>
      </w:pPr>
    </w:p>
    <w:p>
      <w:pPr>
        <w:spacing w:after="120" w:line="480" w:lineRule="auto"/>
        <w:rPr>
          <w:rFonts w:ascii="Times New Roman" w:hAnsi="Times New Roman" w:eastAsia="Calibri"/>
          <w:sz w:val="24"/>
          <w:szCs w:val="24"/>
        </w:rPr>
      </w:pPr>
    </w:p>
    <w:p>
      <w:pPr>
        <w:spacing w:after="120" w:line="480" w:lineRule="auto"/>
        <w:rPr>
          <w:rFonts w:ascii="Times New Roman" w:hAnsi="Times New Roman" w:eastAsia="Calibri"/>
          <w:sz w:val="24"/>
          <w:szCs w:val="24"/>
        </w:rPr>
      </w:pPr>
    </w:p>
    <w:p>
      <w:pPr>
        <w:pStyle w:val="14"/>
        <w:spacing w:after="120" w:line="276" w:lineRule="auto"/>
        <w:jc w:val="both"/>
        <w:rPr>
          <w:rFonts w:ascii="Times New Roman" w:hAnsi="Times New Roman" w:eastAsia="Calibri"/>
          <w:sz w:val="24"/>
          <w:szCs w:val="24"/>
        </w:rPr>
      </w:pPr>
      <w:r>
        <w:rPr>
          <w:rFonts w:ascii="Times New Roman" w:hAnsi="Times New Roman" w:eastAsia="Calibri"/>
          <w:sz w:val="24"/>
          <w:szCs w:val="24"/>
        </w:rPr>
        <w:t>____________________________</w:t>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 xml:space="preserve">         ____________________________</w:t>
      </w:r>
    </w:p>
    <w:p>
      <w:pPr>
        <w:pStyle w:val="14"/>
        <w:spacing w:after="120" w:line="276" w:lineRule="auto"/>
        <w:jc w:val="both"/>
        <w:rPr>
          <w:rFonts w:ascii="Times New Roman" w:hAnsi="Times New Roman" w:eastAsia="Calibri"/>
          <w:sz w:val="24"/>
          <w:szCs w:val="24"/>
        </w:rPr>
      </w:pPr>
      <w:r>
        <w:rPr>
          <w:rFonts w:ascii="Times New Roman" w:hAnsi="Times New Roman" w:eastAsia="Calibri"/>
          <w:sz w:val="24"/>
          <w:szCs w:val="24"/>
        </w:rPr>
        <w:tab/>
      </w:r>
      <w:r>
        <w:rPr>
          <w:rFonts w:ascii="Times New Roman" w:hAnsi="Times New Roman" w:eastAsia="Calibri"/>
          <w:sz w:val="24"/>
          <w:szCs w:val="24"/>
        </w:rPr>
        <w:t xml:space="preserve">         Signature</w:t>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Date</w:t>
      </w:r>
    </w:p>
    <w:p>
      <w:pPr>
        <w:spacing w:after="120" w:line="480" w:lineRule="auto"/>
        <w:rPr>
          <w:rFonts w:ascii="Times New Roman" w:hAnsi="Times New Roman" w:eastAsia="Calibri"/>
          <w:sz w:val="24"/>
          <w:szCs w:val="24"/>
        </w:rPr>
      </w:pPr>
    </w:p>
    <w:sectPr>
      <w:pgSz w:w="11906" w:h="16838"/>
      <w:pgMar w:top="1440" w:right="1440" w:bottom="1440" w:left="144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Minion Pro">
    <w:altName w:val="Segoe Print"/>
    <w:panose1 w:val="00000000000000000000"/>
    <w:charset w:val="00"/>
    <w:family w:val="roman"/>
    <w:pitch w:val="default"/>
    <w:sig w:usb0="00000000" w:usb1="00000000" w:usb2="00000000" w:usb3="00000000" w:csb0="00000001" w:csb1="00000000"/>
  </w:font>
  <w:font w:name="Trebuchet MS">
    <w:panose1 w:val="020B0603020202020204"/>
    <w:charset w:val="00"/>
    <w:family w:val="swiss"/>
    <w:pitch w:val="default"/>
    <w:sig w:usb0="00000687" w:usb1="00000000"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17115376"/>
      <w:docPartObj>
        <w:docPartGallery w:val="AutoText"/>
      </w:docPartObj>
    </w:sdtPr>
    <w:sdtContent>
      <w:p>
        <w:pPr>
          <w:pStyle w:val="15"/>
          <w:jc w:val="center"/>
        </w:pPr>
        <w:r>
          <w:fldChar w:fldCharType="begin"/>
        </w:r>
        <w:r>
          <w:instrText xml:space="preserve"> PAGE   \* MERGEFORMAT </w:instrText>
        </w:r>
        <w:r>
          <w:fldChar w:fldCharType="separate"/>
        </w:r>
        <w:r>
          <w:t>ii</w:t>
        </w:r>
        <w:r>
          <w:fldChar w:fldCharType="end"/>
        </w:r>
      </w:p>
    </w:sdtContent>
  </w:sdt>
  <w:p>
    <w:pPr>
      <w:pStyle w:val="1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3811865"/>
      <w:docPartObj>
        <w:docPartGallery w:val="AutoText"/>
      </w:docPartObj>
    </w:sdtPr>
    <w:sdtContent>
      <w:p>
        <w:pPr>
          <w:pStyle w:val="15"/>
          <w:jc w:val="center"/>
        </w:pPr>
        <w:r>
          <w:fldChar w:fldCharType="begin"/>
        </w:r>
        <w:r>
          <w:instrText xml:space="preserve"> PAGE   \* MERGEFORMAT </w:instrText>
        </w:r>
        <w:r>
          <w:fldChar w:fldCharType="separate"/>
        </w:r>
        <w:r>
          <w:t>209</w:t>
        </w:r>
        <w:r>
          <w:fldChar w:fldCharType="end"/>
        </w:r>
      </w:p>
    </w:sdtContent>
  </w:sdt>
  <w:p>
    <w:pPr>
      <w:pStyle w:val="1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sz w:val="18"/>
      </w:rPr>
      <w:pict>
        <v:shape id="PowerPlusWaterMarkObject14966" o:spid="_x0000_s2049" o:spt="136" type="#_x0000_t136" style="position:absolute;left:0pt;height:35.25pt;width:552pt;mso-position-horizontal:center;mso-position-horizontal-relative:margin;mso-position-vertical:center;mso-position-vertical-relative:margin;rotation:-2949120f;z-index:-251657216;mso-width-relative:page;mso-height-relative:page;" fillcolor="#5B9BD5" filled="t" stroked="f" coordsize="21600,21600" adj="10800">
          <v:path/>
          <v:fill on="t" opacity="49807f" focussize="0,0"/>
          <v:stroke on="f"/>
          <v:imagedata o:title=""/>
          <o:lock v:ext="edit" aspectratio="t"/>
          <v:textpath on="t" fitshape="t" fitpath="t" trim="t" xscale="f" string="Do Not Copy, Lead City University, Nigeria" style="font-family:Times New Roman;font-size:36pt;v-same-letter-heights:f;v-text-align:cente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sz w:val="18"/>
      </w:rPr>
      <w:pict>
        <v:shape id="_x0000_s2050" o:spid="_x0000_s2050" o:spt="136" type="#_x0000_t136" style="position:absolute;left:0pt;height:35.25pt;width:552pt;mso-position-horizontal:center;mso-position-horizontal-relative:margin;mso-position-vertical:center;mso-position-vertical-relative:margin;rotation:-2949120f;z-index:-251656192;mso-width-relative:page;mso-height-relative:page;" fillcolor="#5B9BD5" filled="t" stroked="f" coordsize="21600,21600" adj="10800">
          <v:path/>
          <v:fill on="t" opacity="49807f" focussize="0,0"/>
          <v:stroke on="f"/>
          <v:imagedata o:title=""/>
          <o:lock v:ext="edit" aspectratio="t"/>
          <v:textpath on="t" fitshape="t" fitpath="t" trim="t" xscale="f" string="Do Not Copy, Lead City University, Nigeria" style="font-family:Times New Roman;font-size:36pt;v-same-letter-heights:f;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DD7098"/>
    <w:multiLevelType w:val="multilevel"/>
    <w:tmpl w:val="0EDD7098"/>
    <w:lvl w:ilvl="0" w:tentative="0">
      <w:start w:val="1"/>
      <w:numFmt w:val="decimal"/>
      <w:lvlText w:val="%1."/>
      <w:lvlJc w:val="left"/>
      <w:pPr>
        <w:ind w:left="720" w:hanging="360"/>
      </w:pPr>
      <w:rPr>
        <w:rFonts w:hint="default" w:ascii="Times New Roman" w:hAnsi="Times New Roman" w:cs="Times New Roman"/>
      </w:rPr>
    </w:lvl>
    <w:lvl w:ilvl="1" w:tentative="0">
      <w:start w:val="1"/>
      <w:numFmt w:val="lowerLetter"/>
      <w:lvlText w:val="%2."/>
      <w:lvlJc w:val="left"/>
      <w:pPr>
        <w:ind w:left="1440" w:hanging="360"/>
      </w:pPr>
      <w:rPr>
        <w:rFonts w:hint="default" w:ascii="Times New Roman" w:hAnsi="Times New Roman" w:cs="Times New Roman"/>
      </w:rPr>
    </w:lvl>
    <w:lvl w:ilvl="2" w:tentative="0">
      <w:start w:val="1"/>
      <w:numFmt w:val="lowerRoman"/>
      <w:lvlText w:val="%3."/>
      <w:lvlJc w:val="right"/>
      <w:pPr>
        <w:ind w:left="2160" w:hanging="180"/>
      </w:pPr>
      <w:rPr>
        <w:rFonts w:hint="default" w:ascii="Times New Roman" w:hAnsi="Times New Roman" w:cs="Times New Roman"/>
      </w:rPr>
    </w:lvl>
    <w:lvl w:ilvl="3" w:tentative="0">
      <w:start w:val="1"/>
      <w:numFmt w:val="decimal"/>
      <w:lvlText w:val="%4."/>
      <w:lvlJc w:val="left"/>
      <w:pPr>
        <w:ind w:left="2880" w:hanging="360"/>
      </w:pPr>
      <w:rPr>
        <w:rFonts w:hint="default" w:ascii="Times New Roman" w:hAnsi="Times New Roman" w:cs="Times New Roman"/>
      </w:rPr>
    </w:lvl>
    <w:lvl w:ilvl="4" w:tentative="0">
      <w:start w:val="1"/>
      <w:numFmt w:val="lowerLetter"/>
      <w:lvlText w:val="%5."/>
      <w:lvlJc w:val="left"/>
      <w:pPr>
        <w:ind w:left="3600" w:hanging="360"/>
      </w:pPr>
      <w:rPr>
        <w:rFonts w:hint="default" w:ascii="Times New Roman" w:hAnsi="Times New Roman" w:cs="Times New Roman"/>
      </w:rPr>
    </w:lvl>
    <w:lvl w:ilvl="5" w:tentative="0">
      <w:start w:val="1"/>
      <w:numFmt w:val="lowerRoman"/>
      <w:lvlText w:val="%6."/>
      <w:lvlJc w:val="right"/>
      <w:pPr>
        <w:ind w:left="4320" w:hanging="180"/>
      </w:pPr>
      <w:rPr>
        <w:rFonts w:hint="default" w:ascii="Times New Roman" w:hAnsi="Times New Roman" w:cs="Times New Roman"/>
      </w:rPr>
    </w:lvl>
    <w:lvl w:ilvl="6" w:tentative="0">
      <w:start w:val="1"/>
      <w:numFmt w:val="decimal"/>
      <w:lvlText w:val="%7."/>
      <w:lvlJc w:val="left"/>
      <w:pPr>
        <w:ind w:left="5040" w:hanging="360"/>
      </w:pPr>
      <w:rPr>
        <w:rFonts w:hint="default" w:ascii="Times New Roman" w:hAnsi="Times New Roman" w:cs="Times New Roman"/>
      </w:rPr>
    </w:lvl>
    <w:lvl w:ilvl="7" w:tentative="0">
      <w:start w:val="1"/>
      <w:numFmt w:val="lowerLetter"/>
      <w:lvlText w:val="%8."/>
      <w:lvlJc w:val="left"/>
      <w:pPr>
        <w:ind w:left="5760" w:hanging="360"/>
      </w:pPr>
      <w:rPr>
        <w:rFonts w:hint="default" w:ascii="Times New Roman" w:hAnsi="Times New Roman" w:cs="Times New Roman"/>
      </w:rPr>
    </w:lvl>
    <w:lvl w:ilvl="8" w:tentative="0">
      <w:start w:val="1"/>
      <w:numFmt w:val="lowerRoman"/>
      <w:lvlText w:val="%9."/>
      <w:lvlJc w:val="right"/>
      <w:pPr>
        <w:ind w:left="6480" w:hanging="180"/>
      </w:pPr>
      <w:rPr>
        <w:rFonts w:hint="default" w:ascii="Times New Roman" w:hAnsi="Times New Roman" w:cs="Times New Roman"/>
      </w:rPr>
    </w:lvl>
  </w:abstractNum>
  <w:abstractNum w:abstractNumId="1">
    <w:nsid w:val="1757192E"/>
    <w:multiLevelType w:val="multilevel"/>
    <w:tmpl w:val="1757192E"/>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21903A6E"/>
    <w:multiLevelType w:val="multilevel"/>
    <w:tmpl w:val="21903A6E"/>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2EB80841"/>
    <w:multiLevelType w:val="multilevel"/>
    <w:tmpl w:val="2EB80841"/>
    <w:lvl w:ilvl="0" w:tentative="0">
      <w:start w:val="1"/>
      <w:numFmt w:val="decimal"/>
      <w:lvlText w:val="%1."/>
      <w:lvlJc w:val="left"/>
      <w:pPr>
        <w:ind w:left="720" w:hanging="360"/>
      </w:pPr>
      <w:rPr>
        <w:rFonts w:hint="default" w:ascii="Times New Roman" w:hAnsi="Times New Roman" w:cs="Times New Roman"/>
      </w:rPr>
    </w:lvl>
    <w:lvl w:ilvl="1" w:tentative="0">
      <w:start w:val="1"/>
      <w:numFmt w:val="lowerLetter"/>
      <w:lvlText w:val="%2."/>
      <w:lvlJc w:val="left"/>
      <w:pPr>
        <w:ind w:left="1440" w:hanging="360"/>
      </w:pPr>
      <w:rPr>
        <w:rFonts w:hint="default" w:ascii="Times New Roman" w:hAnsi="Times New Roman" w:cs="Times New Roman"/>
      </w:rPr>
    </w:lvl>
    <w:lvl w:ilvl="2" w:tentative="0">
      <w:start w:val="1"/>
      <w:numFmt w:val="lowerRoman"/>
      <w:lvlText w:val="%3."/>
      <w:lvlJc w:val="right"/>
      <w:pPr>
        <w:ind w:left="2160" w:hanging="180"/>
      </w:pPr>
      <w:rPr>
        <w:rFonts w:hint="default" w:ascii="Times New Roman" w:hAnsi="Times New Roman" w:cs="Times New Roman"/>
      </w:rPr>
    </w:lvl>
    <w:lvl w:ilvl="3" w:tentative="0">
      <w:start w:val="1"/>
      <w:numFmt w:val="decimal"/>
      <w:lvlText w:val="%4."/>
      <w:lvlJc w:val="left"/>
      <w:pPr>
        <w:ind w:left="2880" w:hanging="360"/>
      </w:pPr>
      <w:rPr>
        <w:rFonts w:hint="default" w:ascii="Times New Roman" w:hAnsi="Times New Roman" w:cs="Times New Roman"/>
      </w:rPr>
    </w:lvl>
    <w:lvl w:ilvl="4" w:tentative="0">
      <w:start w:val="1"/>
      <w:numFmt w:val="lowerLetter"/>
      <w:lvlText w:val="%5."/>
      <w:lvlJc w:val="left"/>
      <w:pPr>
        <w:ind w:left="3600" w:hanging="360"/>
      </w:pPr>
      <w:rPr>
        <w:rFonts w:hint="default" w:ascii="Times New Roman" w:hAnsi="Times New Roman" w:cs="Times New Roman"/>
      </w:rPr>
    </w:lvl>
    <w:lvl w:ilvl="5" w:tentative="0">
      <w:start w:val="1"/>
      <w:numFmt w:val="lowerRoman"/>
      <w:lvlText w:val="%6."/>
      <w:lvlJc w:val="right"/>
      <w:pPr>
        <w:ind w:left="4320" w:hanging="180"/>
      </w:pPr>
      <w:rPr>
        <w:rFonts w:hint="default" w:ascii="Times New Roman" w:hAnsi="Times New Roman" w:cs="Times New Roman"/>
      </w:rPr>
    </w:lvl>
    <w:lvl w:ilvl="6" w:tentative="0">
      <w:start w:val="1"/>
      <w:numFmt w:val="decimal"/>
      <w:lvlText w:val="%7."/>
      <w:lvlJc w:val="left"/>
      <w:pPr>
        <w:ind w:left="5040" w:hanging="360"/>
      </w:pPr>
      <w:rPr>
        <w:rFonts w:hint="default" w:ascii="Times New Roman" w:hAnsi="Times New Roman" w:cs="Times New Roman"/>
      </w:rPr>
    </w:lvl>
    <w:lvl w:ilvl="7" w:tentative="0">
      <w:start w:val="1"/>
      <w:numFmt w:val="lowerLetter"/>
      <w:lvlText w:val="%8."/>
      <w:lvlJc w:val="left"/>
      <w:pPr>
        <w:ind w:left="5760" w:hanging="360"/>
      </w:pPr>
      <w:rPr>
        <w:rFonts w:hint="default" w:ascii="Times New Roman" w:hAnsi="Times New Roman" w:cs="Times New Roman"/>
      </w:rPr>
    </w:lvl>
    <w:lvl w:ilvl="8" w:tentative="0">
      <w:start w:val="1"/>
      <w:numFmt w:val="lowerRoman"/>
      <w:lvlText w:val="%9."/>
      <w:lvlJc w:val="right"/>
      <w:pPr>
        <w:ind w:left="6480" w:hanging="180"/>
      </w:pPr>
      <w:rPr>
        <w:rFonts w:hint="default" w:ascii="Times New Roman" w:hAnsi="Times New Roman" w:cs="Times New Roman"/>
      </w:rPr>
    </w:lvl>
  </w:abstractNum>
  <w:abstractNum w:abstractNumId="4">
    <w:nsid w:val="35A532D7"/>
    <w:multiLevelType w:val="multilevel"/>
    <w:tmpl w:val="35A532D7"/>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513F2414"/>
    <w:multiLevelType w:val="multilevel"/>
    <w:tmpl w:val="513F2414"/>
    <w:lvl w:ilvl="0" w:tentative="0">
      <w:start w:val="1"/>
      <w:numFmt w:val="decimal"/>
      <w:lvlText w:val="%1."/>
      <w:lvlJc w:val="left"/>
      <w:pPr>
        <w:ind w:left="720" w:hanging="360"/>
      </w:pPr>
      <w:rPr>
        <w:rFonts w:hint="default" w:ascii="Times New Roman" w:hAnsi="Times New Roman" w:cs="Times New Roman"/>
      </w:rPr>
    </w:lvl>
    <w:lvl w:ilvl="1" w:tentative="0">
      <w:start w:val="1"/>
      <w:numFmt w:val="lowerLetter"/>
      <w:lvlText w:val="%2."/>
      <w:lvlJc w:val="left"/>
      <w:pPr>
        <w:ind w:left="1440" w:hanging="360"/>
      </w:pPr>
      <w:rPr>
        <w:rFonts w:hint="default" w:ascii="Times New Roman" w:hAnsi="Times New Roman" w:cs="Times New Roman"/>
      </w:rPr>
    </w:lvl>
    <w:lvl w:ilvl="2" w:tentative="0">
      <w:start w:val="1"/>
      <w:numFmt w:val="lowerRoman"/>
      <w:lvlText w:val="%3."/>
      <w:lvlJc w:val="right"/>
      <w:pPr>
        <w:ind w:left="2160" w:hanging="180"/>
      </w:pPr>
      <w:rPr>
        <w:rFonts w:hint="default" w:ascii="Times New Roman" w:hAnsi="Times New Roman" w:cs="Times New Roman"/>
      </w:rPr>
    </w:lvl>
    <w:lvl w:ilvl="3" w:tentative="0">
      <w:start w:val="1"/>
      <w:numFmt w:val="decimal"/>
      <w:lvlText w:val="%4."/>
      <w:lvlJc w:val="left"/>
      <w:pPr>
        <w:ind w:left="2880" w:hanging="360"/>
      </w:pPr>
      <w:rPr>
        <w:rFonts w:hint="default" w:ascii="Times New Roman" w:hAnsi="Times New Roman" w:cs="Times New Roman"/>
      </w:rPr>
    </w:lvl>
    <w:lvl w:ilvl="4" w:tentative="0">
      <w:start w:val="1"/>
      <w:numFmt w:val="lowerLetter"/>
      <w:lvlText w:val="%5."/>
      <w:lvlJc w:val="left"/>
      <w:pPr>
        <w:ind w:left="3600" w:hanging="360"/>
      </w:pPr>
      <w:rPr>
        <w:rFonts w:hint="default" w:ascii="Times New Roman" w:hAnsi="Times New Roman" w:cs="Times New Roman"/>
      </w:rPr>
    </w:lvl>
    <w:lvl w:ilvl="5" w:tentative="0">
      <w:start w:val="1"/>
      <w:numFmt w:val="lowerRoman"/>
      <w:lvlText w:val="%6."/>
      <w:lvlJc w:val="right"/>
      <w:pPr>
        <w:ind w:left="4320" w:hanging="180"/>
      </w:pPr>
      <w:rPr>
        <w:rFonts w:hint="default" w:ascii="Times New Roman" w:hAnsi="Times New Roman" w:cs="Times New Roman"/>
      </w:rPr>
    </w:lvl>
    <w:lvl w:ilvl="6" w:tentative="0">
      <w:start w:val="1"/>
      <w:numFmt w:val="decimal"/>
      <w:lvlText w:val="%7."/>
      <w:lvlJc w:val="left"/>
      <w:pPr>
        <w:ind w:left="5040" w:hanging="360"/>
      </w:pPr>
      <w:rPr>
        <w:rFonts w:hint="default" w:ascii="Times New Roman" w:hAnsi="Times New Roman" w:cs="Times New Roman"/>
      </w:rPr>
    </w:lvl>
    <w:lvl w:ilvl="7" w:tentative="0">
      <w:start w:val="1"/>
      <w:numFmt w:val="lowerLetter"/>
      <w:lvlText w:val="%8."/>
      <w:lvlJc w:val="left"/>
      <w:pPr>
        <w:ind w:left="5760" w:hanging="360"/>
      </w:pPr>
      <w:rPr>
        <w:rFonts w:hint="default" w:ascii="Times New Roman" w:hAnsi="Times New Roman" w:cs="Times New Roman"/>
      </w:rPr>
    </w:lvl>
    <w:lvl w:ilvl="8" w:tentative="0">
      <w:start w:val="1"/>
      <w:numFmt w:val="lowerRoman"/>
      <w:lvlText w:val="%9."/>
      <w:lvlJc w:val="right"/>
      <w:pPr>
        <w:ind w:left="6480" w:hanging="180"/>
      </w:pPr>
      <w:rPr>
        <w:rFonts w:hint="default" w:ascii="Times New Roman" w:hAnsi="Times New Roman" w:cs="Times New Roman"/>
      </w:rPr>
    </w:lvl>
  </w:abstractNum>
  <w:abstractNum w:abstractNumId="6">
    <w:nsid w:val="72DB12C4"/>
    <w:multiLevelType w:val="multilevel"/>
    <w:tmpl w:val="72DB12C4"/>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2"/>
  </w:num>
  <w:num w:numId="5">
    <w:abstractNumId w:val="1"/>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characterSpacingControl w:val="doNotCompress"/>
  <w:hdrShapeDefaults>
    <o:shapelayout v:ext="edit">
      <o:idmap v:ext="edit" data="2"/>
    </o:shapelayout>
  </w:hdrShapeDefault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72DE"/>
    <w:rsid w:val="000073D8"/>
    <w:rsid w:val="00017F27"/>
    <w:rsid w:val="00025930"/>
    <w:rsid w:val="00025DC3"/>
    <w:rsid w:val="000263D2"/>
    <w:rsid w:val="0002796A"/>
    <w:rsid w:val="0003095F"/>
    <w:rsid w:val="00036E82"/>
    <w:rsid w:val="00043F85"/>
    <w:rsid w:val="0007124B"/>
    <w:rsid w:val="0007457F"/>
    <w:rsid w:val="00074DCD"/>
    <w:rsid w:val="000825B5"/>
    <w:rsid w:val="00082F06"/>
    <w:rsid w:val="00090202"/>
    <w:rsid w:val="0009523B"/>
    <w:rsid w:val="00095A5F"/>
    <w:rsid w:val="000A61BB"/>
    <w:rsid w:val="000C6D23"/>
    <w:rsid w:val="000D461F"/>
    <w:rsid w:val="000E64A6"/>
    <w:rsid w:val="000F0703"/>
    <w:rsid w:val="00104862"/>
    <w:rsid w:val="001234C1"/>
    <w:rsid w:val="00125188"/>
    <w:rsid w:val="00142FC3"/>
    <w:rsid w:val="0015601C"/>
    <w:rsid w:val="00166AC3"/>
    <w:rsid w:val="0017064F"/>
    <w:rsid w:val="00170F04"/>
    <w:rsid w:val="0017202D"/>
    <w:rsid w:val="001767A5"/>
    <w:rsid w:val="00190D13"/>
    <w:rsid w:val="00197FEA"/>
    <w:rsid w:val="001A1C71"/>
    <w:rsid w:val="001D5FBA"/>
    <w:rsid w:val="001E5C65"/>
    <w:rsid w:val="001F23A2"/>
    <w:rsid w:val="001F763B"/>
    <w:rsid w:val="002023CF"/>
    <w:rsid w:val="0021356C"/>
    <w:rsid w:val="00221F2E"/>
    <w:rsid w:val="0022584E"/>
    <w:rsid w:val="00225B87"/>
    <w:rsid w:val="00231510"/>
    <w:rsid w:val="0023583F"/>
    <w:rsid w:val="0025517A"/>
    <w:rsid w:val="00256AF9"/>
    <w:rsid w:val="00257FA4"/>
    <w:rsid w:val="00274F7B"/>
    <w:rsid w:val="002838F4"/>
    <w:rsid w:val="00296043"/>
    <w:rsid w:val="002A6A71"/>
    <w:rsid w:val="002B075A"/>
    <w:rsid w:val="002B3BC8"/>
    <w:rsid w:val="002C373B"/>
    <w:rsid w:val="002C6055"/>
    <w:rsid w:val="002E3338"/>
    <w:rsid w:val="002F10D8"/>
    <w:rsid w:val="00301339"/>
    <w:rsid w:val="00314D11"/>
    <w:rsid w:val="00321B80"/>
    <w:rsid w:val="003439A5"/>
    <w:rsid w:val="003447D8"/>
    <w:rsid w:val="00354832"/>
    <w:rsid w:val="00356C21"/>
    <w:rsid w:val="00357F20"/>
    <w:rsid w:val="003811ED"/>
    <w:rsid w:val="003854A5"/>
    <w:rsid w:val="0038699F"/>
    <w:rsid w:val="00386DDA"/>
    <w:rsid w:val="00397821"/>
    <w:rsid w:val="003A0E23"/>
    <w:rsid w:val="003A39A4"/>
    <w:rsid w:val="003A5649"/>
    <w:rsid w:val="003A7A05"/>
    <w:rsid w:val="003B14FC"/>
    <w:rsid w:val="003C4847"/>
    <w:rsid w:val="003C7D05"/>
    <w:rsid w:val="003D070C"/>
    <w:rsid w:val="003D28A0"/>
    <w:rsid w:val="003D6D63"/>
    <w:rsid w:val="003E60AD"/>
    <w:rsid w:val="003E6A1F"/>
    <w:rsid w:val="003F603C"/>
    <w:rsid w:val="004011E4"/>
    <w:rsid w:val="00402D1A"/>
    <w:rsid w:val="00411FF1"/>
    <w:rsid w:val="0042087A"/>
    <w:rsid w:val="00423C95"/>
    <w:rsid w:val="00423CAD"/>
    <w:rsid w:val="00431285"/>
    <w:rsid w:val="004502AD"/>
    <w:rsid w:val="0048571C"/>
    <w:rsid w:val="004948FE"/>
    <w:rsid w:val="004A7338"/>
    <w:rsid w:val="004B425C"/>
    <w:rsid w:val="004C45F0"/>
    <w:rsid w:val="004D0405"/>
    <w:rsid w:val="00503883"/>
    <w:rsid w:val="00504D00"/>
    <w:rsid w:val="00543104"/>
    <w:rsid w:val="00544B38"/>
    <w:rsid w:val="00557A55"/>
    <w:rsid w:val="00571FD0"/>
    <w:rsid w:val="005773BD"/>
    <w:rsid w:val="00582836"/>
    <w:rsid w:val="00594D66"/>
    <w:rsid w:val="005962D1"/>
    <w:rsid w:val="005A5F7A"/>
    <w:rsid w:val="005C0D1D"/>
    <w:rsid w:val="005C2188"/>
    <w:rsid w:val="005D1C0C"/>
    <w:rsid w:val="005D7429"/>
    <w:rsid w:val="005E2376"/>
    <w:rsid w:val="005E2A0B"/>
    <w:rsid w:val="005F4BD0"/>
    <w:rsid w:val="005F52E8"/>
    <w:rsid w:val="005F5873"/>
    <w:rsid w:val="006008AC"/>
    <w:rsid w:val="0060632B"/>
    <w:rsid w:val="00614BDA"/>
    <w:rsid w:val="0062213C"/>
    <w:rsid w:val="00626444"/>
    <w:rsid w:val="00626630"/>
    <w:rsid w:val="00630754"/>
    <w:rsid w:val="00632416"/>
    <w:rsid w:val="00640D55"/>
    <w:rsid w:val="00646213"/>
    <w:rsid w:val="006472DE"/>
    <w:rsid w:val="006567A8"/>
    <w:rsid w:val="006639B3"/>
    <w:rsid w:val="00666C38"/>
    <w:rsid w:val="00677A0C"/>
    <w:rsid w:val="00690C0F"/>
    <w:rsid w:val="006A0DC7"/>
    <w:rsid w:val="006D681C"/>
    <w:rsid w:val="006E742D"/>
    <w:rsid w:val="006F66F6"/>
    <w:rsid w:val="007006A4"/>
    <w:rsid w:val="0070678D"/>
    <w:rsid w:val="00720BE5"/>
    <w:rsid w:val="007216FD"/>
    <w:rsid w:val="00726F78"/>
    <w:rsid w:val="00733A75"/>
    <w:rsid w:val="00766E47"/>
    <w:rsid w:val="007732C3"/>
    <w:rsid w:val="00783D64"/>
    <w:rsid w:val="00792C8B"/>
    <w:rsid w:val="007A6D34"/>
    <w:rsid w:val="007B3107"/>
    <w:rsid w:val="007C260C"/>
    <w:rsid w:val="007C3A27"/>
    <w:rsid w:val="007C4EC7"/>
    <w:rsid w:val="007E52FE"/>
    <w:rsid w:val="007E5544"/>
    <w:rsid w:val="007E670C"/>
    <w:rsid w:val="007F0459"/>
    <w:rsid w:val="007F2A3A"/>
    <w:rsid w:val="007F2B07"/>
    <w:rsid w:val="007F6F52"/>
    <w:rsid w:val="00802664"/>
    <w:rsid w:val="0080723E"/>
    <w:rsid w:val="00822177"/>
    <w:rsid w:val="00841EC4"/>
    <w:rsid w:val="00847BAD"/>
    <w:rsid w:val="0085228C"/>
    <w:rsid w:val="00856333"/>
    <w:rsid w:val="008827C6"/>
    <w:rsid w:val="00891461"/>
    <w:rsid w:val="008A0913"/>
    <w:rsid w:val="008A1B7D"/>
    <w:rsid w:val="008A77E8"/>
    <w:rsid w:val="008C3E68"/>
    <w:rsid w:val="008C4FE9"/>
    <w:rsid w:val="008C7FBA"/>
    <w:rsid w:val="008D71B7"/>
    <w:rsid w:val="008E247B"/>
    <w:rsid w:val="008F0B22"/>
    <w:rsid w:val="008F4E17"/>
    <w:rsid w:val="00904469"/>
    <w:rsid w:val="00930D4F"/>
    <w:rsid w:val="00933292"/>
    <w:rsid w:val="00933A57"/>
    <w:rsid w:val="00970E11"/>
    <w:rsid w:val="00980FD4"/>
    <w:rsid w:val="00983E48"/>
    <w:rsid w:val="00984E2A"/>
    <w:rsid w:val="00985751"/>
    <w:rsid w:val="0098773A"/>
    <w:rsid w:val="00995127"/>
    <w:rsid w:val="009B5E06"/>
    <w:rsid w:val="009B64B7"/>
    <w:rsid w:val="009C1540"/>
    <w:rsid w:val="009C28EB"/>
    <w:rsid w:val="009D7126"/>
    <w:rsid w:val="009E5BD0"/>
    <w:rsid w:val="009F0038"/>
    <w:rsid w:val="009F1A1B"/>
    <w:rsid w:val="009F3ABF"/>
    <w:rsid w:val="00A00E48"/>
    <w:rsid w:val="00A03084"/>
    <w:rsid w:val="00A07A0B"/>
    <w:rsid w:val="00A26A79"/>
    <w:rsid w:val="00A319D8"/>
    <w:rsid w:val="00A3228F"/>
    <w:rsid w:val="00AB51F8"/>
    <w:rsid w:val="00AB6F1B"/>
    <w:rsid w:val="00AC1648"/>
    <w:rsid w:val="00AC2875"/>
    <w:rsid w:val="00AC6C0F"/>
    <w:rsid w:val="00AD6783"/>
    <w:rsid w:val="00AE1E00"/>
    <w:rsid w:val="00AE3281"/>
    <w:rsid w:val="00AE6254"/>
    <w:rsid w:val="00AE7995"/>
    <w:rsid w:val="00B10FE9"/>
    <w:rsid w:val="00B26D8B"/>
    <w:rsid w:val="00B301E2"/>
    <w:rsid w:val="00B36492"/>
    <w:rsid w:val="00B46849"/>
    <w:rsid w:val="00B51AB2"/>
    <w:rsid w:val="00B6329C"/>
    <w:rsid w:val="00B64C1C"/>
    <w:rsid w:val="00B7467C"/>
    <w:rsid w:val="00B75916"/>
    <w:rsid w:val="00B769D5"/>
    <w:rsid w:val="00B93445"/>
    <w:rsid w:val="00BA17C4"/>
    <w:rsid w:val="00BB6C47"/>
    <w:rsid w:val="00BD503E"/>
    <w:rsid w:val="00BE3379"/>
    <w:rsid w:val="00BF1802"/>
    <w:rsid w:val="00C02EB5"/>
    <w:rsid w:val="00C045C7"/>
    <w:rsid w:val="00C26936"/>
    <w:rsid w:val="00C30544"/>
    <w:rsid w:val="00C33923"/>
    <w:rsid w:val="00C67BFD"/>
    <w:rsid w:val="00C70760"/>
    <w:rsid w:val="00C722D0"/>
    <w:rsid w:val="00C94901"/>
    <w:rsid w:val="00C969E3"/>
    <w:rsid w:val="00CA39A5"/>
    <w:rsid w:val="00CB20E7"/>
    <w:rsid w:val="00CB3201"/>
    <w:rsid w:val="00CB4D27"/>
    <w:rsid w:val="00CC4ED5"/>
    <w:rsid w:val="00CE06BF"/>
    <w:rsid w:val="00CE2687"/>
    <w:rsid w:val="00CF4D9B"/>
    <w:rsid w:val="00D03B72"/>
    <w:rsid w:val="00D0601A"/>
    <w:rsid w:val="00D15CEB"/>
    <w:rsid w:val="00D20DA0"/>
    <w:rsid w:val="00D2677F"/>
    <w:rsid w:val="00D3468A"/>
    <w:rsid w:val="00D359FB"/>
    <w:rsid w:val="00D4085B"/>
    <w:rsid w:val="00D41E44"/>
    <w:rsid w:val="00D52D93"/>
    <w:rsid w:val="00D53554"/>
    <w:rsid w:val="00D70E10"/>
    <w:rsid w:val="00D71349"/>
    <w:rsid w:val="00D753DC"/>
    <w:rsid w:val="00D93CD7"/>
    <w:rsid w:val="00DB1848"/>
    <w:rsid w:val="00DB5A3F"/>
    <w:rsid w:val="00DC1302"/>
    <w:rsid w:val="00DC2759"/>
    <w:rsid w:val="00DC3952"/>
    <w:rsid w:val="00DD1BE2"/>
    <w:rsid w:val="00DE10EE"/>
    <w:rsid w:val="00DE19A9"/>
    <w:rsid w:val="00DE67B8"/>
    <w:rsid w:val="00DF01BE"/>
    <w:rsid w:val="00DF64B3"/>
    <w:rsid w:val="00E010E1"/>
    <w:rsid w:val="00E0304F"/>
    <w:rsid w:val="00E20955"/>
    <w:rsid w:val="00E5388C"/>
    <w:rsid w:val="00E637FE"/>
    <w:rsid w:val="00E73715"/>
    <w:rsid w:val="00E73882"/>
    <w:rsid w:val="00E73E1C"/>
    <w:rsid w:val="00E9109F"/>
    <w:rsid w:val="00E92C06"/>
    <w:rsid w:val="00E95AF9"/>
    <w:rsid w:val="00E97376"/>
    <w:rsid w:val="00E97CAF"/>
    <w:rsid w:val="00EB2B57"/>
    <w:rsid w:val="00EC68FC"/>
    <w:rsid w:val="00ED0681"/>
    <w:rsid w:val="00EE36D7"/>
    <w:rsid w:val="00EF31B7"/>
    <w:rsid w:val="00F015AC"/>
    <w:rsid w:val="00F073D7"/>
    <w:rsid w:val="00F107E7"/>
    <w:rsid w:val="00F117C4"/>
    <w:rsid w:val="00F475F4"/>
    <w:rsid w:val="00F51784"/>
    <w:rsid w:val="00F859EB"/>
    <w:rsid w:val="00F907ED"/>
    <w:rsid w:val="00F92BCF"/>
    <w:rsid w:val="00F9645E"/>
    <w:rsid w:val="00FC127B"/>
    <w:rsid w:val="00FD2A24"/>
    <w:rsid w:val="00FE291F"/>
    <w:rsid w:val="00FE70A1"/>
    <w:rsid w:val="00FF5C13"/>
    <w:rsid w:val="02343842"/>
    <w:rsid w:val="0D4325EE"/>
    <w:rsid w:val="62F678D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qFormat="1" w:uiPriority="99" w:name="endnote reference"/>
    <w:lsdException w:qFormat="1" w:uiPriority="99"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nhideWhenUsed="0" w:uiPriority="0" w:semiHidden="0"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24"/>
    <w:qFormat/>
    <w:uiPriority w:val="1"/>
    <w:pPr>
      <w:keepNext/>
      <w:spacing w:after="0" w:line="240" w:lineRule="auto"/>
      <w:outlineLvl w:val="0"/>
    </w:pPr>
    <w:rPr>
      <w:rFonts w:ascii="Calibri" w:hAnsi="Calibri" w:eastAsia="Times New Roman" w:cs="Calibri"/>
      <w:sz w:val="28"/>
      <w:szCs w:val="28"/>
    </w:rPr>
  </w:style>
  <w:style w:type="paragraph" w:styleId="3">
    <w:name w:val="heading 2"/>
    <w:basedOn w:val="1"/>
    <w:next w:val="1"/>
    <w:link w:val="25"/>
    <w:unhideWhenUsed/>
    <w:qFormat/>
    <w:uiPriority w:val="9"/>
    <w:pPr>
      <w:keepNext/>
      <w:keepLines/>
      <w:spacing w:before="40" w:after="0"/>
      <w:outlineLvl w:val="1"/>
    </w:pPr>
    <w:rPr>
      <w:rFonts w:asciiTheme="majorHAnsi" w:hAnsiTheme="majorHAnsi" w:eastAsiaTheme="majorEastAsia" w:cstheme="majorBidi"/>
      <w:color w:val="2F5597" w:themeColor="accent1" w:themeShade="BF"/>
      <w:sz w:val="26"/>
      <w:szCs w:val="26"/>
    </w:rPr>
  </w:style>
  <w:style w:type="paragraph" w:styleId="4">
    <w:name w:val="heading 3"/>
    <w:next w:val="1"/>
    <w:link w:val="26"/>
    <w:unhideWhenUsed/>
    <w:qFormat/>
    <w:uiPriority w:val="9"/>
    <w:pPr>
      <w:keepNext/>
      <w:keepLines/>
      <w:spacing w:after="254" w:line="259" w:lineRule="auto"/>
      <w:ind w:left="10" w:right="5" w:hanging="10"/>
      <w:outlineLvl w:val="2"/>
    </w:pPr>
    <w:rPr>
      <w:rFonts w:ascii="Times New Roman" w:hAnsi="Times New Roman" w:eastAsia="Times New Roman" w:cs="Times New Roman"/>
      <w:b/>
      <w:color w:val="000000"/>
      <w:sz w:val="24"/>
      <w:szCs w:val="22"/>
      <w:lang w:val="en-GB" w:eastAsia="en-US"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7">
    <w:name w:val="Balloon Text"/>
    <w:basedOn w:val="1"/>
    <w:link w:val="43"/>
    <w:semiHidden/>
    <w:unhideWhenUsed/>
    <w:qFormat/>
    <w:uiPriority w:val="99"/>
    <w:pPr>
      <w:spacing w:after="0" w:line="240" w:lineRule="auto"/>
    </w:pPr>
    <w:rPr>
      <w:rFonts w:ascii="Tahoma" w:hAnsi="Tahoma" w:cs="Tahoma"/>
      <w:sz w:val="16"/>
      <w:szCs w:val="16"/>
    </w:rPr>
  </w:style>
  <w:style w:type="paragraph" w:styleId="8">
    <w:name w:val="Body Text"/>
    <w:basedOn w:val="1"/>
    <w:link w:val="57"/>
    <w:qFormat/>
    <w:uiPriority w:val="1"/>
    <w:pPr>
      <w:widowControl w:val="0"/>
      <w:autoSpaceDE w:val="0"/>
      <w:autoSpaceDN w:val="0"/>
      <w:spacing w:after="0" w:line="240" w:lineRule="auto"/>
    </w:pPr>
    <w:rPr>
      <w:rFonts w:ascii="Cambria" w:hAnsi="Cambria" w:eastAsia="Cambria" w:cs="Cambria"/>
      <w:sz w:val="20"/>
      <w:szCs w:val="20"/>
    </w:rPr>
  </w:style>
  <w:style w:type="paragraph" w:styleId="9">
    <w:name w:val="Body Text 2"/>
    <w:basedOn w:val="1"/>
    <w:link w:val="54"/>
    <w:qFormat/>
    <w:uiPriority w:val="0"/>
    <w:pPr>
      <w:spacing w:after="120" w:line="480" w:lineRule="auto"/>
    </w:pPr>
    <w:rPr>
      <w:rFonts w:ascii="Calibri" w:hAnsi="Calibri" w:eastAsia="Calibri" w:cs="Times New Roman"/>
    </w:rPr>
  </w:style>
  <w:style w:type="paragraph" w:styleId="10">
    <w:name w:val="annotation text"/>
    <w:basedOn w:val="1"/>
    <w:link w:val="39"/>
    <w:semiHidden/>
    <w:unhideWhenUsed/>
    <w:qFormat/>
    <w:uiPriority w:val="99"/>
    <w:pPr>
      <w:spacing w:line="240" w:lineRule="auto"/>
    </w:pPr>
    <w:rPr>
      <w:sz w:val="20"/>
      <w:szCs w:val="20"/>
    </w:rPr>
  </w:style>
  <w:style w:type="paragraph" w:styleId="11">
    <w:name w:val="annotation subject"/>
    <w:basedOn w:val="10"/>
    <w:next w:val="10"/>
    <w:link w:val="41"/>
    <w:semiHidden/>
    <w:unhideWhenUsed/>
    <w:qFormat/>
    <w:uiPriority w:val="99"/>
    <w:rPr>
      <w:b/>
      <w:bCs/>
    </w:rPr>
  </w:style>
  <w:style w:type="character" w:styleId="12">
    <w:name w:val="Emphasis"/>
    <w:basedOn w:val="5"/>
    <w:qFormat/>
    <w:uiPriority w:val="20"/>
    <w:rPr>
      <w:i/>
      <w:iCs/>
    </w:rPr>
  </w:style>
  <w:style w:type="character" w:styleId="13">
    <w:name w:val="endnote reference"/>
    <w:basedOn w:val="5"/>
    <w:semiHidden/>
    <w:unhideWhenUsed/>
    <w:qFormat/>
    <w:uiPriority w:val="99"/>
    <w:rPr>
      <w:vertAlign w:val="superscript"/>
    </w:rPr>
  </w:style>
  <w:style w:type="paragraph" w:styleId="14">
    <w:name w:val="endnote text"/>
    <w:basedOn w:val="1"/>
    <w:link w:val="27"/>
    <w:unhideWhenUsed/>
    <w:qFormat/>
    <w:uiPriority w:val="99"/>
    <w:pPr>
      <w:spacing w:after="0" w:line="240" w:lineRule="auto"/>
    </w:pPr>
    <w:rPr>
      <w:sz w:val="20"/>
      <w:szCs w:val="20"/>
    </w:rPr>
  </w:style>
  <w:style w:type="paragraph" w:styleId="15">
    <w:name w:val="footer"/>
    <w:basedOn w:val="1"/>
    <w:link w:val="35"/>
    <w:unhideWhenUsed/>
    <w:qFormat/>
    <w:uiPriority w:val="99"/>
    <w:pPr>
      <w:tabs>
        <w:tab w:val="center" w:pos="4680"/>
        <w:tab w:val="right" w:pos="9360"/>
      </w:tabs>
      <w:spacing w:after="0" w:line="240" w:lineRule="auto"/>
    </w:pPr>
  </w:style>
  <w:style w:type="paragraph" w:styleId="16">
    <w:name w:val="footnote text"/>
    <w:basedOn w:val="1"/>
    <w:link w:val="38"/>
    <w:semiHidden/>
    <w:unhideWhenUsed/>
    <w:qFormat/>
    <w:uiPriority w:val="99"/>
    <w:pPr>
      <w:spacing w:after="0" w:line="240" w:lineRule="auto"/>
    </w:pPr>
    <w:rPr>
      <w:sz w:val="20"/>
      <w:szCs w:val="20"/>
    </w:rPr>
  </w:style>
  <w:style w:type="paragraph" w:styleId="17">
    <w:name w:val="header"/>
    <w:basedOn w:val="1"/>
    <w:link w:val="34"/>
    <w:unhideWhenUsed/>
    <w:qFormat/>
    <w:uiPriority w:val="99"/>
    <w:pPr>
      <w:tabs>
        <w:tab w:val="center" w:pos="4680"/>
        <w:tab w:val="right" w:pos="9360"/>
      </w:tabs>
      <w:spacing w:after="0" w:line="240" w:lineRule="auto"/>
    </w:pPr>
  </w:style>
  <w:style w:type="character" w:styleId="18">
    <w:name w:val="Hyperlink"/>
    <w:basedOn w:val="5"/>
    <w:unhideWhenUsed/>
    <w:qFormat/>
    <w:uiPriority w:val="99"/>
    <w:rPr>
      <w:color w:val="0563C1" w:themeColor="hyperlink"/>
      <w:u w:val="single"/>
      <w14:textFill>
        <w14:solidFill>
          <w14:schemeClr w14:val="hlink"/>
        </w14:solidFill>
      </w14:textFill>
    </w:rPr>
  </w:style>
  <w:style w:type="paragraph" w:styleId="19">
    <w:name w:val="Normal (Web)"/>
    <w:basedOn w:val="1"/>
    <w:unhideWhenUsed/>
    <w:qFormat/>
    <w:uiPriority w:val="99"/>
    <w:pPr>
      <w:spacing w:before="100" w:beforeAutospacing="1" w:after="100" w:afterAutospacing="1" w:line="240" w:lineRule="auto"/>
    </w:pPr>
    <w:rPr>
      <w:rFonts w:ascii="Times New Roman" w:hAnsi="Times New Roman" w:eastAsia="Times New Roman" w:cs="Times New Roman"/>
      <w:sz w:val="24"/>
      <w:szCs w:val="24"/>
    </w:rPr>
  </w:style>
  <w:style w:type="character" w:styleId="20">
    <w:name w:val="Strong"/>
    <w:basedOn w:val="5"/>
    <w:qFormat/>
    <w:uiPriority w:val="22"/>
    <w:rPr>
      <w:b/>
      <w:bCs/>
    </w:rPr>
  </w:style>
  <w:style w:type="paragraph" w:styleId="21">
    <w:name w:val="Subtitle"/>
    <w:basedOn w:val="1"/>
    <w:next w:val="1"/>
    <w:link w:val="33"/>
    <w:qFormat/>
    <w:uiPriority w:val="11"/>
    <w:rPr>
      <w:rFonts w:eastAsiaTheme="minorEastAsia"/>
      <w:color w:val="595959" w:themeColor="text1" w:themeTint="A6"/>
      <w:spacing w:val="15"/>
      <w14:textFill>
        <w14:solidFill>
          <w14:schemeClr w14:val="tx1">
            <w14:lumMod w14:val="65000"/>
            <w14:lumOff w14:val="35000"/>
          </w14:schemeClr>
        </w14:solidFill>
      </w14:textFill>
    </w:rPr>
  </w:style>
  <w:style w:type="table" w:styleId="22">
    <w:name w:val="Table Grid"/>
    <w:basedOn w:val="6"/>
    <w:qFormat/>
    <w:uiPriority w:val="59"/>
    <w:rPr>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23">
    <w:name w:val="Title"/>
    <w:basedOn w:val="1"/>
    <w:link w:val="59"/>
    <w:qFormat/>
    <w:uiPriority w:val="1"/>
    <w:pPr>
      <w:widowControl w:val="0"/>
      <w:autoSpaceDE w:val="0"/>
      <w:autoSpaceDN w:val="0"/>
      <w:spacing w:before="84" w:after="0" w:line="240" w:lineRule="auto"/>
      <w:ind w:left="1326" w:right="1326"/>
      <w:jc w:val="center"/>
    </w:pPr>
    <w:rPr>
      <w:rFonts w:ascii="Times New Roman" w:hAnsi="Times New Roman" w:eastAsia="Times New Roman" w:cs="Times New Roman"/>
      <w:b/>
      <w:bCs/>
      <w:sz w:val="32"/>
      <w:szCs w:val="32"/>
    </w:rPr>
  </w:style>
  <w:style w:type="character" w:customStyle="1" w:styleId="24">
    <w:name w:val="Heading 1 Char"/>
    <w:basedOn w:val="5"/>
    <w:link w:val="2"/>
    <w:qFormat/>
    <w:uiPriority w:val="1"/>
    <w:rPr>
      <w:rFonts w:ascii="Calibri" w:hAnsi="Calibri" w:eastAsia="Times New Roman" w:cs="Calibri"/>
      <w:sz w:val="28"/>
      <w:szCs w:val="28"/>
    </w:rPr>
  </w:style>
  <w:style w:type="character" w:customStyle="1" w:styleId="25">
    <w:name w:val="Heading 2 Char"/>
    <w:basedOn w:val="5"/>
    <w:link w:val="3"/>
    <w:qFormat/>
    <w:uiPriority w:val="9"/>
    <w:rPr>
      <w:rFonts w:asciiTheme="majorHAnsi" w:hAnsiTheme="majorHAnsi" w:eastAsiaTheme="majorEastAsia" w:cstheme="majorBidi"/>
      <w:color w:val="2F5597" w:themeColor="accent1" w:themeShade="BF"/>
      <w:sz w:val="26"/>
      <w:szCs w:val="26"/>
    </w:rPr>
  </w:style>
  <w:style w:type="character" w:customStyle="1" w:styleId="26">
    <w:name w:val="Heading 3 Char"/>
    <w:basedOn w:val="5"/>
    <w:link w:val="4"/>
    <w:qFormat/>
    <w:uiPriority w:val="9"/>
    <w:rPr>
      <w:rFonts w:ascii="Times New Roman" w:hAnsi="Times New Roman" w:eastAsia="Times New Roman" w:cs="Times New Roman"/>
      <w:b/>
      <w:color w:val="000000"/>
      <w:sz w:val="24"/>
      <w:szCs w:val="22"/>
      <w:lang w:val="en-GB"/>
    </w:rPr>
  </w:style>
  <w:style w:type="character" w:customStyle="1" w:styleId="27">
    <w:name w:val="Endnote Text Char"/>
    <w:basedOn w:val="5"/>
    <w:link w:val="14"/>
    <w:qFormat/>
    <w:uiPriority w:val="99"/>
    <w:rPr>
      <w:sz w:val="20"/>
      <w:szCs w:val="20"/>
    </w:rPr>
  </w:style>
  <w:style w:type="paragraph" w:customStyle="1" w:styleId="28">
    <w:name w:val="Default"/>
    <w:link w:val="29"/>
    <w:qFormat/>
    <w:uiPriority w:val="0"/>
    <w:pPr>
      <w:autoSpaceDE w:val="0"/>
      <w:autoSpaceDN w:val="0"/>
      <w:adjustRightInd w:val="0"/>
    </w:pPr>
    <w:rPr>
      <w:rFonts w:ascii="Times New Roman" w:hAnsi="Times New Roman" w:cs="Times New Roman" w:eastAsiaTheme="minorHAnsi"/>
      <w:color w:val="000000"/>
      <w:sz w:val="24"/>
      <w:szCs w:val="24"/>
      <w:lang w:val="en-US" w:eastAsia="en-US" w:bidi="ar-SA"/>
    </w:rPr>
  </w:style>
  <w:style w:type="character" w:customStyle="1" w:styleId="29">
    <w:name w:val="Default Char"/>
    <w:link w:val="28"/>
    <w:qFormat/>
    <w:locked/>
    <w:uiPriority w:val="0"/>
    <w:rPr>
      <w:rFonts w:ascii="Times New Roman" w:hAnsi="Times New Roman" w:cs="Times New Roman"/>
      <w:color w:val="000000"/>
      <w:sz w:val="24"/>
      <w:szCs w:val="24"/>
    </w:rPr>
  </w:style>
  <w:style w:type="paragraph" w:styleId="30">
    <w:name w:val="List Paragraph"/>
    <w:basedOn w:val="1"/>
    <w:qFormat/>
    <w:uiPriority w:val="34"/>
    <w:pPr>
      <w:spacing w:before="100" w:beforeAutospacing="1" w:line="256" w:lineRule="auto"/>
      <w:ind w:left="720"/>
      <w:contextualSpacing/>
    </w:pPr>
    <w:rPr>
      <w:rFonts w:ascii="Calibri" w:hAnsi="Calibri" w:eastAsia="Times New Roman" w:cs="Times New Roman"/>
    </w:rPr>
  </w:style>
  <w:style w:type="character" w:customStyle="1" w:styleId="31">
    <w:name w:val="15"/>
    <w:basedOn w:val="5"/>
    <w:qFormat/>
    <w:uiPriority w:val="0"/>
    <w:rPr>
      <w:rFonts w:hint="default" w:ascii="Calibri" w:hAnsi="Calibri" w:cs="Calibri"/>
      <w:color w:val="0563C1"/>
      <w:u w:val="single"/>
    </w:rPr>
  </w:style>
  <w:style w:type="table" w:customStyle="1" w:styleId="32">
    <w:name w:val="Table Grid1"/>
    <w:basedOn w:val="6"/>
    <w:qFormat/>
    <w:uiPriority w:val="39"/>
    <w:rPr>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33">
    <w:name w:val="Subtitle Char"/>
    <w:basedOn w:val="5"/>
    <w:link w:val="21"/>
    <w:qFormat/>
    <w:uiPriority w:val="11"/>
    <w:rPr>
      <w:rFonts w:eastAsiaTheme="minorEastAsia"/>
      <w:color w:val="595959" w:themeColor="text1" w:themeTint="A6"/>
      <w:spacing w:val="15"/>
      <w:sz w:val="22"/>
      <w:szCs w:val="22"/>
      <w14:textFill>
        <w14:solidFill>
          <w14:schemeClr w14:val="tx1">
            <w14:lumMod w14:val="65000"/>
            <w14:lumOff w14:val="35000"/>
          </w14:schemeClr>
        </w14:solidFill>
      </w14:textFill>
    </w:rPr>
  </w:style>
  <w:style w:type="character" w:customStyle="1" w:styleId="34">
    <w:name w:val="Header Char"/>
    <w:basedOn w:val="5"/>
    <w:link w:val="17"/>
    <w:qFormat/>
    <w:uiPriority w:val="99"/>
    <w:rPr>
      <w:sz w:val="22"/>
      <w:szCs w:val="22"/>
    </w:rPr>
  </w:style>
  <w:style w:type="character" w:customStyle="1" w:styleId="35">
    <w:name w:val="Footer Char"/>
    <w:basedOn w:val="5"/>
    <w:link w:val="15"/>
    <w:qFormat/>
    <w:uiPriority w:val="99"/>
    <w:rPr>
      <w:sz w:val="22"/>
      <w:szCs w:val="22"/>
    </w:rPr>
  </w:style>
  <w:style w:type="paragraph" w:customStyle="1" w:styleId="36">
    <w:name w:val="Pa22"/>
    <w:basedOn w:val="1"/>
    <w:next w:val="1"/>
    <w:qFormat/>
    <w:uiPriority w:val="99"/>
    <w:pPr>
      <w:autoSpaceDE w:val="0"/>
      <w:autoSpaceDN w:val="0"/>
      <w:adjustRightInd w:val="0"/>
      <w:spacing w:after="0" w:line="181" w:lineRule="atLeast"/>
    </w:pPr>
    <w:rPr>
      <w:rFonts w:ascii="Times New Roman" w:hAnsi="Times New Roman" w:cs="Times New Roman"/>
      <w:sz w:val="24"/>
      <w:szCs w:val="24"/>
    </w:rPr>
  </w:style>
  <w:style w:type="character" w:customStyle="1" w:styleId="37">
    <w:name w:val="A12"/>
    <w:qFormat/>
    <w:uiPriority w:val="99"/>
    <w:rPr>
      <w:rFonts w:cs="Cambria"/>
      <w:color w:val="000000"/>
      <w:sz w:val="18"/>
      <w:szCs w:val="18"/>
    </w:rPr>
  </w:style>
  <w:style w:type="character" w:customStyle="1" w:styleId="38">
    <w:name w:val="Footnote Text Char"/>
    <w:basedOn w:val="5"/>
    <w:link w:val="16"/>
    <w:semiHidden/>
    <w:qFormat/>
    <w:uiPriority w:val="99"/>
  </w:style>
  <w:style w:type="character" w:customStyle="1" w:styleId="39">
    <w:name w:val="Comment Text Char"/>
    <w:basedOn w:val="5"/>
    <w:link w:val="10"/>
    <w:semiHidden/>
    <w:qFormat/>
    <w:uiPriority w:val="99"/>
  </w:style>
  <w:style w:type="character" w:customStyle="1" w:styleId="40">
    <w:name w:val="Comment Text Char1"/>
    <w:basedOn w:val="5"/>
    <w:semiHidden/>
    <w:qFormat/>
    <w:uiPriority w:val="99"/>
  </w:style>
  <w:style w:type="character" w:customStyle="1" w:styleId="41">
    <w:name w:val="Comment Subject Char"/>
    <w:basedOn w:val="39"/>
    <w:link w:val="11"/>
    <w:semiHidden/>
    <w:qFormat/>
    <w:uiPriority w:val="99"/>
    <w:rPr>
      <w:b/>
      <w:bCs/>
    </w:rPr>
  </w:style>
  <w:style w:type="character" w:customStyle="1" w:styleId="42">
    <w:name w:val="Comment Subject Char1"/>
    <w:basedOn w:val="40"/>
    <w:semiHidden/>
    <w:qFormat/>
    <w:uiPriority w:val="99"/>
    <w:rPr>
      <w:b/>
      <w:bCs/>
    </w:rPr>
  </w:style>
  <w:style w:type="character" w:customStyle="1" w:styleId="43">
    <w:name w:val="Balloon Text Char"/>
    <w:basedOn w:val="5"/>
    <w:link w:val="7"/>
    <w:semiHidden/>
    <w:qFormat/>
    <w:uiPriority w:val="99"/>
    <w:rPr>
      <w:rFonts w:ascii="Tahoma" w:hAnsi="Tahoma" w:cs="Tahoma"/>
      <w:sz w:val="16"/>
      <w:szCs w:val="16"/>
    </w:rPr>
  </w:style>
  <w:style w:type="character" w:customStyle="1" w:styleId="44">
    <w:name w:val="Balloon Text Char1"/>
    <w:basedOn w:val="5"/>
    <w:semiHidden/>
    <w:qFormat/>
    <w:uiPriority w:val="99"/>
    <w:rPr>
      <w:rFonts w:ascii="Tahoma" w:hAnsi="Tahoma" w:cs="Tahoma"/>
      <w:sz w:val="16"/>
      <w:szCs w:val="16"/>
    </w:rPr>
  </w:style>
  <w:style w:type="paragraph" w:customStyle="1" w:styleId="45">
    <w:name w:val="Pa9"/>
    <w:basedOn w:val="1"/>
    <w:next w:val="1"/>
    <w:qFormat/>
    <w:uiPriority w:val="99"/>
    <w:pPr>
      <w:autoSpaceDE w:val="0"/>
      <w:autoSpaceDN w:val="0"/>
      <w:adjustRightInd w:val="0"/>
      <w:spacing w:after="0" w:line="221" w:lineRule="atLeast"/>
    </w:pPr>
    <w:rPr>
      <w:rFonts w:ascii="Cambria" w:hAnsi="Cambria"/>
      <w:sz w:val="24"/>
      <w:szCs w:val="24"/>
    </w:rPr>
  </w:style>
  <w:style w:type="character" w:customStyle="1" w:styleId="46">
    <w:name w:val="A18"/>
    <w:qFormat/>
    <w:uiPriority w:val="99"/>
    <w:rPr>
      <w:rFonts w:cs="Cambria"/>
      <w:color w:val="000000"/>
      <w:sz w:val="16"/>
      <w:szCs w:val="16"/>
    </w:rPr>
  </w:style>
  <w:style w:type="paragraph" w:customStyle="1" w:styleId="47">
    <w:name w:val="Pa15"/>
    <w:basedOn w:val="28"/>
    <w:next w:val="28"/>
    <w:qFormat/>
    <w:uiPriority w:val="99"/>
    <w:pPr>
      <w:spacing w:line="221" w:lineRule="atLeast"/>
    </w:pPr>
    <w:rPr>
      <w:rFonts w:ascii="Cambria" w:hAnsi="Cambria" w:cstheme="minorBidi"/>
      <w:color w:val="auto"/>
    </w:rPr>
  </w:style>
  <w:style w:type="character" w:customStyle="1" w:styleId="48">
    <w:name w:val="A1"/>
    <w:qFormat/>
    <w:uiPriority w:val="99"/>
    <w:rPr>
      <w:rFonts w:ascii="Minion Pro" w:hAnsi="Minion Pro" w:cs="Minion Pro"/>
      <w:color w:val="000000"/>
      <w:sz w:val="21"/>
      <w:szCs w:val="21"/>
    </w:rPr>
  </w:style>
  <w:style w:type="character" w:customStyle="1" w:styleId="49">
    <w:name w:val="doi__label"/>
    <w:basedOn w:val="5"/>
    <w:qFormat/>
    <w:uiPriority w:val="0"/>
  </w:style>
  <w:style w:type="paragraph" w:customStyle="1" w:styleId="50">
    <w:name w:val="Pa17"/>
    <w:basedOn w:val="28"/>
    <w:next w:val="28"/>
    <w:qFormat/>
    <w:uiPriority w:val="99"/>
    <w:pPr>
      <w:spacing w:line="221" w:lineRule="atLeast"/>
    </w:pPr>
    <w:rPr>
      <w:rFonts w:ascii="Cambria" w:hAnsi="Cambria" w:cstheme="minorBidi"/>
      <w:color w:val="auto"/>
    </w:rPr>
  </w:style>
  <w:style w:type="character" w:customStyle="1" w:styleId="51">
    <w:name w:val="A9"/>
    <w:qFormat/>
    <w:uiPriority w:val="99"/>
    <w:rPr>
      <w:rFonts w:cs="Cambria"/>
      <w:b/>
      <w:bCs/>
      <w:color w:val="000000"/>
      <w:sz w:val="20"/>
      <w:szCs w:val="20"/>
    </w:rPr>
  </w:style>
  <w:style w:type="paragraph" w:styleId="52">
    <w:name w:val="No Spacing"/>
    <w:link w:val="53"/>
    <w:qFormat/>
    <w:uiPriority w:val="1"/>
    <w:rPr>
      <w:rFonts w:asciiTheme="minorHAnsi" w:hAnsiTheme="minorHAnsi" w:eastAsiaTheme="minorHAnsi" w:cstheme="minorBidi"/>
      <w:sz w:val="22"/>
      <w:szCs w:val="22"/>
      <w:lang w:val="en-US" w:eastAsia="en-US" w:bidi="ar-SA"/>
    </w:rPr>
  </w:style>
  <w:style w:type="character" w:customStyle="1" w:styleId="53">
    <w:name w:val="No Spacing Char"/>
    <w:basedOn w:val="5"/>
    <w:link w:val="52"/>
    <w:qFormat/>
    <w:uiPriority w:val="1"/>
    <w:rPr>
      <w:sz w:val="22"/>
      <w:szCs w:val="22"/>
    </w:rPr>
  </w:style>
  <w:style w:type="character" w:customStyle="1" w:styleId="54">
    <w:name w:val="Body Text 2 Char"/>
    <w:basedOn w:val="5"/>
    <w:link w:val="9"/>
    <w:qFormat/>
    <w:uiPriority w:val="0"/>
    <w:rPr>
      <w:rFonts w:ascii="Calibri" w:hAnsi="Calibri" w:eastAsia="Calibri" w:cs="Times New Roman"/>
      <w:sz w:val="22"/>
      <w:szCs w:val="22"/>
    </w:rPr>
  </w:style>
  <w:style w:type="character" w:customStyle="1" w:styleId="55">
    <w:name w:val="st"/>
    <w:basedOn w:val="5"/>
    <w:qFormat/>
    <w:uiPriority w:val="0"/>
  </w:style>
  <w:style w:type="character" w:customStyle="1" w:styleId="56">
    <w:name w:val="apple-converted-space"/>
    <w:qFormat/>
    <w:uiPriority w:val="0"/>
  </w:style>
  <w:style w:type="character" w:customStyle="1" w:styleId="57">
    <w:name w:val="Body Text Char"/>
    <w:basedOn w:val="5"/>
    <w:link w:val="8"/>
    <w:qFormat/>
    <w:uiPriority w:val="1"/>
    <w:rPr>
      <w:rFonts w:ascii="Cambria" w:hAnsi="Cambria" w:eastAsia="Cambria" w:cs="Cambria"/>
    </w:rPr>
  </w:style>
  <w:style w:type="character" w:customStyle="1" w:styleId="58">
    <w:name w:val="person_name"/>
    <w:basedOn w:val="5"/>
    <w:qFormat/>
    <w:uiPriority w:val="0"/>
  </w:style>
  <w:style w:type="character" w:customStyle="1" w:styleId="59">
    <w:name w:val="Title Char"/>
    <w:basedOn w:val="5"/>
    <w:link w:val="23"/>
    <w:qFormat/>
    <w:uiPriority w:val="1"/>
    <w:rPr>
      <w:rFonts w:ascii="Times New Roman" w:hAnsi="Times New Roman" w:eastAsia="Times New Roman" w:cs="Times New Roman"/>
      <w:b/>
      <w:bCs/>
      <w:sz w:val="32"/>
      <w:szCs w:val="32"/>
    </w:rPr>
  </w:style>
  <w:style w:type="paragraph" w:customStyle="1" w:styleId="60">
    <w:name w:val="sr-only"/>
    <w:basedOn w:val="1"/>
    <w:qFormat/>
    <w:uiPriority w:val="0"/>
    <w:pPr>
      <w:spacing w:before="100" w:beforeAutospacing="1" w:after="100" w:afterAutospacing="1" w:line="240" w:lineRule="auto"/>
    </w:pPr>
    <w:rPr>
      <w:rFonts w:ascii="Times New Roman" w:hAnsi="Times New Roman" w:eastAsia="Times New Roman" w:cs="Times New Roman"/>
      <w:sz w:val="24"/>
      <w:szCs w:val="24"/>
      <w:lang w:val="en-GB" w:eastAsia="en-GB"/>
    </w:rPr>
  </w:style>
  <w:style w:type="paragraph" w:customStyle="1" w:styleId="61">
    <w:name w:val="Table Paragraph"/>
    <w:basedOn w:val="1"/>
    <w:qFormat/>
    <w:uiPriority w:val="1"/>
    <w:pPr>
      <w:widowControl w:val="0"/>
      <w:autoSpaceDE w:val="0"/>
      <w:autoSpaceDN w:val="0"/>
      <w:spacing w:before="54" w:after="0" w:line="240" w:lineRule="auto"/>
    </w:pPr>
    <w:rPr>
      <w:rFonts w:ascii="Trebuchet MS" w:hAnsi="Trebuchet MS" w:eastAsia="Trebuchet MS" w:cs="Trebuchet MS"/>
    </w:rPr>
  </w:style>
  <w:style w:type="paragraph" w:customStyle="1" w:styleId="62">
    <w:name w:val="font_8"/>
    <w:basedOn w:val="1"/>
    <w:qFormat/>
    <w:uiPriority w:val="0"/>
    <w:pPr>
      <w:spacing w:before="100" w:beforeAutospacing="1" w:after="100" w:afterAutospacing="1" w:line="240" w:lineRule="auto"/>
    </w:pPr>
    <w:rPr>
      <w:rFonts w:ascii="Times New Roman" w:hAnsi="Times New Roman" w:eastAsia="Times New Roman" w:cs="Times New Roman"/>
      <w:sz w:val="24"/>
      <w:szCs w:val="24"/>
      <w:lang w:val="en-GB" w:eastAsia="en-GB"/>
    </w:rPr>
  </w:style>
  <w:style w:type="character" w:customStyle="1" w:styleId="63">
    <w:name w:val="year"/>
    <w:basedOn w:val="5"/>
    <w:qFormat/>
    <w:uiPriority w:val="0"/>
  </w:style>
  <w:style w:type="character" w:customStyle="1" w:styleId="64">
    <w:name w:val="Title1"/>
    <w:basedOn w:val="5"/>
    <w:qFormat/>
    <w:uiPriority w:val="0"/>
  </w:style>
  <w:style w:type="character" w:customStyle="1" w:styleId="65">
    <w:name w:val="journal"/>
    <w:basedOn w:val="5"/>
    <w:qFormat/>
    <w:uiPriority w:val="0"/>
  </w:style>
  <w:style w:type="character" w:customStyle="1" w:styleId="66">
    <w:name w:val="vol"/>
    <w:basedOn w:val="5"/>
    <w:qFormat/>
    <w:uiPriority w:val="0"/>
  </w:style>
  <w:style w:type="character" w:customStyle="1" w:styleId="67">
    <w:name w:val="pages"/>
    <w:basedOn w:val="5"/>
    <w:qFormat/>
    <w:uiPriority w:val="0"/>
  </w:style>
  <w:style w:type="character" w:customStyle="1" w:styleId="68">
    <w:name w:val="italic"/>
    <w:basedOn w:val="5"/>
    <w:qFormat/>
    <w:uiPriority w:val="0"/>
  </w:style>
  <w:style w:type="character" w:customStyle="1" w:styleId="69">
    <w:name w:val="jatsparser__meta-author"/>
    <w:basedOn w:val="5"/>
    <w:qFormat/>
    <w:uiPriority w:val="0"/>
  </w:style>
</w:styles>
</file>

<file path=word/_rels/document.xml.rels><?xml version="1.0" encoding="UTF-8" standalone="yes"?>
<Relationships xmlns="http://schemas.openxmlformats.org/package/2006/relationships"><Relationship Id="rId96" Type="http://schemas.openxmlformats.org/officeDocument/2006/relationships/fontTable" Target="fontTable.xml"/><Relationship Id="rId95" Type="http://schemas.openxmlformats.org/officeDocument/2006/relationships/numbering" Target="numbering.xml"/><Relationship Id="rId94" Type="http://schemas.openxmlformats.org/officeDocument/2006/relationships/customXml" Target="../customXml/item1.xml"/><Relationship Id="rId93" Type="http://schemas.openxmlformats.org/officeDocument/2006/relationships/oleObject" Target="embeddings/oleObject46.bin"/><Relationship Id="rId92" Type="http://schemas.openxmlformats.org/officeDocument/2006/relationships/oleObject" Target="embeddings/oleObject45.bin"/><Relationship Id="rId91" Type="http://schemas.openxmlformats.org/officeDocument/2006/relationships/image" Target="media/image34.emf"/><Relationship Id="rId90" Type="http://schemas.openxmlformats.org/officeDocument/2006/relationships/oleObject" Target="embeddings/oleObject44.bin"/><Relationship Id="rId9" Type="http://schemas.openxmlformats.org/officeDocument/2006/relationships/theme" Target="theme/theme1.xml"/><Relationship Id="rId89" Type="http://schemas.openxmlformats.org/officeDocument/2006/relationships/oleObject" Target="embeddings/oleObject43.bin"/><Relationship Id="rId88" Type="http://schemas.openxmlformats.org/officeDocument/2006/relationships/oleObject" Target="embeddings/oleObject42.bin"/><Relationship Id="rId87" Type="http://schemas.openxmlformats.org/officeDocument/2006/relationships/image" Target="media/image33.emf"/><Relationship Id="rId86" Type="http://schemas.openxmlformats.org/officeDocument/2006/relationships/oleObject" Target="embeddings/oleObject41.bin"/><Relationship Id="rId85" Type="http://schemas.openxmlformats.org/officeDocument/2006/relationships/oleObject" Target="embeddings/oleObject40.bin"/><Relationship Id="rId84" Type="http://schemas.openxmlformats.org/officeDocument/2006/relationships/oleObject" Target="embeddings/oleObject39.bin"/><Relationship Id="rId83" Type="http://schemas.openxmlformats.org/officeDocument/2006/relationships/image" Target="media/image32.emf"/><Relationship Id="rId82" Type="http://schemas.openxmlformats.org/officeDocument/2006/relationships/oleObject" Target="embeddings/oleObject38.bin"/><Relationship Id="rId81" Type="http://schemas.openxmlformats.org/officeDocument/2006/relationships/oleObject" Target="embeddings/oleObject37.bin"/><Relationship Id="rId80" Type="http://schemas.openxmlformats.org/officeDocument/2006/relationships/oleObject" Target="embeddings/oleObject36.bin"/><Relationship Id="rId8" Type="http://schemas.openxmlformats.org/officeDocument/2006/relationships/footer" Target="footer2.xml"/><Relationship Id="rId79" Type="http://schemas.openxmlformats.org/officeDocument/2006/relationships/image" Target="media/image31.emf"/><Relationship Id="rId78" Type="http://schemas.openxmlformats.org/officeDocument/2006/relationships/oleObject" Target="embeddings/oleObject35.bin"/><Relationship Id="rId77" Type="http://schemas.openxmlformats.org/officeDocument/2006/relationships/oleObject" Target="embeddings/oleObject34.bin"/><Relationship Id="rId76" Type="http://schemas.openxmlformats.org/officeDocument/2006/relationships/oleObject" Target="embeddings/oleObject33.bin"/><Relationship Id="rId75" Type="http://schemas.openxmlformats.org/officeDocument/2006/relationships/image" Target="media/image30.emf"/><Relationship Id="rId74" Type="http://schemas.openxmlformats.org/officeDocument/2006/relationships/oleObject" Target="embeddings/oleObject32.bin"/><Relationship Id="rId73" Type="http://schemas.openxmlformats.org/officeDocument/2006/relationships/oleObject" Target="embeddings/oleObject31.bin"/><Relationship Id="rId72" Type="http://schemas.openxmlformats.org/officeDocument/2006/relationships/oleObject" Target="embeddings/oleObject30.bin"/><Relationship Id="rId71" Type="http://schemas.openxmlformats.org/officeDocument/2006/relationships/image" Target="media/image29.emf"/><Relationship Id="rId70" Type="http://schemas.openxmlformats.org/officeDocument/2006/relationships/oleObject" Target="embeddings/oleObject29.bin"/><Relationship Id="rId7" Type="http://schemas.openxmlformats.org/officeDocument/2006/relationships/footer" Target="footer1.xml"/><Relationship Id="rId69" Type="http://schemas.openxmlformats.org/officeDocument/2006/relationships/image" Target="media/image28.emf"/><Relationship Id="rId68" Type="http://schemas.openxmlformats.org/officeDocument/2006/relationships/oleObject" Target="embeddings/oleObject28.bin"/><Relationship Id="rId67" Type="http://schemas.openxmlformats.org/officeDocument/2006/relationships/image" Target="media/image27.emf"/><Relationship Id="rId66" Type="http://schemas.openxmlformats.org/officeDocument/2006/relationships/oleObject" Target="embeddings/oleObject27.bin"/><Relationship Id="rId65" Type="http://schemas.openxmlformats.org/officeDocument/2006/relationships/image" Target="media/image26.emf"/><Relationship Id="rId64" Type="http://schemas.openxmlformats.org/officeDocument/2006/relationships/oleObject" Target="embeddings/oleObject26.bin"/><Relationship Id="rId63" Type="http://schemas.openxmlformats.org/officeDocument/2006/relationships/image" Target="media/image25.emf"/><Relationship Id="rId62" Type="http://schemas.openxmlformats.org/officeDocument/2006/relationships/oleObject" Target="embeddings/oleObject25.bin"/><Relationship Id="rId61" Type="http://schemas.openxmlformats.org/officeDocument/2006/relationships/image" Target="media/image24.emf"/><Relationship Id="rId60" Type="http://schemas.openxmlformats.org/officeDocument/2006/relationships/oleObject" Target="embeddings/oleObject24.bin"/><Relationship Id="rId6" Type="http://schemas.openxmlformats.org/officeDocument/2006/relationships/header" Target="header2.xml"/><Relationship Id="rId59" Type="http://schemas.openxmlformats.org/officeDocument/2006/relationships/image" Target="media/image23.emf"/><Relationship Id="rId58" Type="http://schemas.openxmlformats.org/officeDocument/2006/relationships/oleObject" Target="embeddings/oleObject23.bin"/><Relationship Id="rId57" Type="http://schemas.openxmlformats.org/officeDocument/2006/relationships/image" Target="media/image22.emf"/><Relationship Id="rId56" Type="http://schemas.openxmlformats.org/officeDocument/2006/relationships/oleObject" Target="embeddings/oleObject22.bin"/><Relationship Id="rId55" Type="http://schemas.openxmlformats.org/officeDocument/2006/relationships/image" Target="media/image21.emf"/><Relationship Id="rId54" Type="http://schemas.openxmlformats.org/officeDocument/2006/relationships/oleObject" Target="embeddings/oleObject21.bin"/><Relationship Id="rId53" Type="http://schemas.openxmlformats.org/officeDocument/2006/relationships/image" Target="media/image20.emf"/><Relationship Id="rId52" Type="http://schemas.openxmlformats.org/officeDocument/2006/relationships/oleObject" Target="embeddings/oleObject20.bin"/><Relationship Id="rId51" Type="http://schemas.openxmlformats.org/officeDocument/2006/relationships/image" Target="media/image19.emf"/><Relationship Id="rId50" Type="http://schemas.openxmlformats.org/officeDocument/2006/relationships/oleObject" Target="embeddings/oleObject19.bin"/><Relationship Id="rId5" Type="http://schemas.openxmlformats.org/officeDocument/2006/relationships/header" Target="header1.xml"/><Relationship Id="rId49" Type="http://schemas.openxmlformats.org/officeDocument/2006/relationships/image" Target="media/image18.emf"/><Relationship Id="rId48" Type="http://schemas.openxmlformats.org/officeDocument/2006/relationships/oleObject" Target="embeddings/oleObject18.bin"/><Relationship Id="rId47" Type="http://schemas.openxmlformats.org/officeDocument/2006/relationships/image" Target="media/image17.emf"/><Relationship Id="rId46" Type="http://schemas.openxmlformats.org/officeDocument/2006/relationships/oleObject" Target="embeddings/oleObject17.bin"/><Relationship Id="rId45" Type="http://schemas.openxmlformats.org/officeDocument/2006/relationships/chart" Target="charts/chart4.xml"/><Relationship Id="rId44" Type="http://schemas.openxmlformats.org/officeDocument/2006/relationships/chart" Target="charts/chart3.xml"/><Relationship Id="rId43" Type="http://schemas.openxmlformats.org/officeDocument/2006/relationships/chart" Target="charts/chart2.xml"/><Relationship Id="rId42" Type="http://schemas.openxmlformats.org/officeDocument/2006/relationships/chart" Target="charts/chart1.xml"/><Relationship Id="rId41" Type="http://schemas.openxmlformats.org/officeDocument/2006/relationships/image" Target="media/image16.wmf"/><Relationship Id="rId40" Type="http://schemas.openxmlformats.org/officeDocument/2006/relationships/oleObject" Target="embeddings/oleObject16.bin"/><Relationship Id="rId4" Type="http://schemas.openxmlformats.org/officeDocument/2006/relationships/endnotes" Target="endnotes.xml"/><Relationship Id="rId39" Type="http://schemas.openxmlformats.org/officeDocument/2006/relationships/image" Target="media/image15.wmf"/><Relationship Id="rId38" Type="http://schemas.openxmlformats.org/officeDocument/2006/relationships/oleObject" Target="embeddings/oleObject15.bin"/><Relationship Id="rId37" Type="http://schemas.openxmlformats.org/officeDocument/2006/relationships/image" Target="media/image14.wmf"/><Relationship Id="rId36" Type="http://schemas.openxmlformats.org/officeDocument/2006/relationships/oleObject" Target="embeddings/oleObject14.bin"/><Relationship Id="rId35" Type="http://schemas.openxmlformats.org/officeDocument/2006/relationships/image" Target="media/image13.wmf"/><Relationship Id="rId34" Type="http://schemas.openxmlformats.org/officeDocument/2006/relationships/oleObject" Target="embeddings/oleObject13.bin"/><Relationship Id="rId33" Type="http://schemas.openxmlformats.org/officeDocument/2006/relationships/image" Target="media/image12.wmf"/><Relationship Id="rId32" Type="http://schemas.openxmlformats.org/officeDocument/2006/relationships/oleObject" Target="embeddings/oleObject12.bin"/><Relationship Id="rId31" Type="http://schemas.openxmlformats.org/officeDocument/2006/relationships/image" Target="media/image11.wmf"/><Relationship Id="rId30" Type="http://schemas.openxmlformats.org/officeDocument/2006/relationships/oleObject" Target="embeddings/oleObject11.bin"/><Relationship Id="rId3" Type="http://schemas.openxmlformats.org/officeDocument/2006/relationships/footnotes" Target="footnotes.xml"/><Relationship Id="rId29" Type="http://schemas.openxmlformats.org/officeDocument/2006/relationships/image" Target="media/image10.wmf"/><Relationship Id="rId28" Type="http://schemas.openxmlformats.org/officeDocument/2006/relationships/oleObject" Target="embeddings/oleObject10.bin"/><Relationship Id="rId27" Type="http://schemas.openxmlformats.org/officeDocument/2006/relationships/image" Target="media/image9.wmf"/><Relationship Id="rId26" Type="http://schemas.openxmlformats.org/officeDocument/2006/relationships/oleObject" Target="embeddings/oleObject9.bin"/><Relationship Id="rId25" Type="http://schemas.openxmlformats.org/officeDocument/2006/relationships/image" Target="media/image8.wmf"/><Relationship Id="rId24" Type="http://schemas.openxmlformats.org/officeDocument/2006/relationships/oleObject" Target="embeddings/oleObject8.bin"/><Relationship Id="rId23" Type="http://schemas.openxmlformats.org/officeDocument/2006/relationships/image" Target="media/image7.wmf"/><Relationship Id="rId22" Type="http://schemas.openxmlformats.org/officeDocument/2006/relationships/oleObject" Target="embeddings/oleObject7.bin"/><Relationship Id="rId21" Type="http://schemas.openxmlformats.org/officeDocument/2006/relationships/image" Target="media/image6.wmf"/><Relationship Id="rId20" Type="http://schemas.openxmlformats.org/officeDocument/2006/relationships/oleObject" Target="embeddings/oleObject6.bin"/><Relationship Id="rId2" Type="http://schemas.openxmlformats.org/officeDocument/2006/relationships/settings" Target="settings.xml"/><Relationship Id="rId19" Type="http://schemas.openxmlformats.org/officeDocument/2006/relationships/image" Target="media/image5.wmf"/><Relationship Id="rId18" Type="http://schemas.openxmlformats.org/officeDocument/2006/relationships/oleObject" Target="embeddings/oleObject5.bin"/><Relationship Id="rId17" Type="http://schemas.openxmlformats.org/officeDocument/2006/relationships/image" Target="media/image4.wmf"/><Relationship Id="rId16" Type="http://schemas.openxmlformats.org/officeDocument/2006/relationships/oleObject" Target="embeddings/oleObject4.bin"/><Relationship Id="rId15" Type="http://schemas.openxmlformats.org/officeDocument/2006/relationships/image" Target="media/image3.wmf"/><Relationship Id="rId14" Type="http://schemas.openxmlformats.org/officeDocument/2006/relationships/oleObject" Target="embeddings/oleObject3.bin"/><Relationship Id="rId13" Type="http://schemas.openxmlformats.org/officeDocument/2006/relationships/image" Target="media/image2.wmf"/><Relationship Id="rId12" Type="http://schemas.openxmlformats.org/officeDocument/2006/relationships/oleObject" Target="embeddings/oleObject2.bin"/><Relationship Id="rId11" Type="http://schemas.openxmlformats.org/officeDocument/2006/relationships/image" Target="media/image1.wmf"/><Relationship Id="rId10" Type="http://schemas.openxmlformats.org/officeDocument/2006/relationships/oleObject" Target="embeddings/oleObject1.bin"/><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I:\Old%20Hard%20Drive_External%20Drive\Ace-Analytikal%20RC%202023\Mr%20Samaila_Guy%20from%20CBN\Data%20analysis_fin%20dev%20and%20health%20outcome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I:\Old%20Hard%20Drive_External%20Drive\Ace-Analytikal%20RC%202023\Mr%20Samaila_Guy%20from%20CBN\Data%20analysis_fin%20dev%20and%20health%20outcome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I:\Old%20Hard%20Drive_External%20Drive\Ace-Analytikal%20RC%202023\Mr%20Samaila_Guy%20from%20CBN\Data%20analysis_fin%20dev%20and%20health%20outcome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I:\Old%20Hard%20Drive_External%20Drive\Ace-Analytikal%20RC%202023\Mr%20Samaila_Guy%20from%20CBN\Data%20analysis_fin%20dev%20and%20health%20outcom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l">
              <a:defRPr lang="en-US" sz="1800" b="1" i="0" u="none" strike="noStrike" kern="1200" baseline="0">
                <a:solidFill>
                  <a:schemeClr val="tx1"/>
                </a:solidFill>
                <a:latin typeface="+mn-lt"/>
                <a:ea typeface="+mn-ea"/>
                <a:cs typeface="+mn-cs"/>
              </a:defRPr>
            </a:pPr>
            <a:r>
              <a:rPr lang="en-US" sz="1100">
                <a:latin typeface="Times New Roman" panose="02020603050405020304" charset="0"/>
                <a:cs typeface="Times New Roman" panose="02020603050405020304" charset="0"/>
              </a:rPr>
              <a:t>Figure</a:t>
            </a:r>
            <a:r>
              <a:rPr lang="en-US" sz="1100" baseline="0">
                <a:latin typeface="Times New Roman" panose="02020603050405020304" charset="0"/>
                <a:cs typeface="Times New Roman" panose="02020603050405020304" charset="0"/>
              </a:rPr>
              <a:t> 4.1: </a:t>
            </a:r>
            <a:r>
              <a:rPr lang="en-US" sz="1100" b="0" baseline="0">
                <a:latin typeface="Times New Roman" panose="02020603050405020304" charset="0"/>
                <a:cs typeface="Times New Roman" panose="02020603050405020304" charset="0"/>
              </a:rPr>
              <a:t>Money market instrument and health outcomes</a:t>
            </a:r>
            <a:endParaRPr lang="en-US" sz="1100" b="0" baseline="0">
              <a:latin typeface="Times New Roman" panose="02020603050405020304" charset="0"/>
              <a:cs typeface="Times New Roman" panose="02020603050405020304" charset="0"/>
            </a:endParaRPr>
          </a:p>
          <a:p>
            <a:pPr algn="l">
              <a:defRPr lang="en-US" sz="1800" b="1" i="0" u="none" strike="noStrike" kern="1200" baseline="0">
                <a:solidFill>
                  <a:schemeClr val="tx1"/>
                </a:solidFill>
                <a:latin typeface="+mn-lt"/>
                <a:ea typeface="+mn-ea"/>
                <a:cs typeface="+mn-cs"/>
              </a:defRPr>
            </a:pPr>
            <a:r>
              <a:rPr lang="en-US" sz="1100" baseline="0">
                <a:latin typeface="Times New Roman" panose="02020603050405020304" charset="0"/>
                <a:cs typeface="Times New Roman" panose="02020603050405020304" charset="0"/>
              </a:rPr>
              <a:t>Source: </a:t>
            </a:r>
            <a:r>
              <a:rPr lang="en-US" sz="1100" b="0" baseline="0">
                <a:latin typeface="Times New Roman" panose="02020603050405020304" charset="0"/>
                <a:cs typeface="Times New Roman" panose="02020603050405020304" charset="0"/>
              </a:rPr>
              <a:t>Auhor's computation (2023)</a:t>
            </a:r>
            <a:endParaRPr lang="en-US" sz="1100" b="0">
              <a:latin typeface="Times New Roman" panose="02020603050405020304" charset="0"/>
              <a:cs typeface="Times New Roman" panose="02020603050405020304" charset="0"/>
            </a:endParaRPr>
          </a:p>
        </c:rich>
      </c:tx>
      <c:layout>
        <c:manualLayout>
          <c:xMode val="edge"/>
          <c:yMode val="edge"/>
          <c:x val="0.00102052135330006"/>
          <c:y val="0.902282845494453"/>
        </c:manualLayout>
      </c:layout>
      <c:overlay val="1"/>
    </c:title>
    <c:autoTitleDeleted val="0"/>
    <c:plotArea>
      <c:layout>
        <c:manualLayout>
          <c:layoutTarget val="inner"/>
          <c:xMode val="edge"/>
          <c:yMode val="edge"/>
          <c:x val="0.0742891331595198"/>
          <c:y val="0.0222923029396893"/>
          <c:w val="0.841817268681681"/>
          <c:h val="0.768147048316386"/>
        </c:manualLayout>
      </c:layout>
      <c:lineChart>
        <c:grouping val="standard"/>
        <c:varyColors val="0"/>
        <c:ser>
          <c:idx val="2"/>
          <c:order val="2"/>
          <c:tx>
            <c:strRef>
              <c:f>Sheet2!$D$2</c:f>
              <c:strCache>
                <c:ptCount val="1"/>
                <c:pt idx="0">
                  <c:v>Monetary policy rate</c:v>
                </c:pt>
              </c:strCache>
            </c:strRef>
          </c:tx>
          <c:marker>
            <c:symbol val="none"/>
          </c:marker>
          <c:dLbls>
            <c:delete val="1"/>
          </c:dLbls>
          <c:cat>
            <c:numRef>
              <c:f>Sheet2!$A$3:$A$40</c:f>
              <c:numCache>
                <c:formatCode>General</c:formatCode>
                <c:ptCount val="38"/>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pt idx="36">
                  <c:v>2021</c:v>
                </c:pt>
                <c:pt idx="37">
                  <c:v>2022</c:v>
                </c:pt>
              </c:numCache>
            </c:numRef>
          </c:cat>
          <c:val>
            <c:numRef>
              <c:f>Sheet2!$D$3:$D$40</c:f>
              <c:numCache>
                <c:formatCode>General</c:formatCode>
                <c:ptCount val="38"/>
                <c:pt idx="0">
                  <c:v>10</c:v>
                </c:pt>
                <c:pt idx="1">
                  <c:v>10</c:v>
                </c:pt>
                <c:pt idx="2">
                  <c:v>12.75</c:v>
                </c:pt>
                <c:pt idx="3">
                  <c:v>12.75</c:v>
                </c:pt>
                <c:pt idx="4">
                  <c:v>18.5</c:v>
                </c:pt>
                <c:pt idx="5">
                  <c:v>18.5</c:v>
                </c:pt>
                <c:pt idx="6">
                  <c:v>15.5</c:v>
                </c:pt>
                <c:pt idx="7">
                  <c:v>17.5</c:v>
                </c:pt>
                <c:pt idx="8">
                  <c:v>26</c:v>
                </c:pt>
                <c:pt idx="9">
                  <c:v>13.5</c:v>
                </c:pt>
                <c:pt idx="10">
                  <c:v>13.5</c:v>
                </c:pt>
                <c:pt idx="11">
                  <c:v>13.5</c:v>
                </c:pt>
                <c:pt idx="12">
                  <c:v>13.5</c:v>
                </c:pt>
                <c:pt idx="13">
                  <c:v>13.5</c:v>
                </c:pt>
                <c:pt idx="14">
                  <c:v>18</c:v>
                </c:pt>
                <c:pt idx="15">
                  <c:v>14</c:v>
                </c:pt>
                <c:pt idx="16">
                  <c:v>20.5</c:v>
                </c:pt>
                <c:pt idx="17">
                  <c:v>16.5</c:v>
                </c:pt>
                <c:pt idx="18">
                  <c:v>15</c:v>
                </c:pt>
                <c:pt idx="19">
                  <c:v>15</c:v>
                </c:pt>
                <c:pt idx="20">
                  <c:v>13</c:v>
                </c:pt>
                <c:pt idx="21">
                  <c:v>10</c:v>
                </c:pt>
                <c:pt idx="22">
                  <c:v>9.5</c:v>
                </c:pt>
                <c:pt idx="23">
                  <c:v>9.75</c:v>
                </c:pt>
                <c:pt idx="24">
                  <c:v>6</c:v>
                </c:pt>
                <c:pt idx="25">
                  <c:v>6.25</c:v>
                </c:pt>
                <c:pt idx="26">
                  <c:v>12</c:v>
                </c:pt>
                <c:pt idx="27">
                  <c:v>12</c:v>
                </c:pt>
                <c:pt idx="28">
                  <c:v>12</c:v>
                </c:pt>
                <c:pt idx="29">
                  <c:v>13</c:v>
                </c:pt>
                <c:pt idx="30">
                  <c:v>11</c:v>
                </c:pt>
                <c:pt idx="31">
                  <c:v>14</c:v>
                </c:pt>
                <c:pt idx="32">
                  <c:v>14</c:v>
                </c:pt>
                <c:pt idx="33">
                  <c:v>14</c:v>
                </c:pt>
                <c:pt idx="34">
                  <c:v>13.5</c:v>
                </c:pt>
                <c:pt idx="35">
                  <c:v>11.5</c:v>
                </c:pt>
                <c:pt idx="36">
                  <c:v>11.5</c:v>
                </c:pt>
                <c:pt idx="37">
                  <c:v>16.5</c:v>
                </c:pt>
              </c:numCache>
            </c:numRef>
          </c:val>
          <c:smooth val="0"/>
        </c:ser>
        <c:ser>
          <c:idx val="3"/>
          <c:order val="3"/>
          <c:tx>
            <c:strRef>
              <c:f>Sheet2!$E$2</c:f>
              <c:strCache>
                <c:ptCount val="1"/>
                <c:pt idx="0">
                  <c:v>Treasury bill rate</c:v>
                </c:pt>
              </c:strCache>
            </c:strRef>
          </c:tx>
          <c:marker>
            <c:symbol val="none"/>
          </c:marker>
          <c:dLbls>
            <c:delete val="1"/>
          </c:dLbls>
          <c:cat>
            <c:numRef>
              <c:f>Sheet2!$A$3:$A$40</c:f>
              <c:numCache>
                <c:formatCode>General</c:formatCode>
                <c:ptCount val="38"/>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pt idx="36">
                  <c:v>2021</c:v>
                </c:pt>
                <c:pt idx="37">
                  <c:v>2022</c:v>
                </c:pt>
              </c:numCache>
            </c:numRef>
          </c:cat>
          <c:val>
            <c:numRef>
              <c:f>Sheet2!$E$3:$E$40</c:f>
              <c:numCache>
                <c:formatCode>General</c:formatCode>
                <c:ptCount val="38"/>
                <c:pt idx="0">
                  <c:v>8.5</c:v>
                </c:pt>
                <c:pt idx="1">
                  <c:v>8.5</c:v>
                </c:pt>
                <c:pt idx="2">
                  <c:v>11.75</c:v>
                </c:pt>
                <c:pt idx="3">
                  <c:v>11.75</c:v>
                </c:pt>
                <c:pt idx="4">
                  <c:v>17.5</c:v>
                </c:pt>
                <c:pt idx="5">
                  <c:v>17.5</c:v>
                </c:pt>
                <c:pt idx="6">
                  <c:v>15</c:v>
                </c:pt>
                <c:pt idx="7">
                  <c:v>21</c:v>
                </c:pt>
                <c:pt idx="8">
                  <c:v>26.9</c:v>
                </c:pt>
                <c:pt idx="9">
                  <c:v>12.5</c:v>
                </c:pt>
                <c:pt idx="10">
                  <c:v>12.5</c:v>
                </c:pt>
                <c:pt idx="11">
                  <c:v>12.25</c:v>
                </c:pt>
                <c:pt idx="12">
                  <c:v>12</c:v>
                </c:pt>
                <c:pt idx="13" c:formatCode="0.000">
                  <c:v>12.9508344923505</c:v>
                </c:pt>
                <c:pt idx="14">
                  <c:v>17</c:v>
                </c:pt>
                <c:pt idx="15">
                  <c:v>12</c:v>
                </c:pt>
                <c:pt idx="16" c:formatCode="0.000">
                  <c:v>12.9508344923505</c:v>
                </c:pt>
                <c:pt idx="17">
                  <c:v>18.88</c:v>
                </c:pt>
                <c:pt idx="18">
                  <c:v>15.02</c:v>
                </c:pt>
                <c:pt idx="19">
                  <c:v>14.21</c:v>
                </c:pt>
                <c:pt idx="20">
                  <c:v>6.995</c:v>
                </c:pt>
                <c:pt idx="21">
                  <c:v>8.8</c:v>
                </c:pt>
                <c:pt idx="22">
                  <c:v>6.91</c:v>
                </c:pt>
                <c:pt idx="23">
                  <c:v>7.025</c:v>
                </c:pt>
                <c:pt idx="24">
                  <c:v>3.715</c:v>
                </c:pt>
                <c:pt idx="25">
                  <c:v>5.575</c:v>
                </c:pt>
                <c:pt idx="26">
                  <c:v>11.13</c:v>
                </c:pt>
                <c:pt idx="27">
                  <c:v>13.6</c:v>
                </c:pt>
                <c:pt idx="28">
                  <c:v>10.42</c:v>
                </c:pt>
                <c:pt idx="29">
                  <c:v>11.995</c:v>
                </c:pt>
                <c:pt idx="30">
                  <c:v>9.14</c:v>
                </c:pt>
                <c:pt idx="31">
                  <c:v>10.75</c:v>
                </c:pt>
                <c:pt idx="32">
                  <c:v>13.99</c:v>
                </c:pt>
                <c:pt idx="33">
                  <c:v>12.175</c:v>
                </c:pt>
                <c:pt idx="34">
                  <c:v>9.5</c:v>
                </c:pt>
                <c:pt idx="35">
                  <c:v>3.17</c:v>
                </c:pt>
                <c:pt idx="36">
                  <c:v>5.015</c:v>
                </c:pt>
                <c:pt idx="37">
                  <c:v>8.22</c:v>
                </c:pt>
              </c:numCache>
            </c:numRef>
          </c:val>
          <c:smooth val="0"/>
        </c:ser>
        <c:ser>
          <c:idx val="4"/>
          <c:order val="4"/>
          <c:tx>
            <c:strRef>
              <c:f>Sheet2!$F$2</c:f>
              <c:strCache>
                <c:ptCount val="1"/>
                <c:pt idx="0">
                  <c:v>12 months deposit rate</c:v>
                </c:pt>
              </c:strCache>
            </c:strRef>
          </c:tx>
          <c:marker>
            <c:symbol val="none"/>
          </c:marker>
          <c:dLbls>
            <c:delete val="1"/>
          </c:dLbls>
          <c:cat>
            <c:numRef>
              <c:f>Sheet2!$A$3:$A$40</c:f>
              <c:numCache>
                <c:formatCode>General</c:formatCode>
                <c:ptCount val="38"/>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pt idx="36">
                  <c:v>2021</c:v>
                </c:pt>
                <c:pt idx="37">
                  <c:v>2022</c:v>
                </c:pt>
              </c:numCache>
            </c:numRef>
          </c:cat>
          <c:val>
            <c:numRef>
              <c:f>Sheet2!$F$3:$F$40</c:f>
              <c:numCache>
                <c:formatCode>0.000</c:formatCode>
                <c:ptCount val="38"/>
                <c:pt idx="0">
                  <c:v>9.75</c:v>
                </c:pt>
                <c:pt idx="1">
                  <c:v>9.83333333333334</c:v>
                </c:pt>
                <c:pt idx="2">
                  <c:v>13.6166666666667</c:v>
                </c:pt>
                <c:pt idx="3">
                  <c:v>14.025</c:v>
                </c:pt>
                <c:pt idx="4">
                  <c:v>16.4166666666667</c:v>
                </c:pt>
                <c:pt idx="5">
                  <c:v>21.7453703703703</c:v>
                </c:pt>
                <c:pt idx="6">
                  <c:v>16.5404320987654</c:v>
                </c:pt>
                <c:pt idx="7">
                  <c:v>19.6024691358024</c:v>
                </c:pt>
                <c:pt idx="8">
                  <c:v>25.6447530864197</c:v>
                </c:pt>
                <c:pt idx="9">
                  <c:v>13.6925925925926</c:v>
                </c:pt>
                <c:pt idx="10">
                  <c:v>13.8966049382716</c:v>
                </c:pt>
                <c:pt idx="11">
                  <c:v>13.5817901234568</c:v>
                </c:pt>
                <c:pt idx="12">
                  <c:v>7.93518518518518</c:v>
                </c:pt>
                <c:pt idx="13">
                  <c:v>9.9395061728395</c:v>
                </c:pt>
                <c:pt idx="14">
                  <c:v>12.1825</c:v>
                </c:pt>
                <c:pt idx="15">
                  <c:v>12.0633333333333</c:v>
                </c:pt>
                <c:pt idx="16">
                  <c:v>16.2966666666667</c:v>
                </c:pt>
                <c:pt idx="17">
                  <c:v>16.495</c:v>
                </c:pt>
                <c:pt idx="18">
                  <c:v>13.0375</c:v>
                </c:pt>
                <c:pt idx="19">
                  <c:v>13.3208333333333</c:v>
                </c:pt>
                <c:pt idx="20">
                  <c:v>10.8191666666667</c:v>
                </c:pt>
                <c:pt idx="21">
                  <c:v>8.35315530084552</c:v>
                </c:pt>
                <c:pt idx="22">
                  <c:v>8.10242606365368</c:v>
                </c:pt>
                <c:pt idx="23">
                  <c:v>11.778269774884</c:v>
                </c:pt>
                <c:pt idx="24">
                  <c:v>12.8483333333333</c:v>
                </c:pt>
                <c:pt idx="25">
                  <c:v>5.67</c:v>
                </c:pt>
                <c:pt idx="26">
                  <c:v>4.705</c:v>
                </c:pt>
                <c:pt idx="27">
                  <c:v>7.18</c:v>
                </c:pt>
                <c:pt idx="28">
                  <c:v>5.535</c:v>
                </c:pt>
                <c:pt idx="29">
                  <c:v>9.15886330410752</c:v>
                </c:pt>
                <c:pt idx="30">
                  <c:v>8.67763570546295</c:v>
                </c:pt>
                <c:pt idx="31">
                  <c:v>6.22108965239455</c:v>
                </c:pt>
                <c:pt idx="32">
                  <c:v>10.8652599918347</c:v>
                </c:pt>
                <c:pt idx="33">
                  <c:v>10.3058661474344</c:v>
                </c:pt>
                <c:pt idx="34">
                  <c:v>10.14847813375</c:v>
                </c:pt>
                <c:pt idx="35">
                  <c:v>6.50865270377501</c:v>
                </c:pt>
                <c:pt idx="36">
                  <c:v>6.24805154802229</c:v>
                </c:pt>
                <c:pt idx="37">
                  <c:v>6.62</c:v>
                </c:pt>
              </c:numCache>
            </c:numRef>
          </c:val>
          <c:smooth val="0"/>
        </c:ser>
        <c:dLbls>
          <c:showLegendKey val="0"/>
          <c:showVal val="0"/>
          <c:showCatName val="0"/>
          <c:showSerName val="0"/>
          <c:showPercent val="0"/>
          <c:showBubbleSize val="0"/>
        </c:dLbls>
        <c:marker val="0"/>
        <c:smooth val="0"/>
        <c:axId val="354405904"/>
        <c:axId val="354412176"/>
      </c:lineChart>
      <c:lineChart>
        <c:grouping val="standard"/>
        <c:varyColors val="0"/>
        <c:ser>
          <c:idx val="0"/>
          <c:order val="0"/>
          <c:tx>
            <c:strRef>
              <c:f>Sheet2!$B$2</c:f>
              <c:strCache>
                <c:ptCount val="1"/>
                <c:pt idx="0">
                  <c:v>Life expectancy at birth, total (years)</c:v>
                </c:pt>
              </c:strCache>
            </c:strRef>
          </c:tx>
          <c:marker>
            <c:symbol val="none"/>
          </c:marker>
          <c:dLbls>
            <c:delete val="1"/>
          </c:dLbls>
          <c:cat>
            <c:numRef>
              <c:f>Sheet2!$A$3:$A$40</c:f>
              <c:numCache>
                <c:formatCode>General</c:formatCode>
                <c:ptCount val="38"/>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pt idx="36">
                  <c:v>2021</c:v>
                </c:pt>
                <c:pt idx="37">
                  <c:v>2022</c:v>
                </c:pt>
              </c:numCache>
            </c:numRef>
          </c:cat>
          <c:val>
            <c:numRef>
              <c:f>Sheet2!$B$3:$B$40</c:f>
              <c:numCache>
                <c:formatCode>General</c:formatCode>
                <c:ptCount val="38"/>
                <c:pt idx="0">
                  <c:v>46.317</c:v>
                </c:pt>
                <c:pt idx="1">
                  <c:v>45.975</c:v>
                </c:pt>
                <c:pt idx="2">
                  <c:v>46.018</c:v>
                </c:pt>
                <c:pt idx="3">
                  <c:v>46.072</c:v>
                </c:pt>
                <c:pt idx="4">
                  <c:v>46.182</c:v>
                </c:pt>
                <c:pt idx="5">
                  <c:v>46.037</c:v>
                </c:pt>
                <c:pt idx="6">
                  <c:v>45.691</c:v>
                </c:pt>
                <c:pt idx="7">
                  <c:v>45.668</c:v>
                </c:pt>
                <c:pt idx="8">
                  <c:v>45.788</c:v>
                </c:pt>
                <c:pt idx="9">
                  <c:v>45.513</c:v>
                </c:pt>
                <c:pt idx="10">
                  <c:v>45.487</c:v>
                </c:pt>
                <c:pt idx="11">
                  <c:v>45.567</c:v>
                </c:pt>
                <c:pt idx="12">
                  <c:v>45.792</c:v>
                </c:pt>
                <c:pt idx="13">
                  <c:v>46.036</c:v>
                </c:pt>
                <c:pt idx="14">
                  <c:v>46.614</c:v>
                </c:pt>
                <c:pt idx="15">
                  <c:v>47.193</c:v>
                </c:pt>
                <c:pt idx="16">
                  <c:v>47.619</c:v>
                </c:pt>
                <c:pt idx="17">
                  <c:v>47.928</c:v>
                </c:pt>
                <c:pt idx="18">
                  <c:v>48.441</c:v>
                </c:pt>
                <c:pt idx="19">
                  <c:v>48.767</c:v>
                </c:pt>
                <c:pt idx="20">
                  <c:v>49.297</c:v>
                </c:pt>
                <c:pt idx="21">
                  <c:v>49.73</c:v>
                </c:pt>
                <c:pt idx="22">
                  <c:v>50.033</c:v>
                </c:pt>
                <c:pt idx="23">
                  <c:v>50.225</c:v>
                </c:pt>
                <c:pt idx="24">
                  <c:v>50.712</c:v>
                </c:pt>
                <c:pt idx="25">
                  <c:v>50.945</c:v>
                </c:pt>
                <c:pt idx="26">
                  <c:v>51.357</c:v>
                </c:pt>
                <c:pt idx="27">
                  <c:v>51.497</c:v>
                </c:pt>
                <c:pt idx="28">
                  <c:v>51.707</c:v>
                </c:pt>
                <c:pt idx="29">
                  <c:v>51.791</c:v>
                </c:pt>
                <c:pt idx="30">
                  <c:v>51.841</c:v>
                </c:pt>
                <c:pt idx="31">
                  <c:v>52.043</c:v>
                </c:pt>
                <c:pt idx="32">
                  <c:v>52.305</c:v>
                </c:pt>
                <c:pt idx="33">
                  <c:v>52.554</c:v>
                </c:pt>
                <c:pt idx="34">
                  <c:v>52.91</c:v>
                </c:pt>
                <c:pt idx="35">
                  <c:v>52.887</c:v>
                </c:pt>
                <c:pt idx="36">
                  <c:v>52.676</c:v>
                </c:pt>
                <c:pt idx="37">
                  <c:v>52.676</c:v>
                </c:pt>
              </c:numCache>
            </c:numRef>
          </c:val>
          <c:smooth val="0"/>
        </c:ser>
        <c:ser>
          <c:idx val="1"/>
          <c:order val="1"/>
          <c:tx>
            <c:strRef>
              <c:f>Sheet2!$C$2</c:f>
              <c:strCache>
                <c:ptCount val="1"/>
                <c:pt idx="0">
                  <c:v>Mortality rate, under-5 (per 1,000 live births)</c:v>
                </c:pt>
              </c:strCache>
            </c:strRef>
          </c:tx>
          <c:marker>
            <c:symbol val="none"/>
          </c:marker>
          <c:dLbls>
            <c:delete val="1"/>
          </c:dLbls>
          <c:cat>
            <c:numRef>
              <c:f>Sheet2!$A$3:$A$40</c:f>
              <c:numCache>
                <c:formatCode>General</c:formatCode>
                <c:ptCount val="38"/>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pt idx="36">
                  <c:v>2021</c:v>
                </c:pt>
                <c:pt idx="37">
                  <c:v>2022</c:v>
                </c:pt>
              </c:numCache>
            </c:numRef>
          </c:cat>
          <c:val>
            <c:numRef>
              <c:f>Sheet2!$C$3:$C$40</c:f>
              <c:numCache>
                <c:formatCode>General</c:formatCode>
                <c:ptCount val="38"/>
                <c:pt idx="0">
                  <c:v>207.2</c:v>
                </c:pt>
                <c:pt idx="1">
                  <c:v>208.1</c:v>
                </c:pt>
                <c:pt idx="2">
                  <c:v>209</c:v>
                </c:pt>
                <c:pt idx="3">
                  <c:v>209.4</c:v>
                </c:pt>
                <c:pt idx="4">
                  <c:v>209.6</c:v>
                </c:pt>
                <c:pt idx="5">
                  <c:v>209.3</c:v>
                </c:pt>
                <c:pt idx="6">
                  <c:v>208.8</c:v>
                </c:pt>
                <c:pt idx="7">
                  <c:v>208.1</c:v>
                </c:pt>
                <c:pt idx="8">
                  <c:v>207.2</c:v>
                </c:pt>
                <c:pt idx="9">
                  <c:v>205.7</c:v>
                </c:pt>
                <c:pt idx="10">
                  <c:v>203.7</c:v>
                </c:pt>
                <c:pt idx="11">
                  <c:v>201</c:v>
                </c:pt>
                <c:pt idx="12">
                  <c:v>197.2</c:v>
                </c:pt>
                <c:pt idx="13">
                  <c:v>192.8</c:v>
                </c:pt>
                <c:pt idx="14">
                  <c:v>187.7</c:v>
                </c:pt>
                <c:pt idx="15">
                  <c:v>182.4</c:v>
                </c:pt>
                <c:pt idx="16">
                  <c:v>177</c:v>
                </c:pt>
                <c:pt idx="17">
                  <c:v>171.4</c:v>
                </c:pt>
                <c:pt idx="18">
                  <c:v>165.8</c:v>
                </c:pt>
                <c:pt idx="19">
                  <c:v>160.4</c:v>
                </c:pt>
                <c:pt idx="20">
                  <c:v>155.1</c:v>
                </c:pt>
                <c:pt idx="21">
                  <c:v>150.2</c:v>
                </c:pt>
                <c:pt idx="22">
                  <c:v>145.8</c:v>
                </c:pt>
                <c:pt idx="23">
                  <c:v>141.9</c:v>
                </c:pt>
                <c:pt idx="24">
                  <c:v>138.5</c:v>
                </c:pt>
                <c:pt idx="25">
                  <c:v>135.7</c:v>
                </c:pt>
                <c:pt idx="26">
                  <c:v>133.4</c:v>
                </c:pt>
                <c:pt idx="27">
                  <c:v>131.4</c:v>
                </c:pt>
                <c:pt idx="28">
                  <c:v>129.6</c:v>
                </c:pt>
                <c:pt idx="29">
                  <c:v>128</c:v>
                </c:pt>
                <c:pt idx="30">
                  <c:v>126.4</c:v>
                </c:pt>
                <c:pt idx="31">
                  <c:v>124.7</c:v>
                </c:pt>
                <c:pt idx="32">
                  <c:v>122.4</c:v>
                </c:pt>
                <c:pt idx="33">
                  <c:v>119.6</c:v>
                </c:pt>
                <c:pt idx="34">
                  <c:v>116.8</c:v>
                </c:pt>
                <c:pt idx="35">
                  <c:v>113.8</c:v>
                </c:pt>
                <c:pt idx="36">
                  <c:v>110.8</c:v>
                </c:pt>
                <c:pt idx="37">
                  <c:v>110.8</c:v>
                </c:pt>
              </c:numCache>
            </c:numRef>
          </c:val>
          <c:smooth val="0"/>
        </c:ser>
        <c:dLbls>
          <c:showLegendKey val="0"/>
          <c:showVal val="0"/>
          <c:showCatName val="0"/>
          <c:showSerName val="0"/>
          <c:showPercent val="0"/>
          <c:showBubbleSize val="0"/>
        </c:dLbls>
        <c:marker val="0"/>
        <c:smooth val="0"/>
        <c:axId val="354408648"/>
        <c:axId val="354412568"/>
      </c:lineChart>
      <c:catAx>
        <c:axId val="354405904"/>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b="0"/>
                  <a:t>Years</a:t>
                </a:r>
                <a:endParaRPr lang="en-US" b="0"/>
              </a:p>
            </c:rich>
          </c:tx>
          <c:layout>
            <c:manualLayout>
              <c:xMode val="edge"/>
              <c:yMode val="edge"/>
              <c:x val="0.901498377594648"/>
              <c:y val="0.85313231851801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54412176"/>
        <c:crosses val="autoZero"/>
        <c:auto val="1"/>
        <c:lblAlgn val="ctr"/>
        <c:lblOffset val="100"/>
        <c:noMultiLvlLbl val="0"/>
      </c:catAx>
      <c:valAx>
        <c:axId val="354412176"/>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b="0"/>
                  <a:t>MPR,</a:t>
                </a:r>
                <a:r>
                  <a:rPr lang="en-US" b="0" baseline="0"/>
                  <a:t> Treasury bill rate, 12 month deposit rate</a:t>
                </a:r>
                <a:endParaRPr lang="en-US" b="0"/>
              </a:p>
            </c:rich>
          </c:tx>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54405904"/>
        <c:crosses val="autoZero"/>
        <c:crossBetween val="between"/>
      </c:valAx>
      <c:catAx>
        <c:axId val="354408648"/>
        <c:scaling>
          <c:orientation val="minMax"/>
        </c:scaling>
        <c:delete val="1"/>
        <c:axPos val="b"/>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54412568"/>
        <c:crosses val="autoZero"/>
        <c:auto val="1"/>
        <c:lblAlgn val="ctr"/>
        <c:lblOffset val="100"/>
        <c:noMultiLvlLbl val="0"/>
      </c:catAx>
      <c:valAx>
        <c:axId val="354412568"/>
        <c:scaling>
          <c:orientation val="minMax"/>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b="0"/>
                  <a:t>Life</a:t>
                </a:r>
                <a:r>
                  <a:rPr lang="en-US" b="0" baseline="0"/>
                  <a:t> expectancy, Child mortality</a:t>
                </a:r>
                <a:endParaRPr lang="en-US" b="0"/>
              </a:p>
            </c:rich>
          </c:tx>
          <c:layout>
            <c:manualLayout>
              <c:xMode val="edge"/>
              <c:yMode val="edge"/>
              <c:x val="0.96626724488058"/>
              <c:y val="0.216807617500416"/>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54408648"/>
        <c:crosses val="max"/>
        <c:crossBetween val="between"/>
      </c:valAx>
    </c:plotArea>
    <c:legend>
      <c:legendPos val="r"/>
      <c:layout>
        <c:manualLayout>
          <c:xMode val="edge"/>
          <c:yMode val="edge"/>
          <c:x val="0.412501299234435"/>
          <c:y val="0.030779842295375"/>
          <c:w val="0.50097623820317"/>
          <c:h val="0.317207545476563"/>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en-US"/>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l">
              <a:defRPr lang="en-US" sz="1800" b="1" i="0" u="none" strike="noStrike" kern="1200" baseline="0">
                <a:solidFill>
                  <a:schemeClr val="tx1"/>
                </a:solidFill>
                <a:latin typeface="+mn-lt"/>
                <a:ea typeface="+mn-ea"/>
                <a:cs typeface="+mn-cs"/>
              </a:defRPr>
            </a:pPr>
            <a:r>
              <a:rPr lang="en-US" sz="1100" b="1" i="0" baseline="0">
                <a:latin typeface="Times New Roman" panose="02020603050405020304" charset="0"/>
                <a:cs typeface="Times New Roman" panose="02020603050405020304" charset="0"/>
              </a:rPr>
              <a:t>Figure 4.2: </a:t>
            </a:r>
            <a:r>
              <a:rPr lang="en-US" sz="1100" b="0" i="0" baseline="0">
                <a:latin typeface="Times New Roman" panose="02020603050405020304" charset="0"/>
                <a:cs typeface="Times New Roman" panose="02020603050405020304" charset="0"/>
              </a:rPr>
              <a:t>Bank sector  development and health outcomes</a:t>
            </a:r>
            <a:endParaRPr lang="en-US" sz="1100">
              <a:latin typeface="Times New Roman" panose="02020603050405020304" charset="0"/>
              <a:cs typeface="Times New Roman" panose="02020603050405020304" charset="0"/>
            </a:endParaRPr>
          </a:p>
          <a:p>
            <a:pPr algn="l">
              <a:defRPr lang="en-US" sz="1800" b="1" i="0" u="none" strike="noStrike" kern="1200" baseline="0">
                <a:solidFill>
                  <a:schemeClr val="tx1"/>
                </a:solidFill>
                <a:latin typeface="+mn-lt"/>
                <a:ea typeface="+mn-ea"/>
                <a:cs typeface="+mn-cs"/>
              </a:defRPr>
            </a:pPr>
            <a:r>
              <a:rPr lang="en-US" sz="1100" b="1" i="0" baseline="0">
                <a:latin typeface="Times New Roman" panose="02020603050405020304" charset="0"/>
                <a:cs typeface="Times New Roman" panose="02020603050405020304" charset="0"/>
              </a:rPr>
              <a:t>Source: </a:t>
            </a:r>
            <a:r>
              <a:rPr lang="en-US" sz="1100" b="0" i="0" baseline="0">
                <a:latin typeface="Times New Roman" panose="02020603050405020304" charset="0"/>
                <a:cs typeface="Times New Roman" panose="02020603050405020304" charset="0"/>
              </a:rPr>
              <a:t>Auhor's computation (2023)</a:t>
            </a:r>
            <a:endParaRPr lang="en-US" sz="1100" b="0" i="0" baseline="0">
              <a:latin typeface="Times New Roman" panose="02020603050405020304" charset="0"/>
              <a:cs typeface="Times New Roman" panose="02020603050405020304" charset="0"/>
            </a:endParaRPr>
          </a:p>
        </c:rich>
      </c:tx>
      <c:layout>
        <c:manualLayout>
          <c:xMode val="edge"/>
          <c:yMode val="edge"/>
          <c:x val="0.00102052135330006"/>
          <c:y val="0.895726495726496"/>
        </c:manualLayout>
      </c:layout>
      <c:overlay val="1"/>
    </c:title>
    <c:autoTitleDeleted val="0"/>
    <c:plotArea>
      <c:layout>
        <c:manualLayout>
          <c:layoutTarget val="inner"/>
          <c:xMode val="edge"/>
          <c:yMode val="edge"/>
          <c:x val="0.0787261825216939"/>
          <c:y val="0.0379573322565449"/>
          <c:w val="0.834083875954774"/>
          <c:h val="0.735560131906589"/>
        </c:manualLayout>
      </c:layout>
      <c:lineChart>
        <c:grouping val="standard"/>
        <c:varyColors val="0"/>
        <c:ser>
          <c:idx val="2"/>
          <c:order val="2"/>
          <c:tx>
            <c:strRef>
              <c:f>Sheet2!$I$2</c:f>
              <c:strCache>
                <c:ptCount val="1"/>
                <c:pt idx="0">
                  <c:v> Liquidity Ratio</c:v>
                </c:pt>
              </c:strCache>
            </c:strRef>
          </c:tx>
          <c:marker>
            <c:symbol val="none"/>
          </c:marker>
          <c:dLbls>
            <c:delete val="1"/>
          </c:dLbls>
          <c:cat>
            <c:numRef>
              <c:f>Sheet2!$A$3:$A$40</c:f>
              <c:numCache>
                <c:formatCode>General</c:formatCode>
                <c:ptCount val="38"/>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pt idx="36">
                  <c:v>2021</c:v>
                </c:pt>
                <c:pt idx="37">
                  <c:v>2022</c:v>
                </c:pt>
              </c:numCache>
            </c:numRef>
          </c:cat>
          <c:val>
            <c:numRef>
              <c:f>Sheet2!$I$3:$I$40</c:f>
              <c:numCache>
                <c:formatCode>General</c:formatCode>
                <c:ptCount val="38"/>
                <c:pt idx="0">
                  <c:v>65</c:v>
                </c:pt>
                <c:pt idx="1">
                  <c:v>36.4</c:v>
                </c:pt>
                <c:pt idx="2">
                  <c:v>46.5</c:v>
                </c:pt>
                <c:pt idx="3">
                  <c:v>45</c:v>
                </c:pt>
                <c:pt idx="4">
                  <c:v>40.3</c:v>
                </c:pt>
                <c:pt idx="5">
                  <c:v>44.3</c:v>
                </c:pt>
                <c:pt idx="6">
                  <c:v>38.6</c:v>
                </c:pt>
                <c:pt idx="7">
                  <c:v>29.1</c:v>
                </c:pt>
                <c:pt idx="8">
                  <c:v>42.2</c:v>
                </c:pt>
                <c:pt idx="9">
                  <c:v>48.5</c:v>
                </c:pt>
                <c:pt idx="10">
                  <c:v>33.1</c:v>
                </c:pt>
                <c:pt idx="11">
                  <c:v>43.1</c:v>
                </c:pt>
                <c:pt idx="12">
                  <c:v>40.2</c:v>
                </c:pt>
                <c:pt idx="13">
                  <c:v>46.8</c:v>
                </c:pt>
                <c:pt idx="14">
                  <c:v>61</c:v>
                </c:pt>
                <c:pt idx="15">
                  <c:v>64.1</c:v>
                </c:pt>
                <c:pt idx="16">
                  <c:v>52.9</c:v>
                </c:pt>
                <c:pt idx="17">
                  <c:v>52.45</c:v>
                </c:pt>
                <c:pt idx="18">
                  <c:v>50.9</c:v>
                </c:pt>
                <c:pt idx="19">
                  <c:v>50.475</c:v>
                </c:pt>
                <c:pt idx="20">
                  <c:v>50.175</c:v>
                </c:pt>
                <c:pt idx="21" c:formatCode="0.000">
                  <c:v>81.420322771215</c:v>
                </c:pt>
                <c:pt idx="22" c:formatCode="0.000">
                  <c:v>41.5551634809891</c:v>
                </c:pt>
                <c:pt idx="23" c:formatCode="0.000">
                  <c:v>37.7155027554489</c:v>
                </c:pt>
                <c:pt idx="24" c:formatCode="0.000">
                  <c:v>26.3927599859084</c:v>
                </c:pt>
                <c:pt idx="25" c:formatCode="0.000">
                  <c:v>27.3894500343234</c:v>
                </c:pt>
                <c:pt idx="26">
                  <c:v>42.02</c:v>
                </c:pt>
                <c:pt idx="27" c:formatCode="0.000">
                  <c:v>49.7187220950035</c:v>
                </c:pt>
                <c:pt idx="28" c:formatCode="0.000">
                  <c:v>46.2347129898395</c:v>
                </c:pt>
                <c:pt idx="29" c:formatCode="0.000">
                  <c:v>38.2665494923308</c:v>
                </c:pt>
                <c:pt idx="30" c:formatCode="0.000">
                  <c:v>42.3471468479205</c:v>
                </c:pt>
                <c:pt idx="31">
                  <c:v>45.95</c:v>
                </c:pt>
                <c:pt idx="32" c:formatCode="0.000">
                  <c:v>54.7896991420954</c:v>
                </c:pt>
                <c:pt idx="33" c:formatCode="0.000">
                  <c:v>65.0440239278119</c:v>
                </c:pt>
                <c:pt idx="34" c:formatCode="0.000">
                  <c:v>104.202356829453</c:v>
                </c:pt>
                <c:pt idx="35" c:formatCode="0.000">
                  <c:v>67.5985367805213</c:v>
                </c:pt>
                <c:pt idx="36">
                  <c:v>61.195</c:v>
                </c:pt>
                <c:pt idx="37" c:formatCode="0.000">
                  <c:v>54.9340866587266</c:v>
                </c:pt>
              </c:numCache>
            </c:numRef>
          </c:val>
          <c:smooth val="0"/>
        </c:ser>
        <c:ser>
          <c:idx val="3"/>
          <c:order val="3"/>
          <c:tx>
            <c:strRef>
              <c:f>Sheet2!$J$2</c:f>
              <c:strCache>
                <c:ptCount val="1"/>
                <c:pt idx="0">
                  <c:v>Loan to Deposit Ratio</c:v>
                </c:pt>
              </c:strCache>
            </c:strRef>
          </c:tx>
          <c:marker>
            <c:symbol val="none"/>
          </c:marker>
          <c:dLbls>
            <c:delete val="1"/>
          </c:dLbls>
          <c:cat>
            <c:numRef>
              <c:f>Sheet2!$A$3:$A$40</c:f>
              <c:numCache>
                <c:formatCode>General</c:formatCode>
                <c:ptCount val="38"/>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pt idx="36">
                  <c:v>2021</c:v>
                </c:pt>
                <c:pt idx="37">
                  <c:v>2022</c:v>
                </c:pt>
              </c:numCache>
            </c:numRef>
          </c:cat>
          <c:val>
            <c:numRef>
              <c:f>Sheet2!$J$3:$J$40</c:f>
              <c:numCache>
                <c:formatCode>General</c:formatCode>
                <c:ptCount val="38"/>
                <c:pt idx="0">
                  <c:v>66.9</c:v>
                </c:pt>
                <c:pt idx="1">
                  <c:v>83.2</c:v>
                </c:pt>
                <c:pt idx="2">
                  <c:v>72.9</c:v>
                </c:pt>
                <c:pt idx="3">
                  <c:v>66.9</c:v>
                </c:pt>
                <c:pt idx="4">
                  <c:v>80.4</c:v>
                </c:pt>
                <c:pt idx="5">
                  <c:v>66.5</c:v>
                </c:pt>
                <c:pt idx="6">
                  <c:v>59.8</c:v>
                </c:pt>
                <c:pt idx="7">
                  <c:v>55.2</c:v>
                </c:pt>
                <c:pt idx="8">
                  <c:v>42.9</c:v>
                </c:pt>
                <c:pt idx="9">
                  <c:v>60.9</c:v>
                </c:pt>
                <c:pt idx="10">
                  <c:v>73.3</c:v>
                </c:pt>
                <c:pt idx="11">
                  <c:v>72.9</c:v>
                </c:pt>
                <c:pt idx="12">
                  <c:v>76.6</c:v>
                </c:pt>
                <c:pt idx="13">
                  <c:v>74.4</c:v>
                </c:pt>
                <c:pt idx="14">
                  <c:v>54.6</c:v>
                </c:pt>
                <c:pt idx="15">
                  <c:v>51</c:v>
                </c:pt>
                <c:pt idx="16">
                  <c:v>65.625</c:v>
                </c:pt>
                <c:pt idx="17">
                  <c:v>62.775</c:v>
                </c:pt>
                <c:pt idx="18">
                  <c:v>61.85</c:v>
                </c:pt>
                <c:pt idx="19">
                  <c:v>68.625</c:v>
                </c:pt>
                <c:pt idx="20">
                  <c:v>70.8</c:v>
                </c:pt>
                <c:pt idx="21" c:formatCode="0.000">
                  <c:v>96.8170244316813</c:v>
                </c:pt>
                <c:pt idx="22" c:formatCode="0.000">
                  <c:v>83.255715118554</c:v>
                </c:pt>
                <c:pt idx="23" c:formatCode="0.000">
                  <c:v>86.9118360133162</c:v>
                </c:pt>
                <c:pt idx="24" c:formatCode="0.000">
                  <c:v>84.3001218464567</c:v>
                </c:pt>
                <c:pt idx="25" c:formatCode="0.000">
                  <c:v>52.2869209636082</c:v>
                </c:pt>
                <c:pt idx="26" c:formatCode="0.000">
                  <c:v>44.7737172930334</c:v>
                </c:pt>
                <c:pt idx="27" c:formatCode="0.000">
                  <c:v>42.3129179874231</c:v>
                </c:pt>
                <c:pt idx="28" c:formatCode="0.000">
                  <c:v>37.559471074739</c:v>
                </c:pt>
                <c:pt idx="29" c:formatCode="0.000">
                  <c:v>63.606989719487</c:v>
                </c:pt>
                <c:pt idx="30" c:formatCode="0.000">
                  <c:v>69.5776893351789</c:v>
                </c:pt>
                <c:pt idx="31">
                  <c:v>79.95</c:v>
                </c:pt>
                <c:pt idx="32" c:formatCode="0.000">
                  <c:v>72.8413498433837</c:v>
                </c:pt>
                <c:pt idx="33" c:formatCode="0.000">
                  <c:v>60.1625906036949</c:v>
                </c:pt>
                <c:pt idx="34" c:formatCode="0.000">
                  <c:v>58.725688562069</c:v>
                </c:pt>
                <c:pt idx="35" c:formatCode="0.000">
                  <c:v>60.3332161316784</c:v>
                </c:pt>
                <c:pt idx="36" c:formatCode="0.000">
                  <c:v>60.4775</c:v>
                </c:pt>
                <c:pt idx="37" c:formatCode="0.000">
                  <c:v>61.6955459018683</c:v>
                </c:pt>
              </c:numCache>
            </c:numRef>
          </c:val>
          <c:smooth val="0"/>
        </c:ser>
        <c:ser>
          <c:idx val="4"/>
          <c:order val="4"/>
          <c:tx>
            <c:strRef>
              <c:f>Sheet2!$K$2</c:f>
              <c:strCache>
                <c:ptCount val="1"/>
                <c:pt idx="0">
                  <c:v>Domestic credit to private sector to GDP</c:v>
                </c:pt>
              </c:strCache>
            </c:strRef>
          </c:tx>
          <c:marker>
            <c:symbol val="none"/>
          </c:marker>
          <c:dLbls>
            <c:delete val="1"/>
          </c:dLbls>
          <c:cat>
            <c:numRef>
              <c:f>Sheet2!$A$3:$A$40</c:f>
              <c:numCache>
                <c:formatCode>General</c:formatCode>
                <c:ptCount val="38"/>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pt idx="36">
                  <c:v>2021</c:v>
                </c:pt>
                <c:pt idx="37">
                  <c:v>2022</c:v>
                </c:pt>
              </c:numCache>
            </c:numRef>
          </c:cat>
          <c:val>
            <c:numRef>
              <c:f>Sheet2!$K$3:$K$40</c:f>
              <c:numCache>
                <c:formatCode>0.000</c:formatCode>
                <c:ptCount val="38"/>
                <c:pt idx="0">
                  <c:v>6.95857928122267</c:v>
                </c:pt>
                <c:pt idx="1">
                  <c:v>7.69594540318013</c:v>
                </c:pt>
                <c:pt idx="2">
                  <c:v>8.61654943645392</c:v>
                </c:pt>
                <c:pt idx="3">
                  <c:v>8.65813994595071</c:v>
                </c:pt>
                <c:pt idx="4">
                  <c:v>7.32853339242086</c:v>
                </c:pt>
                <c:pt idx="5">
                  <c:v>6.78219533939631</c:v>
                </c:pt>
                <c:pt idx="6">
                  <c:v>7.00818167997066</c:v>
                </c:pt>
                <c:pt idx="7">
                  <c:v>6.41512888194824</c:v>
                </c:pt>
                <c:pt idx="8">
                  <c:v>10.1113786585367</c:v>
                </c:pt>
                <c:pt idx="9">
                  <c:v>8.10859897435419</c:v>
                </c:pt>
                <c:pt idx="10">
                  <c:v>5.80616483929409</c:v>
                </c:pt>
                <c:pt idx="11">
                  <c:v>5.83927450305484</c:v>
                </c:pt>
                <c:pt idx="12">
                  <c:v>7.15609693423308</c:v>
                </c:pt>
                <c:pt idx="13">
                  <c:v>7.32455223320013</c:v>
                </c:pt>
                <c:pt idx="14">
                  <c:v>7.86465686527404</c:v>
                </c:pt>
                <c:pt idx="15">
                  <c:v>7.50944353579808</c:v>
                </c:pt>
                <c:pt idx="16">
                  <c:v>9.28972136603446</c:v>
                </c:pt>
                <c:pt idx="17">
                  <c:v>8.09023116826491</c:v>
                </c:pt>
                <c:pt idx="18">
                  <c:v>8.08835061757785</c:v>
                </c:pt>
                <c:pt idx="19">
                  <c:v>7.84407042793267</c:v>
                </c:pt>
                <c:pt idx="20">
                  <c:v>7.95086734157296</c:v>
                </c:pt>
                <c:pt idx="21">
                  <c:v>7.54108405240913</c:v>
                </c:pt>
                <c:pt idx="22">
                  <c:v>10.5798355530671</c:v>
                </c:pt>
                <c:pt idx="23">
                  <c:v>19.7704713828345</c:v>
                </c:pt>
                <c:pt idx="24">
                  <c:v>22.7548357489118</c:v>
                </c:pt>
                <c:pt idx="25">
                  <c:v>18.9621349642776</c:v>
                </c:pt>
                <c:pt idx="26">
                  <c:v>15.0675215725043</c:v>
                </c:pt>
                <c:pt idx="27">
                  <c:v>18.3108925451889</c:v>
                </c:pt>
                <c:pt idx="28">
                  <c:v>17.8513987832009</c:v>
                </c:pt>
                <c:pt idx="29">
                  <c:v>18.5861586820565</c:v>
                </c:pt>
                <c:pt idx="30">
                  <c:v>19.6352876492992</c:v>
                </c:pt>
                <c:pt idx="31">
                  <c:v>20.4973507573307</c:v>
                </c:pt>
                <c:pt idx="32">
                  <c:v>19.5468473662646</c:v>
                </c:pt>
                <c:pt idx="33">
                  <c:v>17.5434722942033</c:v>
                </c:pt>
                <c:pt idx="34">
                  <c:v>17.6304746965925</c:v>
                </c:pt>
                <c:pt idx="35">
                  <c:v>18.8198237520268</c:v>
                </c:pt>
                <c:pt idx="36">
                  <c:v>18.6543096739405</c:v>
                </c:pt>
                <c:pt idx="37">
                  <c:v>19.24859999838</c:v>
                </c:pt>
              </c:numCache>
            </c:numRef>
          </c:val>
          <c:smooth val="0"/>
        </c:ser>
        <c:dLbls>
          <c:showLegendKey val="0"/>
          <c:showVal val="0"/>
          <c:showCatName val="0"/>
          <c:showSerName val="0"/>
          <c:showPercent val="0"/>
          <c:showBubbleSize val="0"/>
        </c:dLbls>
        <c:marker val="0"/>
        <c:smooth val="0"/>
        <c:axId val="354405512"/>
        <c:axId val="354409040"/>
      </c:lineChart>
      <c:lineChart>
        <c:grouping val="standard"/>
        <c:varyColors val="0"/>
        <c:ser>
          <c:idx val="0"/>
          <c:order val="0"/>
          <c:tx>
            <c:strRef>
              <c:f>Sheet2!$G$2</c:f>
              <c:strCache>
                <c:ptCount val="1"/>
                <c:pt idx="0">
                  <c:v>Life expectancy at birth, total (years)</c:v>
                </c:pt>
              </c:strCache>
            </c:strRef>
          </c:tx>
          <c:marker>
            <c:symbol val="none"/>
          </c:marker>
          <c:dLbls>
            <c:delete val="1"/>
          </c:dLbls>
          <c:cat>
            <c:numRef>
              <c:f>Sheet2!$A$3:$A$40</c:f>
              <c:numCache>
                <c:formatCode>General</c:formatCode>
                <c:ptCount val="38"/>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pt idx="36">
                  <c:v>2021</c:v>
                </c:pt>
                <c:pt idx="37">
                  <c:v>2022</c:v>
                </c:pt>
              </c:numCache>
            </c:numRef>
          </c:cat>
          <c:val>
            <c:numRef>
              <c:f>Sheet2!$G$3:$G$40</c:f>
              <c:numCache>
                <c:formatCode>General</c:formatCode>
                <c:ptCount val="38"/>
                <c:pt idx="0">
                  <c:v>46.317</c:v>
                </c:pt>
                <c:pt idx="1">
                  <c:v>45.975</c:v>
                </c:pt>
                <c:pt idx="2">
                  <c:v>46.018</c:v>
                </c:pt>
                <c:pt idx="3">
                  <c:v>46.072</c:v>
                </c:pt>
                <c:pt idx="4">
                  <c:v>46.182</c:v>
                </c:pt>
                <c:pt idx="5">
                  <c:v>46.037</c:v>
                </c:pt>
                <c:pt idx="6">
                  <c:v>45.691</c:v>
                </c:pt>
                <c:pt idx="7">
                  <c:v>45.668</c:v>
                </c:pt>
                <c:pt idx="8">
                  <c:v>45.788</c:v>
                </c:pt>
                <c:pt idx="9">
                  <c:v>45.513</c:v>
                </c:pt>
                <c:pt idx="10">
                  <c:v>45.487</c:v>
                </c:pt>
                <c:pt idx="11">
                  <c:v>45.567</c:v>
                </c:pt>
                <c:pt idx="12">
                  <c:v>45.792</c:v>
                </c:pt>
                <c:pt idx="13">
                  <c:v>46.036</c:v>
                </c:pt>
                <c:pt idx="14">
                  <c:v>46.614</c:v>
                </c:pt>
                <c:pt idx="15">
                  <c:v>47.193</c:v>
                </c:pt>
                <c:pt idx="16">
                  <c:v>47.619</c:v>
                </c:pt>
                <c:pt idx="17">
                  <c:v>47.928</c:v>
                </c:pt>
                <c:pt idx="18">
                  <c:v>48.441</c:v>
                </c:pt>
                <c:pt idx="19">
                  <c:v>48.767</c:v>
                </c:pt>
                <c:pt idx="20">
                  <c:v>49.297</c:v>
                </c:pt>
                <c:pt idx="21">
                  <c:v>49.73</c:v>
                </c:pt>
                <c:pt idx="22">
                  <c:v>50.033</c:v>
                </c:pt>
                <c:pt idx="23">
                  <c:v>50.225</c:v>
                </c:pt>
                <c:pt idx="24">
                  <c:v>50.712</c:v>
                </c:pt>
                <c:pt idx="25">
                  <c:v>50.945</c:v>
                </c:pt>
                <c:pt idx="26">
                  <c:v>51.357</c:v>
                </c:pt>
                <c:pt idx="27">
                  <c:v>51.497</c:v>
                </c:pt>
                <c:pt idx="28">
                  <c:v>51.707</c:v>
                </c:pt>
                <c:pt idx="29">
                  <c:v>51.791</c:v>
                </c:pt>
                <c:pt idx="30">
                  <c:v>51.841</c:v>
                </c:pt>
                <c:pt idx="31">
                  <c:v>52.043</c:v>
                </c:pt>
                <c:pt idx="32">
                  <c:v>52.305</c:v>
                </c:pt>
                <c:pt idx="33">
                  <c:v>52.554</c:v>
                </c:pt>
                <c:pt idx="34">
                  <c:v>52.91</c:v>
                </c:pt>
                <c:pt idx="35">
                  <c:v>52.887</c:v>
                </c:pt>
                <c:pt idx="36">
                  <c:v>52.676</c:v>
                </c:pt>
                <c:pt idx="37">
                  <c:v>52.676</c:v>
                </c:pt>
              </c:numCache>
            </c:numRef>
          </c:val>
          <c:smooth val="0"/>
        </c:ser>
        <c:ser>
          <c:idx val="1"/>
          <c:order val="1"/>
          <c:tx>
            <c:strRef>
              <c:f>Sheet2!$H$2</c:f>
              <c:strCache>
                <c:ptCount val="1"/>
                <c:pt idx="0">
                  <c:v>Mortality rate, under-5 (per 1,000 live births)</c:v>
                </c:pt>
              </c:strCache>
            </c:strRef>
          </c:tx>
          <c:marker>
            <c:symbol val="none"/>
          </c:marker>
          <c:dLbls>
            <c:delete val="1"/>
          </c:dLbls>
          <c:cat>
            <c:numRef>
              <c:f>Sheet2!$A$3:$A$40</c:f>
              <c:numCache>
                <c:formatCode>General</c:formatCode>
                <c:ptCount val="38"/>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pt idx="36">
                  <c:v>2021</c:v>
                </c:pt>
                <c:pt idx="37">
                  <c:v>2022</c:v>
                </c:pt>
              </c:numCache>
            </c:numRef>
          </c:cat>
          <c:val>
            <c:numRef>
              <c:f>Sheet2!$H$3:$H$40</c:f>
              <c:numCache>
                <c:formatCode>General</c:formatCode>
                <c:ptCount val="38"/>
                <c:pt idx="0">
                  <c:v>207.2</c:v>
                </c:pt>
                <c:pt idx="1">
                  <c:v>208.1</c:v>
                </c:pt>
                <c:pt idx="2">
                  <c:v>209</c:v>
                </c:pt>
                <c:pt idx="3">
                  <c:v>209.4</c:v>
                </c:pt>
                <c:pt idx="4">
                  <c:v>209.6</c:v>
                </c:pt>
                <c:pt idx="5">
                  <c:v>209.3</c:v>
                </c:pt>
                <c:pt idx="6">
                  <c:v>208.8</c:v>
                </c:pt>
                <c:pt idx="7">
                  <c:v>208.1</c:v>
                </c:pt>
                <c:pt idx="8">
                  <c:v>207.2</c:v>
                </c:pt>
                <c:pt idx="9">
                  <c:v>205.7</c:v>
                </c:pt>
                <c:pt idx="10">
                  <c:v>203.7</c:v>
                </c:pt>
                <c:pt idx="11">
                  <c:v>201</c:v>
                </c:pt>
                <c:pt idx="12">
                  <c:v>197.2</c:v>
                </c:pt>
                <c:pt idx="13">
                  <c:v>192.8</c:v>
                </c:pt>
                <c:pt idx="14">
                  <c:v>187.7</c:v>
                </c:pt>
                <c:pt idx="15">
                  <c:v>182.4</c:v>
                </c:pt>
                <c:pt idx="16">
                  <c:v>177</c:v>
                </c:pt>
                <c:pt idx="17">
                  <c:v>171.4</c:v>
                </c:pt>
                <c:pt idx="18">
                  <c:v>165.8</c:v>
                </c:pt>
                <c:pt idx="19">
                  <c:v>160.4</c:v>
                </c:pt>
                <c:pt idx="20">
                  <c:v>155.1</c:v>
                </c:pt>
                <c:pt idx="21">
                  <c:v>150.2</c:v>
                </c:pt>
                <c:pt idx="22">
                  <c:v>145.8</c:v>
                </c:pt>
                <c:pt idx="23">
                  <c:v>141.9</c:v>
                </c:pt>
                <c:pt idx="24">
                  <c:v>138.5</c:v>
                </c:pt>
                <c:pt idx="25">
                  <c:v>135.7</c:v>
                </c:pt>
                <c:pt idx="26">
                  <c:v>133.4</c:v>
                </c:pt>
                <c:pt idx="27">
                  <c:v>131.4</c:v>
                </c:pt>
                <c:pt idx="28">
                  <c:v>129.6</c:v>
                </c:pt>
                <c:pt idx="29">
                  <c:v>128</c:v>
                </c:pt>
                <c:pt idx="30">
                  <c:v>126.4</c:v>
                </c:pt>
                <c:pt idx="31">
                  <c:v>124.7</c:v>
                </c:pt>
                <c:pt idx="32">
                  <c:v>122.4</c:v>
                </c:pt>
                <c:pt idx="33">
                  <c:v>119.6</c:v>
                </c:pt>
                <c:pt idx="34">
                  <c:v>116.8</c:v>
                </c:pt>
                <c:pt idx="35">
                  <c:v>113.8</c:v>
                </c:pt>
                <c:pt idx="36">
                  <c:v>110.8</c:v>
                </c:pt>
                <c:pt idx="37">
                  <c:v>110.8</c:v>
                </c:pt>
              </c:numCache>
            </c:numRef>
          </c:val>
          <c:smooth val="0"/>
        </c:ser>
        <c:dLbls>
          <c:showLegendKey val="0"/>
          <c:showVal val="0"/>
          <c:showCatName val="0"/>
          <c:showSerName val="0"/>
          <c:showPercent val="0"/>
          <c:showBubbleSize val="0"/>
        </c:dLbls>
        <c:marker val="0"/>
        <c:smooth val="0"/>
        <c:axId val="354410608"/>
        <c:axId val="354406296"/>
      </c:lineChart>
      <c:catAx>
        <c:axId val="354405512"/>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b="0"/>
                  <a:t>Years</a:t>
                </a:r>
                <a:endParaRPr lang="en-US" b="0"/>
              </a:p>
            </c:rich>
          </c:tx>
          <c:layout>
            <c:manualLayout>
              <c:xMode val="edge"/>
              <c:yMode val="edge"/>
              <c:x val="0.906505779955542"/>
              <c:y val="0.811965811965813"/>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54409040"/>
        <c:crosses val="autoZero"/>
        <c:auto val="1"/>
        <c:lblAlgn val="ctr"/>
        <c:lblOffset val="100"/>
        <c:noMultiLvlLbl val="0"/>
      </c:catAx>
      <c:valAx>
        <c:axId val="354409040"/>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b="0"/>
                  <a:t>Domestic</a:t>
                </a:r>
                <a:r>
                  <a:rPr lang="en-US" b="0" baseline="0"/>
                  <a:t> credit, loan to deposit, liquidity ratio</a:t>
                </a:r>
                <a:endParaRPr lang="en-US" b="0"/>
              </a:p>
            </c:rich>
          </c:tx>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54405512"/>
        <c:crosses val="autoZero"/>
        <c:crossBetween val="between"/>
      </c:valAx>
      <c:catAx>
        <c:axId val="354410608"/>
        <c:scaling>
          <c:orientation val="minMax"/>
        </c:scaling>
        <c:delete val="1"/>
        <c:axPos val="b"/>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54406296"/>
        <c:crosses val="autoZero"/>
        <c:auto val="1"/>
        <c:lblAlgn val="ctr"/>
        <c:lblOffset val="100"/>
        <c:noMultiLvlLbl val="0"/>
      </c:catAx>
      <c:valAx>
        <c:axId val="354406296"/>
        <c:scaling>
          <c:orientation val="minMax"/>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b="0"/>
                  <a:t>Life expectancy,</a:t>
                </a:r>
                <a:r>
                  <a:rPr lang="en-US" b="0" baseline="0"/>
                  <a:t> child mortality</a:t>
                </a:r>
                <a:endParaRPr lang="en-US" b="0"/>
              </a:p>
            </c:rich>
          </c:tx>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54410608"/>
        <c:crosses val="max"/>
        <c:crossBetween val="between"/>
      </c:valAx>
    </c:plotArea>
    <c:legend>
      <c:legendPos val="r"/>
      <c:layout>
        <c:manualLayout>
          <c:xMode val="edge"/>
          <c:yMode val="edge"/>
          <c:x val="0.0880799717007087"/>
          <c:y val="0.0232230971128609"/>
          <c:w val="0.529817059057302"/>
          <c:h val="0.34129618413083"/>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en-US"/>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l">
              <a:defRPr lang="en-US" sz="1800" b="1" i="0" u="none" strike="noStrike" kern="1200" baseline="0">
                <a:solidFill>
                  <a:schemeClr val="tx1"/>
                </a:solidFill>
                <a:latin typeface="+mn-lt"/>
                <a:ea typeface="+mn-ea"/>
                <a:cs typeface="+mn-cs"/>
              </a:defRPr>
            </a:pPr>
            <a:r>
              <a:rPr lang="en-US" sz="1100" b="1" i="0" baseline="0">
                <a:latin typeface="Times New Roman" panose="02020603050405020304" charset="0"/>
                <a:cs typeface="Times New Roman" panose="02020603050405020304" charset="0"/>
              </a:rPr>
              <a:t>Figure 4.3: </a:t>
            </a:r>
            <a:r>
              <a:rPr lang="en-US" sz="1100" b="0" i="0" baseline="0">
                <a:latin typeface="Times New Roman" panose="02020603050405020304" charset="0"/>
                <a:cs typeface="Times New Roman" panose="02020603050405020304" charset="0"/>
              </a:rPr>
              <a:t>Stock market instrument and health outcomes</a:t>
            </a:r>
            <a:endParaRPr lang="en-US" sz="1100" b="1" i="0" baseline="0">
              <a:latin typeface="Times New Roman" panose="02020603050405020304" charset="0"/>
              <a:cs typeface="Times New Roman" panose="02020603050405020304" charset="0"/>
            </a:endParaRPr>
          </a:p>
          <a:p>
            <a:pPr algn="l">
              <a:defRPr lang="en-US" sz="1800" b="1" i="0" u="none" strike="noStrike" kern="1200" baseline="0">
                <a:solidFill>
                  <a:schemeClr val="tx1"/>
                </a:solidFill>
                <a:latin typeface="+mn-lt"/>
                <a:ea typeface="+mn-ea"/>
                <a:cs typeface="+mn-cs"/>
              </a:defRPr>
            </a:pPr>
            <a:r>
              <a:rPr lang="en-US" sz="1100" b="1" i="0" baseline="0">
                <a:latin typeface="Times New Roman" panose="02020603050405020304" charset="0"/>
                <a:cs typeface="Times New Roman" panose="02020603050405020304" charset="0"/>
              </a:rPr>
              <a:t>Source: </a:t>
            </a:r>
            <a:r>
              <a:rPr lang="en-US" sz="1100" b="0" i="0" baseline="0">
                <a:latin typeface="Times New Roman" panose="02020603050405020304" charset="0"/>
                <a:cs typeface="Times New Roman" panose="02020603050405020304" charset="0"/>
              </a:rPr>
              <a:t>Auhor's computation (2023)</a:t>
            </a:r>
            <a:endParaRPr lang="en-US" sz="1100">
              <a:latin typeface="Times New Roman" panose="02020603050405020304" charset="0"/>
              <a:cs typeface="Times New Roman" panose="02020603050405020304" charset="0"/>
            </a:endParaRPr>
          </a:p>
        </c:rich>
      </c:tx>
      <c:layout>
        <c:manualLayout>
          <c:xMode val="edge"/>
          <c:yMode val="edge"/>
          <c:x val="0.00184930372075583"/>
          <c:y val="0.911739256930617"/>
        </c:manualLayout>
      </c:layout>
      <c:overlay val="1"/>
    </c:title>
    <c:autoTitleDeleted val="0"/>
    <c:plotArea>
      <c:layout>
        <c:manualLayout>
          <c:layoutTarget val="inner"/>
          <c:xMode val="edge"/>
          <c:yMode val="edge"/>
          <c:x val="0.111817999494249"/>
          <c:y val="0.020916942718204"/>
          <c:w val="0.778678421011328"/>
          <c:h val="0.771522438847186"/>
        </c:manualLayout>
      </c:layout>
      <c:lineChart>
        <c:grouping val="standard"/>
        <c:varyColors val="0"/>
        <c:ser>
          <c:idx val="0"/>
          <c:order val="0"/>
          <c:tx>
            <c:strRef>
              <c:f>Sheet2!$L$2</c:f>
              <c:strCache>
                <c:ptCount val="1"/>
                <c:pt idx="0">
                  <c:v>Life expectancy at birth, total (years)</c:v>
                </c:pt>
              </c:strCache>
            </c:strRef>
          </c:tx>
          <c:marker>
            <c:symbol val="none"/>
          </c:marker>
          <c:dLbls>
            <c:delete val="1"/>
          </c:dLbls>
          <c:cat>
            <c:numRef>
              <c:f>Sheet2!$A$3:$A$40</c:f>
              <c:numCache>
                <c:formatCode>General</c:formatCode>
                <c:ptCount val="38"/>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pt idx="36">
                  <c:v>2021</c:v>
                </c:pt>
                <c:pt idx="37">
                  <c:v>2022</c:v>
                </c:pt>
              </c:numCache>
            </c:numRef>
          </c:cat>
          <c:val>
            <c:numRef>
              <c:f>Sheet2!$L$3:$L$40</c:f>
              <c:numCache>
                <c:formatCode>General</c:formatCode>
                <c:ptCount val="38"/>
                <c:pt idx="0">
                  <c:v>46.317</c:v>
                </c:pt>
                <c:pt idx="1">
                  <c:v>45.975</c:v>
                </c:pt>
                <c:pt idx="2">
                  <c:v>46.018</c:v>
                </c:pt>
                <c:pt idx="3">
                  <c:v>46.072</c:v>
                </c:pt>
                <c:pt idx="4">
                  <c:v>46.182</c:v>
                </c:pt>
                <c:pt idx="5">
                  <c:v>46.037</c:v>
                </c:pt>
                <c:pt idx="6">
                  <c:v>45.691</c:v>
                </c:pt>
                <c:pt idx="7">
                  <c:v>45.668</c:v>
                </c:pt>
                <c:pt idx="8">
                  <c:v>45.788</c:v>
                </c:pt>
                <c:pt idx="9">
                  <c:v>45.513</c:v>
                </c:pt>
                <c:pt idx="10">
                  <c:v>45.487</c:v>
                </c:pt>
                <c:pt idx="11">
                  <c:v>45.567</c:v>
                </c:pt>
                <c:pt idx="12">
                  <c:v>45.792</c:v>
                </c:pt>
                <c:pt idx="13">
                  <c:v>46.036</c:v>
                </c:pt>
                <c:pt idx="14">
                  <c:v>46.614</c:v>
                </c:pt>
                <c:pt idx="15">
                  <c:v>47.193</c:v>
                </c:pt>
                <c:pt idx="16">
                  <c:v>47.619</c:v>
                </c:pt>
                <c:pt idx="17">
                  <c:v>47.928</c:v>
                </c:pt>
                <c:pt idx="18">
                  <c:v>48.441</c:v>
                </c:pt>
                <c:pt idx="19">
                  <c:v>48.767</c:v>
                </c:pt>
                <c:pt idx="20">
                  <c:v>49.297</c:v>
                </c:pt>
                <c:pt idx="21">
                  <c:v>49.73</c:v>
                </c:pt>
                <c:pt idx="22">
                  <c:v>50.033</c:v>
                </c:pt>
                <c:pt idx="23">
                  <c:v>50.225</c:v>
                </c:pt>
                <c:pt idx="24">
                  <c:v>50.712</c:v>
                </c:pt>
                <c:pt idx="25">
                  <c:v>50.945</c:v>
                </c:pt>
                <c:pt idx="26">
                  <c:v>51.357</c:v>
                </c:pt>
                <c:pt idx="27">
                  <c:v>51.497</c:v>
                </c:pt>
                <c:pt idx="28">
                  <c:v>51.707</c:v>
                </c:pt>
                <c:pt idx="29">
                  <c:v>51.791</c:v>
                </c:pt>
                <c:pt idx="30">
                  <c:v>51.841</c:v>
                </c:pt>
                <c:pt idx="31">
                  <c:v>52.043</c:v>
                </c:pt>
                <c:pt idx="32">
                  <c:v>52.305</c:v>
                </c:pt>
                <c:pt idx="33">
                  <c:v>52.554</c:v>
                </c:pt>
                <c:pt idx="34">
                  <c:v>52.91</c:v>
                </c:pt>
                <c:pt idx="35">
                  <c:v>52.887</c:v>
                </c:pt>
                <c:pt idx="36">
                  <c:v>52.676</c:v>
                </c:pt>
                <c:pt idx="37">
                  <c:v>52.676</c:v>
                </c:pt>
              </c:numCache>
            </c:numRef>
          </c:val>
          <c:smooth val="0"/>
        </c:ser>
        <c:ser>
          <c:idx val="1"/>
          <c:order val="1"/>
          <c:tx>
            <c:strRef>
              <c:f>Sheet2!$M$2</c:f>
              <c:strCache>
                <c:ptCount val="1"/>
                <c:pt idx="0">
                  <c:v>Mortality rate, under-5 (per 1,000 live births)</c:v>
                </c:pt>
              </c:strCache>
            </c:strRef>
          </c:tx>
          <c:marker>
            <c:symbol val="none"/>
          </c:marker>
          <c:dLbls>
            <c:delete val="1"/>
          </c:dLbls>
          <c:cat>
            <c:numRef>
              <c:f>Sheet2!$A$3:$A$40</c:f>
              <c:numCache>
                <c:formatCode>General</c:formatCode>
                <c:ptCount val="38"/>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pt idx="36">
                  <c:v>2021</c:v>
                </c:pt>
                <c:pt idx="37">
                  <c:v>2022</c:v>
                </c:pt>
              </c:numCache>
            </c:numRef>
          </c:cat>
          <c:val>
            <c:numRef>
              <c:f>Sheet2!$M$3:$M$40</c:f>
              <c:numCache>
                <c:formatCode>General</c:formatCode>
                <c:ptCount val="38"/>
                <c:pt idx="0">
                  <c:v>207.2</c:v>
                </c:pt>
                <c:pt idx="1">
                  <c:v>208.1</c:v>
                </c:pt>
                <c:pt idx="2">
                  <c:v>209</c:v>
                </c:pt>
                <c:pt idx="3">
                  <c:v>209.4</c:v>
                </c:pt>
                <c:pt idx="4">
                  <c:v>209.6</c:v>
                </c:pt>
                <c:pt idx="5">
                  <c:v>209.3</c:v>
                </c:pt>
                <c:pt idx="6">
                  <c:v>208.8</c:v>
                </c:pt>
                <c:pt idx="7">
                  <c:v>208.1</c:v>
                </c:pt>
                <c:pt idx="8">
                  <c:v>207.2</c:v>
                </c:pt>
                <c:pt idx="9">
                  <c:v>205.7</c:v>
                </c:pt>
                <c:pt idx="10">
                  <c:v>203.7</c:v>
                </c:pt>
                <c:pt idx="11">
                  <c:v>201</c:v>
                </c:pt>
                <c:pt idx="12">
                  <c:v>197.2</c:v>
                </c:pt>
                <c:pt idx="13">
                  <c:v>192.8</c:v>
                </c:pt>
                <c:pt idx="14">
                  <c:v>187.7</c:v>
                </c:pt>
                <c:pt idx="15">
                  <c:v>182.4</c:v>
                </c:pt>
                <c:pt idx="16">
                  <c:v>177</c:v>
                </c:pt>
                <c:pt idx="17">
                  <c:v>171.4</c:v>
                </c:pt>
                <c:pt idx="18">
                  <c:v>165.8</c:v>
                </c:pt>
                <c:pt idx="19">
                  <c:v>160.4</c:v>
                </c:pt>
                <c:pt idx="20">
                  <c:v>155.1</c:v>
                </c:pt>
                <c:pt idx="21">
                  <c:v>150.2</c:v>
                </c:pt>
                <c:pt idx="22">
                  <c:v>145.8</c:v>
                </c:pt>
                <c:pt idx="23">
                  <c:v>141.9</c:v>
                </c:pt>
                <c:pt idx="24">
                  <c:v>138.5</c:v>
                </c:pt>
                <c:pt idx="25">
                  <c:v>135.7</c:v>
                </c:pt>
                <c:pt idx="26">
                  <c:v>133.4</c:v>
                </c:pt>
                <c:pt idx="27">
                  <c:v>131.4</c:v>
                </c:pt>
                <c:pt idx="28">
                  <c:v>129.6</c:v>
                </c:pt>
                <c:pt idx="29">
                  <c:v>128</c:v>
                </c:pt>
                <c:pt idx="30">
                  <c:v>126.4</c:v>
                </c:pt>
                <c:pt idx="31">
                  <c:v>124.7</c:v>
                </c:pt>
                <c:pt idx="32">
                  <c:v>122.4</c:v>
                </c:pt>
                <c:pt idx="33">
                  <c:v>119.6</c:v>
                </c:pt>
                <c:pt idx="34">
                  <c:v>116.8</c:v>
                </c:pt>
                <c:pt idx="35">
                  <c:v>113.8</c:v>
                </c:pt>
                <c:pt idx="36">
                  <c:v>110.8</c:v>
                </c:pt>
                <c:pt idx="37">
                  <c:v>110.8</c:v>
                </c:pt>
              </c:numCache>
            </c:numRef>
          </c:val>
          <c:smooth val="0"/>
        </c:ser>
        <c:ser>
          <c:idx val="2"/>
          <c:order val="2"/>
          <c:tx>
            <c:strRef>
              <c:f>Sheet2!$N$2</c:f>
              <c:strCache>
                <c:ptCount val="1"/>
                <c:pt idx="0">
                  <c:v>Stock marketalization to GDP</c:v>
                </c:pt>
              </c:strCache>
            </c:strRef>
          </c:tx>
          <c:marker>
            <c:symbol val="none"/>
          </c:marker>
          <c:dLbls>
            <c:delete val="1"/>
          </c:dLbls>
          <c:cat>
            <c:numRef>
              <c:f>Sheet2!$A$3:$A$40</c:f>
              <c:numCache>
                <c:formatCode>General</c:formatCode>
                <c:ptCount val="38"/>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pt idx="36">
                  <c:v>2021</c:v>
                </c:pt>
                <c:pt idx="37">
                  <c:v>2022</c:v>
                </c:pt>
              </c:numCache>
            </c:numRef>
          </c:cat>
          <c:val>
            <c:numRef>
              <c:f>Sheet2!$N$3:$N$40</c:f>
              <c:numCache>
                <c:formatCode>0.000</c:formatCode>
                <c:ptCount val="38"/>
                <c:pt idx="0">
                  <c:v>3.51380433865753</c:v>
                </c:pt>
                <c:pt idx="1">
                  <c:v>3.43220858186942</c:v>
                </c:pt>
                <c:pt idx="2">
                  <c:v>3.35131306296689</c:v>
                </c:pt>
                <c:pt idx="3">
                  <c:v>3.16841393863108</c:v>
                </c:pt>
                <c:pt idx="4">
                  <c:v>3.08537180297218</c:v>
                </c:pt>
                <c:pt idx="5">
                  <c:v>3.29530143742074</c:v>
                </c:pt>
                <c:pt idx="6">
                  <c:v>3.91485786654737</c:v>
                </c:pt>
                <c:pt idx="7">
                  <c:v>3.44359727877664</c:v>
                </c:pt>
                <c:pt idx="8">
                  <c:v>3.77831291999216</c:v>
                </c:pt>
                <c:pt idx="9">
                  <c:v>3.74832197412457</c:v>
                </c:pt>
                <c:pt idx="10">
                  <c:v>5.81891355165831</c:v>
                </c:pt>
                <c:pt idx="11">
                  <c:v>6.99450413770855</c:v>
                </c:pt>
                <c:pt idx="12">
                  <c:v>6.37969180817337</c:v>
                </c:pt>
                <c:pt idx="13">
                  <c:v>5.46496258045883</c:v>
                </c:pt>
                <c:pt idx="14">
                  <c:v>5.47210162672528</c:v>
                </c:pt>
                <c:pt idx="15">
                  <c:v>6.68719590179292</c:v>
                </c:pt>
                <c:pt idx="16">
                  <c:v>8.04542484050597</c:v>
                </c:pt>
                <c:pt idx="17">
                  <c:v>6.6504655799938</c:v>
                </c:pt>
                <c:pt idx="18">
                  <c:v>10.0265740076325</c:v>
                </c:pt>
                <c:pt idx="19">
                  <c:v>11.6557768934868</c:v>
                </c:pt>
                <c:pt idx="20">
                  <c:v>12.5424927636637</c:v>
                </c:pt>
                <c:pt idx="21">
                  <c:v>16.858830849286</c:v>
                </c:pt>
                <c:pt idx="22">
                  <c:v>38.0139329441887</c:v>
                </c:pt>
                <c:pt idx="23">
                  <c:v>23.9348232605466</c:v>
                </c:pt>
                <c:pt idx="24">
                  <c:v>16.1771837005171</c:v>
                </c:pt>
                <c:pt idx="25">
                  <c:v>17.8805231090363</c:v>
                </c:pt>
                <c:pt idx="26">
                  <c:v>16.1274571888433</c:v>
                </c:pt>
                <c:pt idx="27">
                  <c:v>20.3870796623823</c:v>
                </c:pt>
                <c:pt idx="28">
                  <c:v>23.5494710763685</c:v>
                </c:pt>
                <c:pt idx="29">
                  <c:v>18.7216188406944</c:v>
                </c:pt>
                <c:pt idx="30">
                  <c:v>17.8648843928496</c:v>
                </c:pt>
                <c:pt idx="31">
                  <c:v>15.7793453080634</c:v>
                </c:pt>
                <c:pt idx="32">
                  <c:v>18.3890643993787</c:v>
                </c:pt>
                <c:pt idx="33">
                  <c:v>16.9684415483518</c:v>
                </c:pt>
                <c:pt idx="34">
                  <c:v>17.776963274416</c:v>
                </c:pt>
                <c:pt idx="35">
                  <c:v>25.0171779441376</c:v>
                </c:pt>
                <c:pt idx="36">
                  <c:v>23.8843579645744</c:v>
                </c:pt>
                <c:pt idx="37">
                  <c:v>25.2953154297384</c:v>
                </c:pt>
              </c:numCache>
            </c:numRef>
          </c:val>
          <c:smooth val="0"/>
        </c:ser>
        <c:ser>
          <c:idx val="3"/>
          <c:order val="3"/>
          <c:tx>
            <c:strRef>
              <c:f>Sheet2!$O$2</c:f>
              <c:strCache>
                <c:ptCount val="1"/>
                <c:pt idx="0">
                  <c:v>Total stock transaction value to GDP</c:v>
                </c:pt>
              </c:strCache>
            </c:strRef>
          </c:tx>
          <c:marker>
            <c:symbol val="none"/>
          </c:marker>
          <c:dLbls>
            <c:delete val="1"/>
          </c:dLbls>
          <c:cat>
            <c:numRef>
              <c:f>Sheet2!$A$3:$A$40</c:f>
              <c:numCache>
                <c:formatCode>General</c:formatCode>
                <c:ptCount val="38"/>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pt idx="36">
                  <c:v>2021</c:v>
                </c:pt>
                <c:pt idx="37">
                  <c:v>2022</c:v>
                </c:pt>
              </c:numCache>
            </c:numRef>
          </c:cat>
          <c:val>
            <c:numRef>
              <c:f>Sheet2!$O$3:$O$40</c:f>
              <c:numCache>
                <c:formatCode>0.000</c:formatCode>
                <c:ptCount val="38"/>
                <c:pt idx="0">
                  <c:v>0.168556129336208</c:v>
                </c:pt>
                <c:pt idx="1">
                  <c:v>0.251308331310704</c:v>
                </c:pt>
                <c:pt idx="2">
                  <c:v>0.156285623814456</c:v>
                </c:pt>
                <c:pt idx="3">
                  <c:v>0.269410237201801</c:v>
                </c:pt>
                <c:pt idx="4">
                  <c:v>0.147109563387025</c:v>
                </c:pt>
                <c:pt idx="5">
                  <c:v>0.0455681560732905</c:v>
                </c:pt>
                <c:pt idx="6">
                  <c:v>0.0410297441338146</c:v>
                </c:pt>
                <c:pt idx="7">
                  <c:v>0.0542697686530279</c:v>
                </c:pt>
                <c:pt idx="8">
                  <c:v>0.0639847350071937</c:v>
                </c:pt>
                <c:pt idx="9">
                  <c:v>0.0557386219349838</c:v>
                </c:pt>
                <c:pt idx="10">
                  <c:v>0.0593116310354176</c:v>
                </c:pt>
                <c:pt idx="11">
                  <c:v>0.170814699368617</c:v>
                </c:pt>
                <c:pt idx="12">
                  <c:v>0.233790018532582</c:v>
                </c:pt>
                <c:pt idx="13">
                  <c:v>0.282427851011671</c:v>
                </c:pt>
                <c:pt idx="14">
                  <c:v>0.256678046970927</c:v>
                </c:pt>
                <c:pt idx="15">
                  <c:v>0.398613794077422</c:v>
                </c:pt>
                <c:pt idx="16">
                  <c:v>0.700514230060042</c:v>
                </c:pt>
                <c:pt idx="17">
                  <c:v>0.516514856283198</c:v>
                </c:pt>
                <c:pt idx="18">
                  <c:v>0.888122989488242</c:v>
                </c:pt>
                <c:pt idx="19">
                  <c:v>1.24596806536672</c:v>
                </c:pt>
                <c:pt idx="20">
                  <c:v>1.13717315117899</c:v>
                </c:pt>
                <c:pt idx="21">
                  <c:v>1.54815023275237</c:v>
                </c:pt>
                <c:pt idx="22">
                  <c:v>3.10307459302859</c:v>
                </c:pt>
                <c:pt idx="23">
                  <c:v>4.20267005841912</c:v>
                </c:pt>
                <c:pt idx="24">
                  <c:v>1.57775949080508</c:v>
                </c:pt>
                <c:pt idx="25">
                  <c:v>1.4420773735025</c:v>
                </c:pt>
                <c:pt idx="26">
                  <c:v>1.00281276905483</c:v>
                </c:pt>
                <c:pt idx="27">
                  <c:v>1.1143229207113</c:v>
                </c:pt>
                <c:pt idx="28">
                  <c:v>2.90195872105911</c:v>
                </c:pt>
                <c:pt idx="29">
                  <c:v>1.48507369623416</c:v>
                </c:pt>
                <c:pt idx="30">
                  <c:v>1.02760068778683</c:v>
                </c:pt>
                <c:pt idx="31">
                  <c:v>0.563310299960034</c:v>
                </c:pt>
                <c:pt idx="32">
                  <c:v>0.938641325633906</c:v>
                </c:pt>
                <c:pt idx="33">
                  <c:v>0.932217762294687</c:v>
                </c:pt>
                <c:pt idx="34">
                  <c:v>0.63958407263006</c:v>
                </c:pt>
                <c:pt idx="35">
                  <c:v>0.704160007137332</c:v>
                </c:pt>
                <c:pt idx="36">
                  <c:v>0.541740349955288</c:v>
                </c:pt>
                <c:pt idx="37">
                  <c:v>0.577434974472218</c:v>
                </c:pt>
              </c:numCache>
            </c:numRef>
          </c:val>
          <c:smooth val="0"/>
        </c:ser>
        <c:dLbls>
          <c:showLegendKey val="0"/>
          <c:showVal val="0"/>
          <c:showCatName val="0"/>
          <c:showSerName val="0"/>
          <c:showPercent val="0"/>
          <c:showBubbleSize val="0"/>
        </c:dLbls>
        <c:marker val="0"/>
        <c:smooth val="0"/>
        <c:axId val="354409824"/>
        <c:axId val="354406688"/>
      </c:lineChart>
      <c:lineChart>
        <c:grouping val="standard"/>
        <c:varyColors val="0"/>
        <c:ser>
          <c:idx val="4"/>
          <c:order val="4"/>
          <c:tx>
            <c:strRef>
              <c:f>Sheet2!$P$2</c:f>
              <c:strCache>
                <c:ptCount val="1"/>
                <c:pt idx="0">
                  <c:v>All share index</c:v>
                </c:pt>
              </c:strCache>
            </c:strRef>
          </c:tx>
          <c:marker>
            <c:symbol val="none"/>
          </c:marker>
          <c:dLbls>
            <c:delete val="1"/>
          </c:dLbls>
          <c:cat>
            <c:numRef>
              <c:f>Sheet2!$A$3:$A$40</c:f>
              <c:numCache>
                <c:formatCode>General</c:formatCode>
                <c:ptCount val="38"/>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pt idx="36">
                  <c:v>2021</c:v>
                </c:pt>
                <c:pt idx="37">
                  <c:v>2022</c:v>
                </c:pt>
              </c:numCache>
            </c:numRef>
          </c:cat>
          <c:val>
            <c:numRef>
              <c:f>Sheet2!$P$3:$P$40</c:f>
              <c:numCache>
                <c:formatCode>General</c:formatCode>
                <c:ptCount val="38"/>
                <c:pt idx="0">
                  <c:v>127.3</c:v>
                </c:pt>
                <c:pt idx="1">
                  <c:v>163.8</c:v>
                </c:pt>
                <c:pt idx="2">
                  <c:v>190.9</c:v>
                </c:pt>
                <c:pt idx="3">
                  <c:v>233.6</c:v>
                </c:pt>
                <c:pt idx="4">
                  <c:v>325.3</c:v>
                </c:pt>
                <c:pt idx="5">
                  <c:v>513.8</c:v>
                </c:pt>
                <c:pt idx="6">
                  <c:v>783</c:v>
                </c:pt>
                <c:pt idx="7">
                  <c:v>1107.6</c:v>
                </c:pt>
                <c:pt idx="8">
                  <c:v>1543.8</c:v>
                </c:pt>
                <c:pt idx="9">
                  <c:v>2205</c:v>
                </c:pt>
                <c:pt idx="10">
                  <c:v>5092.2</c:v>
                </c:pt>
                <c:pt idx="11">
                  <c:v>6992.1</c:v>
                </c:pt>
                <c:pt idx="12">
                  <c:v>6440.5</c:v>
                </c:pt>
                <c:pt idx="13">
                  <c:v>5672.7</c:v>
                </c:pt>
                <c:pt idx="14">
                  <c:v>5266.4</c:v>
                </c:pt>
                <c:pt idx="15">
                  <c:v>8111</c:v>
                </c:pt>
                <c:pt idx="16">
                  <c:v>10963.1</c:v>
                </c:pt>
                <c:pt idx="17">
                  <c:v>12137.7</c:v>
                </c:pt>
                <c:pt idx="18">
                  <c:v>20128.94</c:v>
                </c:pt>
                <c:pt idx="19">
                  <c:v>23844.5</c:v>
                </c:pt>
                <c:pt idx="20">
                  <c:v>24085.8</c:v>
                </c:pt>
                <c:pt idx="21">
                  <c:v>33189.3</c:v>
                </c:pt>
                <c:pt idx="22">
                  <c:v>57990.2</c:v>
                </c:pt>
                <c:pt idx="23">
                  <c:v>31450.78</c:v>
                </c:pt>
                <c:pt idx="24">
                  <c:v>20827.17</c:v>
                </c:pt>
                <c:pt idx="25">
                  <c:v>24770.52</c:v>
                </c:pt>
                <c:pt idx="26">
                  <c:v>20730.63</c:v>
                </c:pt>
                <c:pt idx="27">
                  <c:v>28078.81</c:v>
                </c:pt>
                <c:pt idx="28">
                  <c:v>41329.19</c:v>
                </c:pt>
                <c:pt idx="29">
                  <c:v>34657.15</c:v>
                </c:pt>
                <c:pt idx="30">
                  <c:v>28642.25</c:v>
                </c:pt>
                <c:pt idx="31">
                  <c:v>26874.62</c:v>
                </c:pt>
                <c:pt idx="32">
                  <c:v>38243.19</c:v>
                </c:pt>
                <c:pt idx="33">
                  <c:v>31430.5</c:v>
                </c:pt>
                <c:pt idx="34">
                  <c:v>26842.07</c:v>
                </c:pt>
                <c:pt idx="35">
                  <c:v>40270.72</c:v>
                </c:pt>
                <c:pt idx="36">
                  <c:v>42716.44</c:v>
                </c:pt>
                <c:pt idx="37">
                  <c:v>51251.06</c:v>
                </c:pt>
              </c:numCache>
            </c:numRef>
          </c:val>
          <c:smooth val="0"/>
        </c:ser>
        <c:dLbls>
          <c:showLegendKey val="0"/>
          <c:showVal val="0"/>
          <c:showCatName val="0"/>
          <c:showSerName val="0"/>
          <c:showPercent val="0"/>
          <c:showBubbleSize val="0"/>
        </c:dLbls>
        <c:marker val="0"/>
        <c:smooth val="0"/>
        <c:axId val="354411392"/>
        <c:axId val="354410216"/>
      </c:lineChart>
      <c:catAx>
        <c:axId val="354409824"/>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b="0"/>
                  <a:t>Years</a:t>
                </a:r>
                <a:endParaRPr lang="en-US" b="0"/>
              </a:p>
            </c:rich>
          </c:tx>
          <c:layout>
            <c:manualLayout>
              <c:xMode val="edge"/>
              <c:yMode val="edge"/>
              <c:x val="0.882419581273271"/>
              <c:y val="0.858407287436718"/>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54406688"/>
        <c:crosses val="autoZero"/>
        <c:auto val="1"/>
        <c:lblAlgn val="ctr"/>
        <c:lblOffset val="100"/>
        <c:noMultiLvlLbl val="0"/>
      </c:catAx>
      <c:valAx>
        <c:axId val="354406688"/>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b="0"/>
                  <a:t>Life expectancy, child mortality, stock marketalization,</a:t>
                </a:r>
                <a:endParaRPr lang="en-US" b="0"/>
              </a:p>
              <a:p>
                <a:pPr>
                  <a:defRPr lang="en-US" sz="1000" b="1" i="0" u="none" strike="noStrike" kern="1200" baseline="0">
                    <a:solidFill>
                      <a:schemeClr val="tx1"/>
                    </a:solidFill>
                    <a:latin typeface="+mn-lt"/>
                    <a:ea typeface="+mn-ea"/>
                    <a:cs typeface="+mn-cs"/>
                  </a:defRPr>
                </a:pPr>
                <a:r>
                  <a:rPr lang="en-US" b="0"/>
                  <a:t>Stock</a:t>
                </a:r>
                <a:r>
                  <a:rPr lang="en-US" b="0" baseline="0"/>
                  <a:t> transaction value</a:t>
                </a:r>
                <a:endParaRPr lang="en-US" b="0"/>
              </a:p>
            </c:rich>
          </c:tx>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54409824"/>
        <c:crosses val="autoZero"/>
        <c:crossBetween val="between"/>
      </c:valAx>
      <c:catAx>
        <c:axId val="354411392"/>
        <c:scaling>
          <c:orientation val="minMax"/>
        </c:scaling>
        <c:delete val="1"/>
        <c:axPos val="b"/>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54410216"/>
        <c:crosses val="autoZero"/>
        <c:auto val="1"/>
        <c:lblAlgn val="ctr"/>
        <c:lblOffset val="100"/>
        <c:noMultiLvlLbl val="0"/>
      </c:catAx>
      <c:valAx>
        <c:axId val="354410216"/>
        <c:scaling>
          <c:orientation val="minMax"/>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b="0"/>
                  <a:t>All</a:t>
                </a:r>
                <a:r>
                  <a:rPr lang="en-US" b="0" baseline="0"/>
                  <a:t> share index</a:t>
                </a:r>
                <a:endParaRPr lang="en-US" b="0"/>
              </a:p>
            </c:rich>
          </c:tx>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54411392"/>
        <c:crosses val="max"/>
        <c:crossBetween val="between"/>
      </c:valAx>
    </c:plotArea>
    <c:legend>
      <c:legendPos val="r"/>
      <c:layout>
        <c:manualLayout>
          <c:xMode val="edge"/>
          <c:yMode val="edge"/>
          <c:x val="0.103399691317655"/>
          <c:y val="0.0735577263033348"/>
          <c:w val="0.568804073909366"/>
          <c:h val="0.253056088886346"/>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en-US"/>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l">
              <a:defRPr lang="en-US" sz="1800" b="1" i="0" u="none" strike="noStrike" kern="1200" baseline="0">
                <a:solidFill>
                  <a:schemeClr val="tx1"/>
                </a:solidFill>
                <a:latin typeface="+mn-lt"/>
                <a:ea typeface="+mn-ea"/>
                <a:cs typeface="+mn-cs"/>
              </a:defRPr>
            </a:pPr>
            <a:r>
              <a:rPr lang="en-US" sz="1100" b="1" i="0" baseline="0">
                <a:latin typeface="Times New Roman" panose="02020603050405020304" charset="0"/>
                <a:cs typeface="Times New Roman" panose="02020603050405020304" charset="0"/>
              </a:rPr>
              <a:t>Figure 4.4: </a:t>
            </a:r>
            <a:r>
              <a:rPr lang="en-US" sz="1100" b="0" i="0" baseline="0">
                <a:latin typeface="Times New Roman" panose="02020603050405020304" charset="0"/>
                <a:cs typeface="Times New Roman" panose="02020603050405020304" charset="0"/>
              </a:rPr>
              <a:t>Investment, Trade, Inflation and health outcomes</a:t>
            </a:r>
            <a:endParaRPr lang="en-US" sz="1100" b="1" i="0" baseline="0">
              <a:latin typeface="Times New Roman" panose="02020603050405020304" charset="0"/>
              <a:cs typeface="Times New Roman" panose="02020603050405020304" charset="0"/>
            </a:endParaRPr>
          </a:p>
          <a:p>
            <a:pPr algn="l">
              <a:defRPr lang="en-US" sz="1800" b="1" i="0" u="none" strike="noStrike" kern="1200" baseline="0">
                <a:solidFill>
                  <a:schemeClr val="tx1"/>
                </a:solidFill>
                <a:latin typeface="+mn-lt"/>
                <a:ea typeface="+mn-ea"/>
                <a:cs typeface="+mn-cs"/>
              </a:defRPr>
            </a:pPr>
            <a:r>
              <a:rPr lang="en-US" sz="1100" b="1" i="0" baseline="0">
                <a:latin typeface="Times New Roman" panose="02020603050405020304" charset="0"/>
                <a:cs typeface="Times New Roman" panose="02020603050405020304" charset="0"/>
              </a:rPr>
              <a:t>Source: </a:t>
            </a:r>
            <a:r>
              <a:rPr lang="en-US" sz="1100" b="0" i="0" baseline="0">
                <a:latin typeface="Times New Roman" panose="02020603050405020304" charset="0"/>
                <a:cs typeface="Times New Roman" panose="02020603050405020304" charset="0"/>
              </a:rPr>
              <a:t>Auhor's computation (2023)</a:t>
            </a:r>
            <a:endParaRPr lang="en-US" sz="1100">
              <a:latin typeface="Times New Roman" panose="02020603050405020304" charset="0"/>
              <a:cs typeface="Times New Roman" panose="02020603050405020304" charset="0"/>
            </a:endParaRPr>
          </a:p>
        </c:rich>
      </c:tx>
      <c:layout>
        <c:manualLayout>
          <c:xMode val="edge"/>
          <c:yMode val="edge"/>
          <c:x val="0.00102052135330006"/>
          <c:y val="0.902564102564103"/>
        </c:manualLayout>
      </c:layout>
      <c:overlay val="0"/>
    </c:title>
    <c:autoTitleDeleted val="0"/>
    <c:plotArea>
      <c:layout>
        <c:manualLayout>
          <c:layoutTarget val="inner"/>
          <c:xMode val="edge"/>
          <c:yMode val="edge"/>
          <c:x val="0.0785708857940178"/>
          <c:y val="0.0208633151625278"/>
          <c:w val="0.836457697363538"/>
          <c:h val="0.773166969513426"/>
        </c:manualLayout>
      </c:layout>
      <c:lineChart>
        <c:grouping val="standard"/>
        <c:varyColors val="0"/>
        <c:ser>
          <c:idx val="2"/>
          <c:order val="2"/>
          <c:tx>
            <c:strRef>
              <c:f>Sheet2!$S$2</c:f>
              <c:strCache>
                <c:ptCount val="1"/>
                <c:pt idx="0">
                  <c:v>Inflation, consumer prices (annual %)</c:v>
                </c:pt>
              </c:strCache>
            </c:strRef>
          </c:tx>
          <c:marker>
            <c:symbol val="none"/>
          </c:marker>
          <c:dLbls>
            <c:delete val="1"/>
          </c:dLbls>
          <c:cat>
            <c:numRef>
              <c:f>Sheet2!$A$3:$A$40</c:f>
              <c:numCache>
                <c:formatCode>General</c:formatCode>
                <c:ptCount val="38"/>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pt idx="36">
                  <c:v>2021</c:v>
                </c:pt>
                <c:pt idx="37">
                  <c:v>2022</c:v>
                </c:pt>
              </c:numCache>
            </c:numRef>
          </c:cat>
          <c:val>
            <c:numRef>
              <c:f>Sheet2!$S$3:$S$40</c:f>
              <c:numCache>
                <c:formatCode>0.000</c:formatCode>
                <c:ptCount val="38"/>
                <c:pt idx="0">
                  <c:v>7.4353448275863</c:v>
                </c:pt>
                <c:pt idx="1">
                  <c:v>5.71715145436305</c:v>
                </c:pt>
                <c:pt idx="2">
                  <c:v>11.2903225806452</c:v>
                </c:pt>
                <c:pt idx="3">
                  <c:v>54.5112247797671</c:v>
                </c:pt>
                <c:pt idx="4">
                  <c:v>50.4666881235915</c:v>
                </c:pt>
                <c:pt idx="5">
                  <c:v>7.36440030557698</c:v>
                </c:pt>
                <c:pt idx="6">
                  <c:v>13.0069731037427</c:v>
                </c:pt>
                <c:pt idx="7">
                  <c:v>44.588842715023</c:v>
                </c:pt>
                <c:pt idx="8">
                  <c:v>57.1652528349218</c:v>
                </c:pt>
                <c:pt idx="9">
                  <c:v>57.0317089119659</c:v>
                </c:pt>
                <c:pt idx="10">
                  <c:v>72.8355022972637</c:v>
                </c:pt>
                <c:pt idx="11">
                  <c:v>29.2682926829272</c:v>
                </c:pt>
                <c:pt idx="12">
                  <c:v>8.52987421383635</c:v>
                </c:pt>
                <c:pt idx="13">
                  <c:v>9.99637812386806</c:v>
                </c:pt>
                <c:pt idx="14">
                  <c:v>6.61837339479755</c:v>
                </c:pt>
                <c:pt idx="15">
                  <c:v>6.93329215565159</c:v>
                </c:pt>
                <c:pt idx="16">
                  <c:v>18.8736462093863</c:v>
                </c:pt>
                <c:pt idx="17">
                  <c:v>12.8765792031099</c:v>
                </c:pt>
                <c:pt idx="18">
                  <c:v>14.0317836131437</c:v>
                </c:pt>
                <c:pt idx="19">
                  <c:v>14.9980338183251</c:v>
                </c:pt>
                <c:pt idx="20">
                  <c:v>17.8634933661605</c:v>
                </c:pt>
                <c:pt idx="21">
                  <c:v>8.22522152017046</c:v>
                </c:pt>
                <c:pt idx="22">
                  <c:v>5.38800796858628</c:v>
                </c:pt>
                <c:pt idx="23">
                  <c:v>11.5810751748252</c:v>
                </c:pt>
                <c:pt idx="24">
                  <c:v>12.5378277304689</c:v>
                </c:pt>
                <c:pt idx="25">
                  <c:v>13.7400521363694</c:v>
                </c:pt>
                <c:pt idx="26">
                  <c:v>10.8261371880017</c:v>
                </c:pt>
                <c:pt idx="27">
                  <c:v>12.2242413020584</c:v>
                </c:pt>
                <c:pt idx="28">
                  <c:v>8.49551838265667</c:v>
                </c:pt>
                <c:pt idx="29">
                  <c:v>8.04741087967911</c:v>
                </c:pt>
                <c:pt idx="30">
                  <c:v>9.00943498007705</c:v>
                </c:pt>
                <c:pt idx="31">
                  <c:v>15.6968126387972</c:v>
                </c:pt>
                <c:pt idx="32">
                  <c:v>16.5022662139641</c:v>
                </c:pt>
                <c:pt idx="33">
                  <c:v>12.0951065173432</c:v>
                </c:pt>
                <c:pt idx="34">
                  <c:v>11.3964223378115</c:v>
                </c:pt>
                <c:pt idx="35">
                  <c:v>13.2460234276598</c:v>
                </c:pt>
                <c:pt idx="36">
                  <c:v>16.9528457221608</c:v>
                </c:pt>
                <c:pt idx="37">
                  <c:v>18.8471877843274</c:v>
                </c:pt>
              </c:numCache>
            </c:numRef>
          </c:val>
          <c:smooth val="0"/>
        </c:ser>
        <c:ser>
          <c:idx val="3"/>
          <c:order val="3"/>
          <c:tx>
            <c:strRef>
              <c:f>Sheet2!$T$2</c:f>
              <c:strCache>
                <c:ptCount val="1"/>
                <c:pt idx="0">
                  <c:v>Trade (% of GDP)</c:v>
                </c:pt>
              </c:strCache>
            </c:strRef>
          </c:tx>
          <c:marker>
            <c:symbol val="none"/>
          </c:marker>
          <c:dLbls>
            <c:delete val="1"/>
          </c:dLbls>
          <c:cat>
            <c:numRef>
              <c:f>Sheet2!$A$3:$A$40</c:f>
              <c:numCache>
                <c:formatCode>General</c:formatCode>
                <c:ptCount val="38"/>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pt idx="36">
                  <c:v>2021</c:v>
                </c:pt>
                <c:pt idx="37">
                  <c:v>2022</c:v>
                </c:pt>
              </c:numCache>
            </c:numRef>
          </c:cat>
          <c:val>
            <c:numRef>
              <c:f>Sheet2!$T$3:$T$40</c:f>
              <c:numCache>
                <c:formatCode>0.000</c:formatCode>
                <c:ptCount val="38"/>
                <c:pt idx="0">
                  <c:v>10.3919786061273</c:v>
                </c:pt>
                <c:pt idx="1">
                  <c:v>9.13584572231065</c:v>
                </c:pt>
                <c:pt idx="2">
                  <c:v>19.4953351115207</c:v>
                </c:pt>
                <c:pt idx="3">
                  <c:v>16.9406096882793</c:v>
                </c:pt>
                <c:pt idx="4">
                  <c:v>34.1826172542675</c:v>
                </c:pt>
                <c:pt idx="5">
                  <c:v>30.9247400798513</c:v>
                </c:pt>
                <c:pt idx="6">
                  <c:v>37.0216048644195</c:v>
                </c:pt>
                <c:pt idx="7">
                  <c:v>38.2273883146105</c:v>
                </c:pt>
                <c:pt idx="8">
                  <c:v>33.7197549313028</c:v>
                </c:pt>
                <c:pt idx="9">
                  <c:v>23.0592364507328</c:v>
                </c:pt>
                <c:pt idx="10">
                  <c:v>39.5283784087952</c:v>
                </c:pt>
                <c:pt idx="11">
                  <c:v>40.2577292482001</c:v>
                </c:pt>
                <c:pt idx="12">
                  <c:v>51.4610107949537</c:v>
                </c:pt>
                <c:pt idx="13">
                  <c:v>39.2786074702327</c:v>
                </c:pt>
                <c:pt idx="14">
                  <c:v>34.4578311759325</c:v>
                </c:pt>
                <c:pt idx="15">
                  <c:v>48.9955994666527</c:v>
                </c:pt>
                <c:pt idx="16">
                  <c:v>49.6805002885016</c:v>
                </c:pt>
                <c:pt idx="17">
                  <c:v>40.0351685881312</c:v>
                </c:pt>
                <c:pt idx="18">
                  <c:v>49.3349648618029</c:v>
                </c:pt>
                <c:pt idx="19">
                  <c:v>31.895870440492</c:v>
                </c:pt>
                <c:pt idx="20">
                  <c:v>33.0594600696504</c:v>
                </c:pt>
                <c:pt idx="21">
                  <c:v>42.566565803723</c:v>
                </c:pt>
                <c:pt idx="22">
                  <c:v>39.3369315096852</c:v>
                </c:pt>
                <c:pt idx="23">
                  <c:v>40.7968353499001</c:v>
                </c:pt>
                <c:pt idx="24">
                  <c:v>36.0587104056279</c:v>
                </c:pt>
                <c:pt idx="25">
                  <c:v>43.3207568422645</c:v>
                </c:pt>
                <c:pt idx="26">
                  <c:v>53.2779583342983</c:v>
                </c:pt>
                <c:pt idx="27">
                  <c:v>44.5323680484012</c:v>
                </c:pt>
                <c:pt idx="28">
                  <c:v>31.0488599618018</c:v>
                </c:pt>
                <c:pt idx="29">
                  <c:v>30.8851937150808</c:v>
                </c:pt>
                <c:pt idx="30">
                  <c:v>21.3326518707854</c:v>
                </c:pt>
                <c:pt idx="31">
                  <c:v>20.7225188807225</c:v>
                </c:pt>
                <c:pt idx="32">
                  <c:v>26.3475990009104</c:v>
                </c:pt>
                <c:pt idx="33">
                  <c:v>33.0078334908649</c:v>
                </c:pt>
                <c:pt idx="34">
                  <c:v>34.0238778317108</c:v>
                </c:pt>
                <c:pt idx="35">
                  <c:v>16.3521873977762</c:v>
                </c:pt>
                <c:pt idx="36">
                  <c:v>22.5765386125815</c:v>
                </c:pt>
                <c:pt idx="37">
                  <c:v>22.5765386125815</c:v>
                </c:pt>
              </c:numCache>
            </c:numRef>
          </c:val>
          <c:smooth val="0"/>
        </c:ser>
        <c:ser>
          <c:idx val="4"/>
          <c:order val="4"/>
          <c:tx>
            <c:strRef>
              <c:f>Sheet2!$U$2</c:f>
              <c:strCache>
                <c:ptCount val="1"/>
                <c:pt idx="0">
                  <c:v>Gross fixed capital formation (% of GDP)</c:v>
                </c:pt>
              </c:strCache>
            </c:strRef>
          </c:tx>
          <c:marker>
            <c:symbol val="none"/>
          </c:marker>
          <c:dLbls>
            <c:delete val="1"/>
          </c:dLbls>
          <c:cat>
            <c:numRef>
              <c:f>Sheet2!$A$3:$A$40</c:f>
              <c:numCache>
                <c:formatCode>General</c:formatCode>
                <c:ptCount val="38"/>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pt idx="36">
                  <c:v>2021</c:v>
                </c:pt>
                <c:pt idx="37">
                  <c:v>2022</c:v>
                </c:pt>
              </c:numCache>
            </c:numRef>
          </c:cat>
          <c:val>
            <c:numRef>
              <c:f>Sheet2!$U$3:$U$40</c:f>
              <c:numCache>
                <c:formatCode>0.000</c:formatCode>
                <c:ptCount val="38"/>
                <c:pt idx="0">
                  <c:v>46.395446978786</c:v>
                </c:pt>
                <c:pt idx="1">
                  <c:v>54.9482703761082</c:v>
                </c:pt>
                <c:pt idx="2">
                  <c:v>50.0498878730814</c:v>
                </c:pt>
                <c:pt idx="3">
                  <c:v>43.7547731385664</c:v>
                </c:pt>
                <c:pt idx="4">
                  <c:v>52.4874448729066</c:v>
                </c:pt>
                <c:pt idx="5">
                  <c:v>53.1221935296175</c:v>
                </c:pt>
                <c:pt idx="6">
                  <c:v>48.4001821644715</c:v>
                </c:pt>
                <c:pt idx="7">
                  <c:v>43.7743943900069</c:v>
                </c:pt>
                <c:pt idx="8">
                  <c:v>44.4763640845064</c:v>
                </c:pt>
                <c:pt idx="9">
                  <c:v>42.0678362091036</c:v>
                </c:pt>
                <c:pt idx="10">
                  <c:v>37.2059326740729</c:v>
                </c:pt>
                <c:pt idx="11">
                  <c:v>36.5816700475792</c:v>
                </c:pt>
                <c:pt idx="12">
                  <c:v>38.4222612730955</c:v>
                </c:pt>
                <c:pt idx="13">
                  <c:v>40.5534014771734</c:v>
                </c:pt>
                <c:pt idx="14">
                  <c:v>38.278001003087</c:v>
                </c:pt>
                <c:pt idx="15">
                  <c:v>34.0492849657348</c:v>
                </c:pt>
                <c:pt idx="16">
                  <c:v>30.0379434196143</c:v>
                </c:pt>
                <c:pt idx="17">
                  <c:v>26.7686560732736</c:v>
                </c:pt>
                <c:pt idx="18">
                  <c:v>28.3708958162341</c:v>
                </c:pt>
                <c:pt idx="19">
                  <c:v>26.0632544189063</c:v>
                </c:pt>
                <c:pt idx="20">
                  <c:v>24.9661248923537</c:v>
                </c:pt>
                <c:pt idx="21">
                  <c:v>26.1664998983409</c:v>
                </c:pt>
                <c:pt idx="22">
                  <c:v>20.1800367936726</c:v>
                </c:pt>
                <c:pt idx="23">
                  <c:v>18.8597672113715</c:v>
                </c:pt>
                <c:pt idx="24">
                  <c:v>21.1154546102351</c:v>
                </c:pt>
                <c:pt idx="25">
                  <c:v>16.8150132364128</c:v>
                </c:pt>
                <c:pt idx="26">
                  <c:v>15.6763106680146</c:v>
                </c:pt>
                <c:pt idx="27">
                  <c:v>14.2111200751631</c:v>
                </c:pt>
                <c:pt idx="28">
                  <c:v>14.1687262101977</c:v>
                </c:pt>
                <c:pt idx="29">
                  <c:v>15.0835333596494</c:v>
                </c:pt>
                <c:pt idx="30">
                  <c:v>14.8271754314458</c:v>
                </c:pt>
                <c:pt idx="31">
                  <c:v>14.7249552213428</c:v>
                </c:pt>
                <c:pt idx="32">
                  <c:v>14.7156166399294</c:v>
                </c:pt>
                <c:pt idx="33">
                  <c:v>19.0183835472532</c:v>
                </c:pt>
                <c:pt idx="34">
                  <c:v>24.6252342856447</c:v>
                </c:pt>
                <c:pt idx="35">
                  <c:v>26.7441998492132</c:v>
                </c:pt>
                <c:pt idx="36">
                  <c:v>33.1073592382163</c:v>
                </c:pt>
                <c:pt idx="37">
                  <c:v>33.1073592382163</c:v>
                </c:pt>
              </c:numCache>
            </c:numRef>
          </c:val>
          <c:smooth val="0"/>
        </c:ser>
        <c:dLbls>
          <c:showLegendKey val="0"/>
          <c:showVal val="0"/>
          <c:showCatName val="0"/>
          <c:showSerName val="0"/>
          <c:showPercent val="0"/>
          <c:showBubbleSize val="0"/>
        </c:dLbls>
        <c:marker val="0"/>
        <c:smooth val="0"/>
        <c:axId val="233310368"/>
        <c:axId val="233308800"/>
      </c:lineChart>
      <c:lineChart>
        <c:grouping val="standard"/>
        <c:varyColors val="0"/>
        <c:ser>
          <c:idx val="0"/>
          <c:order val="0"/>
          <c:tx>
            <c:strRef>
              <c:f>Sheet2!$Q$2</c:f>
              <c:strCache>
                <c:ptCount val="1"/>
                <c:pt idx="0">
                  <c:v>Life expectancy at birth, total (years)</c:v>
                </c:pt>
              </c:strCache>
            </c:strRef>
          </c:tx>
          <c:marker>
            <c:symbol val="none"/>
          </c:marker>
          <c:dLbls>
            <c:delete val="1"/>
          </c:dLbls>
          <c:cat>
            <c:numRef>
              <c:f>Sheet2!$A$3:$A$40</c:f>
              <c:numCache>
                <c:formatCode>General</c:formatCode>
                <c:ptCount val="38"/>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pt idx="36">
                  <c:v>2021</c:v>
                </c:pt>
                <c:pt idx="37">
                  <c:v>2022</c:v>
                </c:pt>
              </c:numCache>
            </c:numRef>
          </c:cat>
          <c:val>
            <c:numRef>
              <c:f>Sheet2!$Q$3:$Q$40</c:f>
              <c:numCache>
                <c:formatCode>General</c:formatCode>
                <c:ptCount val="38"/>
                <c:pt idx="0">
                  <c:v>46.317</c:v>
                </c:pt>
                <c:pt idx="1">
                  <c:v>45.975</c:v>
                </c:pt>
                <c:pt idx="2">
                  <c:v>46.018</c:v>
                </c:pt>
                <c:pt idx="3">
                  <c:v>46.072</c:v>
                </c:pt>
                <c:pt idx="4">
                  <c:v>46.182</c:v>
                </c:pt>
                <c:pt idx="5">
                  <c:v>46.037</c:v>
                </c:pt>
                <c:pt idx="6">
                  <c:v>45.691</c:v>
                </c:pt>
                <c:pt idx="7">
                  <c:v>45.668</c:v>
                </c:pt>
                <c:pt idx="8">
                  <c:v>45.788</c:v>
                </c:pt>
                <c:pt idx="9">
                  <c:v>45.513</c:v>
                </c:pt>
                <c:pt idx="10">
                  <c:v>45.487</c:v>
                </c:pt>
                <c:pt idx="11">
                  <c:v>45.567</c:v>
                </c:pt>
                <c:pt idx="12">
                  <c:v>45.792</c:v>
                </c:pt>
                <c:pt idx="13">
                  <c:v>46.036</c:v>
                </c:pt>
                <c:pt idx="14">
                  <c:v>46.614</c:v>
                </c:pt>
                <c:pt idx="15">
                  <c:v>47.193</c:v>
                </c:pt>
                <c:pt idx="16">
                  <c:v>47.619</c:v>
                </c:pt>
                <c:pt idx="17">
                  <c:v>47.928</c:v>
                </c:pt>
                <c:pt idx="18">
                  <c:v>48.441</c:v>
                </c:pt>
                <c:pt idx="19">
                  <c:v>48.767</c:v>
                </c:pt>
                <c:pt idx="20">
                  <c:v>49.297</c:v>
                </c:pt>
                <c:pt idx="21">
                  <c:v>49.73</c:v>
                </c:pt>
                <c:pt idx="22">
                  <c:v>50.033</c:v>
                </c:pt>
                <c:pt idx="23">
                  <c:v>50.225</c:v>
                </c:pt>
                <c:pt idx="24">
                  <c:v>50.712</c:v>
                </c:pt>
                <c:pt idx="25">
                  <c:v>50.945</c:v>
                </c:pt>
                <c:pt idx="26">
                  <c:v>51.357</c:v>
                </c:pt>
                <c:pt idx="27">
                  <c:v>51.497</c:v>
                </c:pt>
                <c:pt idx="28">
                  <c:v>51.707</c:v>
                </c:pt>
                <c:pt idx="29">
                  <c:v>51.791</c:v>
                </c:pt>
                <c:pt idx="30">
                  <c:v>51.841</c:v>
                </c:pt>
                <c:pt idx="31">
                  <c:v>52.043</c:v>
                </c:pt>
                <c:pt idx="32">
                  <c:v>52.305</c:v>
                </c:pt>
                <c:pt idx="33">
                  <c:v>52.554</c:v>
                </c:pt>
                <c:pt idx="34">
                  <c:v>52.91</c:v>
                </c:pt>
                <c:pt idx="35">
                  <c:v>52.887</c:v>
                </c:pt>
                <c:pt idx="36">
                  <c:v>52.676</c:v>
                </c:pt>
                <c:pt idx="37">
                  <c:v>52.676</c:v>
                </c:pt>
              </c:numCache>
            </c:numRef>
          </c:val>
          <c:smooth val="0"/>
        </c:ser>
        <c:ser>
          <c:idx val="1"/>
          <c:order val="1"/>
          <c:tx>
            <c:strRef>
              <c:f>Sheet2!$R$2</c:f>
              <c:strCache>
                <c:ptCount val="1"/>
                <c:pt idx="0">
                  <c:v>Mortality rate, under-5 (per 1,000 live births)</c:v>
                </c:pt>
              </c:strCache>
            </c:strRef>
          </c:tx>
          <c:marker>
            <c:symbol val="none"/>
          </c:marker>
          <c:dLbls>
            <c:delete val="1"/>
          </c:dLbls>
          <c:cat>
            <c:numRef>
              <c:f>Sheet2!$A$3:$A$40</c:f>
              <c:numCache>
                <c:formatCode>General</c:formatCode>
                <c:ptCount val="38"/>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pt idx="36">
                  <c:v>2021</c:v>
                </c:pt>
                <c:pt idx="37">
                  <c:v>2022</c:v>
                </c:pt>
              </c:numCache>
            </c:numRef>
          </c:cat>
          <c:val>
            <c:numRef>
              <c:f>Sheet2!$R$3:$R$40</c:f>
              <c:numCache>
                <c:formatCode>General</c:formatCode>
                <c:ptCount val="38"/>
                <c:pt idx="0">
                  <c:v>207.2</c:v>
                </c:pt>
                <c:pt idx="1">
                  <c:v>208.1</c:v>
                </c:pt>
                <c:pt idx="2">
                  <c:v>209</c:v>
                </c:pt>
                <c:pt idx="3">
                  <c:v>209.4</c:v>
                </c:pt>
                <c:pt idx="4">
                  <c:v>209.6</c:v>
                </c:pt>
                <c:pt idx="5">
                  <c:v>209.3</c:v>
                </c:pt>
                <c:pt idx="6">
                  <c:v>208.8</c:v>
                </c:pt>
                <c:pt idx="7">
                  <c:v>208.1</c:v>
                </c:pt>
                <c:pt idx="8">
                  <c:v>207.2</c:v>
                </c:pt>
                <c:pt idx="9">
                  <c:v>205.7</c:v>
                </c:pt>
                <c:pt idx="10">
                  <c:v>203.7</c:v>
                </c:pt>
                <c:pt idx="11">
                  <c:v>201</c:v>
                </c:pt>
                <c:pt idx="12">
                  <c:v>197.2</c:v>
                </c:pt>
                <c:pt idx="13">
                  <c:v>192.8</c:v>
                </c:pt>
                <c:pt idx="14">
                  <c:v>187.7</c:v>
                </c:pt>
                <c:pt idx="15">
                  <c:v>182.4</c:v>
                </c:pt>
                <c:pt idx="16">
                  <c:v>177</c:v>
                </c:pt>
                <c:pt idx="17">
                  <c:v>171.4</c:v>
                </c:pt>
                <c:pt idx="18">
                  <c:v>165.8</c:v>
                </c:pt>
                <c:pt idx="19">
                  <c:v>160.4</c:v>
                </c:pt>
                <c:pt idx="20">
                  <c:v>155.1</c:v>
                </c:pt>
                <c:pt idx="21">
                  <c:v>150.2</c:v>
                </c:pt>
                <c:pt idx="22">
                  <c:v>145.8</c:v>
                </c:pt>
                <c:pt idx="23">
                  <c:v>141.9</c:v>
                </c:pt>
                <c:pt idx="24">
                  <c:v>138.5</c:v>
                </c:pt>
                <c:pt idx="25">
                  <c:v>135.7</c:v>
                </c:pt>
                <c:pt idx="26">
                  <c:v>133.4</c:v>
                </c:pt>
                <c:pt idx="27">
                  <c:v>131.4</c:v>
                </c:pt>
                <c:pt idx="28">
                  <c:v>129.6</c:v>
                </c:pt>
                <c:pt idx="29">
                  <c:v>128</c:v>
                </c:pt>
                <c:pt idx="30">
                  <c:v>126.4</c:v>
                </c:pt>
                <c:pt idx="31">
                  <c:v>124.7</c:v>
                </c:pt>
                <c:pt idx="32">
                  <c:v>122.4</c:v>
                </c:pt>
                <c:pt idx="33">
                  <c:v>119.6</c:v>
                </c:pt>
                <c:pt idx="34">
                  <c:v>116.8</c:v>
                </c:pt>
                <c:pt idx="35">
                  <c:v>113.8</c:v>
                </c:pt>
                <c:pt idx="36">
                  <c:v>110.8</c:v>
                </c:pt>
                <c:pt idx="37">
                  <c:v>110.8</c:v>
                </c:pt>
              </c:numCache>
            </c:numRef>
          </c:val>
          <c:smooth val="0"/>
        </c:ser>
        <c:dLbls>
          <c:showLegendKey val="0"/>
          <c:showVal val="0"/>
          <c:showCatName val="0"/>
          <c:showSerName val="0"/>
          <c:showPercent val="0"/>
          <c:showBubbleSize val="0"/>
        </c:dLbls>
        <c:marker val="0"/>
        <c:smooth val="0"/>
        <c:axId val="233313896"/>
        <c:axId val="233309584"/>
      </c:lineChart>
      <c:catAx>
        <c:axId val="233310368"/>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b="0"/>
                  <a:t>Years</a:t>
                </a:r>
                <a:endParaRPr lang="en-US" b="0"/>
              </a:p>
            </c:rich>
          </c:tx>
          <c:layout>
            <c:manualLayout>
              <c:xMode val="edge"/>
              <c:yMode val="edge"/>
              <c:x val="0.900881732545497"/>
              <c:y val="0.852991452991454"/>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233308800"/>
        <c:crosses val="autoZero"/>
        <c:auto val="1"/>
        <c:lblAlgn val="ctr"/>
        <c:lblOffset val="100"/>
        <c:noMultiLvlLbl val="0"/>
      </c:catAx>
      <c:valAx>
        <c:axId val="233308800"/>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b="0"/>
                  <a:t>Inflation, Trade Openness, Investment</a:t>
                </a:r>
                <a:endParaRPr lang="en-US" b="0"/>
              </a:p>
            </c:rich>
          </c:tx>
          <c:layout/>
          <c:overlay val="0"/>
        </c:title>
        <c:numFmt formatCode="0.000"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233310368"/>
        <c:crosses val="autoZero"/>
        <c:crossBetween val="between"/>
      </c:valAx>
      <c:catAx>
        <c:axId val="233313896"/>
        <c:scaling>
          <c:orientation val="minMax"/>
        </c:scaling>
        <c:delete val="1"/>
        <c:axPos val="b"/>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233309584"/>
        <c:crosses val="autoZero"/>
        <c:auto val="1"/>
        <c:lblAlgn val="ctr"/>
        <c:lblOffset val="100"/>
        <c:noMultiLvlLbl val="0"/>
      </c:catAx>
      <c:valAx>
        <c:axId val="233309584"/>
        <c:scaling>
          <c:orientation val="minMax"/>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b="0"/>
                  <a:t>Life</a:t>
                </a:r>
                <a:r>
                  <a:rPr lang="en-US" b="0" baseline="0"/>
                  <a:t> expectancy, child mortality</a:t>
                </a:r>
                <a:endParaRPr lang="en-US" b="0"/>
              </a:p>
            </c:rich>
          </c:tx>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233313896"/>
        <c:crosses val="max"/>
        <c:crossBetween val="between"/>
      </c:valAx>
    </c:plotArea>
    <c:legend>
      <c:legendPos val="r"/>
      <c:layout>
        <c:manualLayout>
          <c:xMode val="edge"/>
          <c:yMode val="edge"/>
          <c:x val="0.332634410715299"/>
          <c:y val="0.0233690019516791"/>
          <c:w val="0.552002305868172"/>
          <c:h val="0.252407295241941"/>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en-US"/>
      </a:pPr>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2049"/>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218</Pages>
  <Words>48741</Words>
  <Characters>277828</Characters>
  <Lines>2315</Lines>
  <Paragraphs>651</Paragraphs>
  <TotalTime>0</TotalTime>
  <ScaleCrop>false</ScaleCrop>
  <LinksUpToDate>false</LinksUpToDate>
  <CharactersWithSpaces>325918</CharactersWithSpaces>
  <Application>WPS Office_12.2.0.13489_F1E327BC-269C-435d-A152-05C5408002CA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2023-11-29T14:07:00Z</dcterms:created>
  <dc:creator>Bonuola Oyeku</dc:creator>
  <cp:lastModifiedBy>google1581331680</cp:lastModifiedBy>
  <cp:lastPrinted>2023-11-28T12:25:00Z</cp:lastPrinted>
  <dcterms:modified xsi:type="dcterms:W3CDTF">2024-02-22T11:56:42Z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1033-12.2.0.13489</vt:lpwstr>
  </property>
  <property fmtid="{D5CDD505-2E9C-101B-9397-08002B2CF9AE}" pid="3" name="ICV">
    <vt:lpwstr>36971703A7494452A14EFB4C312E8B19_13</vt:lpwstr>
  </property>
</Properties>
</file>