
<file path=[Content_Types].xml><?xml version="1.0" encoding="utf-8"?>
<Types xmlns="http://schemas.openxmlformats.org/package/2006/content-types">
  <Default Extension="xml" ContentType="application/xml"/>
  <Default Extension="png" ContentType="image/png"/>
  <Default Extension="emf" ContentType="image/x-emf"/>
  <Default Extension="jpeg" ContentType="image/jpeg"/>
  <Default Extension="JPG" ContentType="image/.jpg"/>
  <Default Extension="wdp" ContentType="image/vnd.ms-photo"/>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480" w:lineRule="auto"/>
        <w:jc w:val="center"/>
        <w:rPr>
          <w:rFonts w:ascii="Times New Roman" w:hAnsi="Times New Roman"/>
          <w:b/>
          <w:bCs/>
          <w:color w:val="000000"/>
          <w:sz w:val="24"/>
          <w:szCs w:val="24"/>
        </w:rPr>
      </w:pPr>
      <w:bookmarkStart w:id="0" w:name="_Toc132200915"/>
      <w:bookmarkStart w:id="61" w:name="_GoBack"/>
      <w:bookmarkEnd w:id="61"/>
      <w:r>
        <w:rPr>
          <w:rFonts w:ascii="Times New Roman" w:hAnsi="Times New Roman"/>
          <w:b/>
          <w:bCs/>
          <w:color w:val="000000"/>
          <w:sz w:val="24"/>
          <w:szCs w:val="24"/>
        </w:rPr>
        <w:t>Impact of Animal Dung on Soil pH and Microbiota</w:t>
      </w:r>
    </w:p>
    <w:p>
      <w:pPr>
        <w:spacing w:after="0" w:line="480" w:lineRule="auto"/>
        <w:jc w:val="center"/>
        <w:rPr>
          <w:rFonts w:ascii="Times New Roman" w:hAnsi="Times New Roman"/>
          <w:b/>
          <w:bCs/>
          <w:color w:val="000000"/>
          <w:sz w:val="24"/>
          <w:szCs w:val="24"/>
        </w:rPr>
      </w:pPr>
    </w:p>
    <w:p>
      <w:pPr>
        <w:spacing w:after="0" w:line="480" w:lineRule="auto"/>
        <w:jc w:val="center"/>
        <w:rPr>
          <w:rFonts w:ascii="Times New Roman" w:hAnsi="Times New Roman"/>
          <w:b/>
          <w:bCs/>
          <w:color w:val="000000"/>
          <w:sz w:val="24"/>
          <w:szCs w:val="24"/>
        </w:rPr>
      </w:pPr>
    </w:p>
    <w:p>
      <w:pPr>
        <w:spacing w:after="0" w:line="240" w:lineRule="auto"/>
        <w:jc w:val="center"/>
        <w:rPr>
          <w:rFonts w:ascii="Times New Roman" w:hAnsi="Times New Roman"/>
          <w:b/>
          <w:bCs/>
          <w:color w:val="000000"/>
          <w:sz w:val="24"/>
          <w:szCs w:val="24"/>
        </w:rPr>
      </w:pPr>
    </w:p>
    <w:p>
      <w:pPr>
        <w:spacing w:after="0" w:line="240" w:lineRule="auto"/>
        <w:jc w:val="center"/>
        <w:rPr>
          <w:rFonts w:ascii="Times New Roman" w:hAnsi="Times New Roman"/>
          <w:b/>
          <w:bCs/>
          <w:color w:val="000000"/>
          <w:sz w:val="24"/>
          <w:szCs w:val="24"/>
        </w:rPr>
      </w:pPr>
      <w:r>
        <w:rPr>
          <w:rFonts w:ascii="Times New Roman" w:hAnsi="Times New Roman"/>
          <w:b/>
          <w:bCs/>
          <w:color w:val="000000"/>
          <w:sz w:val="24"/>
          <w:szCs w:val="24"/>
        </w:rPr>
        <w:t>Taofeeq Adesina SALAU</w:t>
      </w:r>
    </w:p>
    <w:p>
      <w:pPr>
        <w:spacing w:after="0" w:line="240" w:lineRule="auto"/>
        <w:jc w:val="center"/>
        <w:rPr>
          <w:rFonts w:ascii="Times New Roman" w:hAnsi="Times New Roman"/>
          <w:b/>
          <w:bCs/>
          <w:color w:val="000000"/>
          <w:sz w:val="24"/>
          <w:szCs w:val="24"/>
        </w:rPr>
      </w:pPr>
      <w:r>
        <w:rPr>
          <w:rFonts w:ascii="Times New Roman" w:hAnsi="Times New Roman"/>
          <w:b/>
          <w:color w:val="000000"/>
          <w:sz w:val="24"/>
          <w:szCs w:val="24"/>
        </w:rPr>
        <w:t>LCU/PG/001810</w:t>
      </w:r>
    </w:p>
    <w:p>
      <w:pPr>
        <w:spacing w:after="0" w:line="240" w:lineRule="auto"/>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240" w:lineRule="auto"/>
        <w:jc w:val="center"/>
        <w:rPr>
          <w:rFonts w:ascii="Times New Roman" w:hAnsi="Times New Roman"/>
          <w:b/>
          <w:color w:val="000000"/>
          <w:sz w:val="24"/>
          <w:szCs w:val="24"/>
        </w:rPr>
      </w:pPr>
      <w:r>
        <w:rPr>
          <w:rFonts w:ascii="Times New Roman" w:hAnsi="Times New Roman"/>
          <w:b/>
          <w:color w:val="000000"/>
          <w:sz w:val="24"/>
          <w:szCs w:val="24"/>
        </w:rPr>
        <w:t>Being a MSc Post-field Presentation Submitted to the Department of Biological Sciences, Faculty of Natural &amp; Applied Sciences, Lead City University, Ibadan, Oyo State, Nigeria</w:t>
      </w:r>
    </w:p>
    <w:p>
      <w:pPr>
        <w:spacing w:after="0" w:line="24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240" w:lineRule="auto"/>
        <w:jc w:val="center"/>
        <w:rPr>
          <w:rFonts w:ascii="Times New Roman" w:hAnsi="Times New Roman"/>
          <w:b/>
          <w:color w:val="000000"/>
          <w:sz w:val="24"/>
          <w:szCs w:val="24"/>
        </w:rPr>
      </w:pPr>
      <w:r>
        <w:rPr>
          <w:rFonts w:ascii="Times New Roman" w:hAnsi="Times New Roman"/>
          <w:b/>
          <w:color w:val="000000"/>
          <w:sz w:val="24"/>
          <w:szCs w:val="24"/>
        </w:rPr>
        <w:t>In Partial Fulfillment of the Requirements for the Award of Master of Science Degree (MSc) in Environmental Microbiology</w:t>
      </w: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r>
        <w:rPr>
          <w:rFonts w:ascii="Times New Roman" w:hAnsi="Times New Roman"/>
          <w:b/>
          <w:color w:val="000000"/>
          <w:sz w:val="24"/>
          <w:szCs w:val="24"/>
        </w:rPr>
        <w:t>2023</w:t>
      </w:r>
    </w:p>
    <w:p>
      <w:pPr>
        <w:spacing w:after="200" w:line="276" w:lineRule="auto"/>
        <w:rPr>
          <w:rFonts w:ascii="Times New Roman" w:hAnsi="Times New Roman" w:eastAsia="Times New Roman"/>
          <w:b/>
          <w:color w:val="000000"/>
          <w:sz w:val="24"/>
          <w:szCs w:val="24"/>
        </w:rPr>
      </w:pPr>
      <w:r>
        <w:rPr>
          <w:rFonts w:ascii="Times New Roman" w:hAnsi="Times New Roman"/>
          <w:sz w:val="24"/>
          <w:szCs w:val="24"/>
        </w:rPr>
        <w:br w:type="page"/>
      </w:r>
    </w:p>
    <w:p>
      <w:pPr>
        <w:spacing w:after="0" w:line="480" w:lineRule="auto"/>
        <w:jc w:val="center"/>
        <w:rPr>
          <w:rFonts w:ascii="Times New Roman" w:hAnsi="Times New Roman"/>
          <w:b/>
          <w:color w:val="000000"/>
          <w:sz w:val="24"/>
          <w:szCs w:val="24"/>
        </w:rPr>
      </w:pPr>
      <w:r>
        <w:rPr>
          <w:rFonts w:ascii="Times New Roman" w:hAnsi="Times New Roman"/>
          <w:b/>
          <w:color w:val="000000"/>
          <w:sz w:val="24"/>
          <w:szCs w:val="24"/>
        </w:rPr>
        <w:t>Certification</w:t>
      </w:r>
    </w:p>
    <w:p>
      <w:pPr>
        <w:spacing w:after="0" w:line="480" w:lineRule="auto"/>
        <w:jc w:val="both"/>
        <w:rPr>
          <w:rFonts w:ascii="Times New Roman" w:hAnsi="Times New Roman"/>
          <w:color w:val="000000"/>
          <w:sz w:val="24"/>
          <w:szCs w:val="24"/>
        </w:rPr>
      </w:pPr>
      <w:r>
        <w:rPr>
          <w:rFonts w:ascii="Times New Roman" w:hAnsi="Times New Roman"/>
          <w:color w:val="000000"/>
          <w:sz w:val="24"/>
          <w:szCs w:val="24"/>
        </w:rPr>
        <w:t xml:space="preserve">This is to certify that </w:t>
      </w:r>
      <w:r>
        <w:rPr>
          <w:rFonts w:ascii="Times New Roman" w:hAnsi="Times New Roman"/>
          <w:b/>
          <w:color w:val="000000"/>
          <w:sz w:val="24"/>
          <w:szCs w:val="24"/>
        </w:rPr>
        <w:t xml:space="preserve">Taofeeq Adesina SALAU </w:t>
      </w:r>
      <w:r>
        <w:rPr>
          <w:rFonts w:ascii="Times New Roman" w:hAnsi="Times New Roman"/>
          <w:color w:val="000000"/>
          <w:sz w:val="24"/>
          <w:szCs w:val="24"/>
        </w:rPr>
        <w:t>with the matriculation number LCU/PG/001810, carried out this research work titled “</w:t>
      </w:r>
      <w:r>
        <w:rPr>
          <w:rFonts w:ascii="Times New Roman" w:hAnsi="Times New Roman"/>
          <w:bCs/>
          <w:color w:val="000000"/>
          <w:sz w:val="24"/>
          <w:szCs w:val="24"/>
        </w:rPr>
        <w:t>Impact of Animal Dung on Soil pH and Microbiota”</w:t>
      </w:r>
      <w:r>
        <w:rPr>
          <w:rFonts w:ascii="Times New Roman" w:hAnsi="Times New Roman"/>
          <w:color w:val="000000"/>
          <w:sz w:val="24"/>
          <w:szCs w:val="24"/>
        </w:rPr>
        <w:t xml:space="preserve"> in the Department of Biological Science, Faculty of Natural &amp; Applied Sciences, Lead City University, Ibadan, Oyo State, for the award of Master of Science Degree (MSc) in Environmental Microbiology and this has not been previously submitted.</w:t>
      </w:r>
    </w:p>
    <w:p>
      <w:pPr>
        <w:spacing w:after="0" w:line="480" w:lineRule="auto"/>
        <w:jc w:val="both"/>
        <w:rPr>
          <w:rFonts w:ascii="Times New Roman" w:hAnsi="Times New Roman"/>
          <w:color w:val="000000"/>
          <w:sz w:val="24"/>
          <w:szCs w:val="24"/>
        </w:rPr>
      </w:pPr>
      <w:r>
        <w:rPr>
          <w:rFonts w:ascii="Times New Roman" w:hAnsi="Times New Roman"/>
          <w:color w:val="000000"/>
          <w:sz w:val="24"/>
          <w:szCs w:val="24"/>
        </w:rPr>
        <w:t xml:space="preserve"> </w:t>
      </w:r>
    </w:p>
    <w:p>
      <w:pPr>
        <w:spacing w:after="0" w:line="480" w:lineRule="auto"/>
        <w:jc w:val="both"/>
        <w:rPr>
          <w:rFonts w:ascii="Times New Roman" w:hAnsi="Times New Roman"/>
          <w:color w:val="000000"/>
          <w:sz w:val="24"/>
          <w:szCs w:val="24"/>
        </w:rPr>
      </w:pPr>
    </w:p>
    <w:p>
      <w:pPr>
        <w:spacing w:after="0" w:line="480" w:lineRule="auto"/>
        <w:jc w:val="both"/>
        <w:rPr>
          <w:rFonts w:ascii="Times New Roman" w:hAnsi="Times New Roman"/>
          <w:color w:val="000000"/>
          <w:sz w:val="24"/>
          <w:szCs w:val="24"/>
        </w:rPr>
      </w:pPr>
    </w:p>
    <w:p>
      <w:pPr>
        <w:tabs>
          <w:tab w:val="left" w:pos="8197"/>
        </w:tabs>
        <w:spacing w:after="0" w:line="240" w:lineRule="auto"/>
        <w:jc w:val="both"/>
        <w:rPr>
          <w:rFonts w:ascii="Times New Roman" w:hAnsi="Times New Roman"/>
          <w:color w:val="000000"/>
          <w:sz w:val="24"/>
          <w:szCs w:val="24"/>
        </w:rPr>
      </w:pPr>
      <w:r>
        <w:rPr>
          <w:rFonts w:ascii="Times New Roman" w:hAnsi="Times New Roman"/>
          <w:color w:val="000000"/>
          <w:sz w:val="24"/>
          <w:szCs w:val="24"/>
        </w:rPr>
        <mc:AlternateContent>
          <mc:Choice Requires="wps">
            <w:drawing>
              <wp:anchor distT="0" distB="0" distL="114300" distR="114300" simplePos="0" relativeHeight="251664384" behindDoc="0" locked="0" layoutInCell="1" allowOverlap="1">
                <wp:simplePos x="0" y="0"/>
                <wp:positionH relativeFrom="column">
                  <wp:posOffset>3275330</wp:posOffset>
                </wp:positionH>
                <wp:positionV relativeFrom="paragraph">
                  <wp:posOffset>286385</wp:posOffset>
                </wp:positionV>
                <wp:extent cx="2142490" cy="0"/>
                <wp:effectExtent l="8255" t="10160" r="11430" b="8890"/>
                <wp:wrapNone/>
                <wp:docPr id="83" name="Straight Arrow Connector 83"/>
                <wp:cNvGraphicFramePr/>
                <a:graphic xmlns:a="http://schemas.openxmlformats.org/drawingml/2006/main">
                  <a:graphicData uri="http://schemas.microsoft.com/office/word/2010/wordprocessingShape">
                    <wps:wsp>
                      <wps:cNvCnPr>
                        <a:cxnSpLocks noChangeShapeType="1"/>
                      </wps:cNvCnPr>
                      <wps:spPr bwMode="auto">
                        <a:xfrm>
                          <a:off x="0" y="0"/>
                          <a:ext cx="214249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257.9pt;margin-top:22.55pt;height:0pt;width:168.7pt;z-index:251664384;mso-width-relative:page;mso-height-relative:page;" filled="f" stroked="t" coordsize="21600,21600" o:gfxdata="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Nq8rZ7XAAAACQEAAA8AAAAA&#10;AAAAAQAgAAAAIgAAAGRycy9kb3ducmV2LnhtbFBLAQIUABQAAAAIAIdO4kBim0i63AEAAMMDAAAO&#10;AAAAAAAAAAEAIAAAACYBAABkcnMvZTJvRG9jLnhtbFBLBQYAAAAABgAGAFkBAAB0BQAAAAA=&#10;">
                <v:fill on="f" focussize="0,0"/>
                <v:stroke color="#000000" joinstyle="round"/>
                <v:imagedata o:title=""/>
                <o:lock v:ext="edit" aspectratio="f"/>
              </v:shape>
            </w:pict>
          </mc:Fallback>
        </mc:AlternateContent>
      </w:r>
      <w:r>
        <w:rPr>
          <w:rFonts w:ascii="Times New Roman" w:hAnsi="Times New Roman"/>
          <w:color w:val="000000"/>
          <w:sz w:val="24"/>
          <w:szCs w:val="24"/>
        </w:rPr>
        <mc:AlternateContent>
          <mc:Choice Requires="wps">
            <w:drawing>
              <wp:anchor distT="0" distB="0" distL="114300" distR="114300" simplePos="0" relativeHeight="251662336" behindDoc="0" locked="0" layoutInCell="1" allowOverlap="1">
                <wp:simplePos x="0" y="0"/>
                <wp:positionH relativeFrom="column">
                  <wp:posOffset>-50800</wp:posOffset>
                </wp:positionH>
                <wp:positionV relativeFrom="paragraph">
                  <wp:posOffset>294005</wp:posOffset>
                </wp:positionV>
                <wp:extent cx="2142490" cy="0"/>
                <wp:effectExtent l="6350" t="8255" r="13335" b="10795"/>
                <wp:wrapNone/>
                <wp:docPr id="85" name="Straight Arrow Connector 85"/>
                <wp:cNvGraphicFramePr/>
                <a:graphic xmlns:a="http://schemas.openxmlformats.org/drawingml/2006/main">
                  <a:graphicData uri="http://schemas.microsoft.com/office/word/2010/wordprocessingShape">
                    <wps:wsp>
                      <wps:cNvCnPr>
                        <a:cxnSpLocks noChangeShapeType="1"/>
                      </wps:cNvCnPr>
                      <wps:spPr bwMode="auto">
                        <a:xfrm>
                          <a:off x="0" y="0"/>
                          <a:ext cx="214249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4pt;margin-top:23.15pt;height:0pt;width:168.7pt;z-index:251662336;mso-width-relative:page;mso-height-relative:page;" filled="f" stroked="t" coordsize="21600,21600" o:gfxdata="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yV40CdcAAAAIAQAADwAAAAAA&#10;AAABACAAAAAiAAAAZHJzL2Rvd25yZXYueG1sUEsBAhQAFAAAAAgAh07iQLnd31DbAQAAwwMAAA4A&#10;AAAAAAAAAQAgAAAAJgEAAGRycy9lMm9Eb2MueG1sUEsFBgAAAAAGAAYAWQEAAHMFAAAAAA==&#10;">
                <v:fill on="f" focussize="0,0"/>
                <v:stroke color="#000000" joinstyle="round"/>
                <v:imagedata o:title=""/>
                <o:lock v:ext="edit" aspectratio="f"/>
              </v:shape>
            </w:pict>
          </mc:Fallback>
        </mc:AlternateContent>
      </w:r>
      <w:r>
        <w:rPr>
          <w:rFonts w:ascii="Times New Roman" w:hAnsi="Times New Roman"/>
          <w:color w:val="000000"/>
          <w:sz w:val="24"/>
          <w:szCs w:val="24"/>
        </w:rPr>
        <w:t xml:space="preserve"> </w:t>
      </w:r>
      <w:r>
        <w:drawing>
          <wp:inline distT="0" distB="0" distL="0" distR="0">
            <wp:extent cx="1304925" cy="448310"/>
            <wp:effectExtent l="0" t="0" r="0" b="8890"/>
            <wp:docPr id="73999470" name="Picture 73999470" descr="D:\scann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99470" name="Picture 73999470" descr="D:\scanned.png"/>
                    <pic:cNvPicPr>
                      <a:picLocks noChangeAspect="1" noChangeArrowheads="1"/>
                    </pic:cNvPicPr>
                  </pic:nvPicPr>
                  <pic:blipFill>
                    <a:blip r:embed="rId14" cstate="print">
                      <a:extLst>
                        <a:ext uri="{BEBA8EAE-BF5A-486C-A8C5-ECC9F3942E4B}">
                          <a14:imgProps xmlns:a14="http://schemas.microsoft.com/office/drawing/2010/main">
                            <a14:imgLayer r:embed="rId15">
                              <a14:imgEffect>
                                <a14:artisticPhotocopy trans="30000" detail="2"/>
                              </a14:imgEffect>
                              <a14:imgEffect>
                                <a14:brightnessContrast contrast="40000"/>
                              </a14:imgEffect>
                              <a14:imgEffect>
                                <a14:sharpenSoften amount="50000"/>
                              </a14:imgEffect>
                            </a14:imgLayer>
                          </a14:imgProps>
                        </a:ext>
                      </a:extLst>
                    </a:blip>
                    <a:srcRect l="45353" t="41958" r="32692" b="50000"/>
                    <a:stretch>
                      <a:fillRect/>
                    </a:stretch>
                  </pic:blipFill>
                  <pic:spPr>
                    <a:xfrm>
                      <a:off x="0" y="0"/>
                      <a:ext cx="1307175" cy="449346"/>
                    </a:xfrm>
                    <a:prstGeom prst="rect">
                      <a:avLst/>
                    </a:prstGeom>
                    <a:noFill/>
                    <a:ln w="9525">
                      <a:noFill/>
                      <a:miter lim="800000"/>
                      <a:headEnd/>
                      <a:tailEnd/>
                    </a:ln>
                  </pic:spPr>
                </pic:pic>
              </a:graphicData>
            </a:graphic>
          </wp:inline>
        </w:drawing>
      </w:r>
      <w:r>
        <w:rPr>
          <w:rFonts w:ascii="Times New Roman" w:hAnsi="Times New Roman"/>
          <w:color w:val="000000"/>
          <w:sz w:val="24"/>
          <w:szCs w:val="24"/>
        </w:rPr>
        <w:tab/>
      </w:r>
    </w:p>
    <w:p>
      <w:pPr>
        <w:pStyle w:val="53"/>
        <w:rPr>
          <w:rFonts w:ascii="Times New Roman" w:hAnsi="Times New Roman"/>
          <w:b/>
          <w:sz w:val="24"/>
          <w:szCs w:val="24"/>
        </w:rPr>
      </w:pPr>
      <w:r>
        <w:rPr>
          <w:rFonts w:ascii="Times New Roman" w:hAnsi="Times New Roman"/>
          <w:b/>
          <w:sz w:val="24"/>
          <w:szCs w:val="24"/>
        </w:rPr>
        <w:t>Dr. B.M Olowe</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Date</w:t>
      </w:r>
    </w:p>
    <w:p>
      <w:pPr>
        <w:pStyle w:val="53"/>
        <w:rPr>
          <w:rFonts w:ascii="Times New Roman" w:hAnsi="Times New Roman"/>
          <w:sz w:val="24"/>
          <w:szCs w:val="24"/>
        </w:rPr>
      </w:pPr>
      <w:r>
        <w:rPr>
          <w:rFonts w:ascii="Times New Roman" w:hAnsi="Times New Roman"/>
          <w:sz w:val="24"/>
          <w:szCs w:val="24"/>
        </w:rPr>
        <w:t>(Supervisor)</w:t>
      </w:r>
      <w:r>
        <w:rPr>
          <w:rFonts w:ascii="Times New Roman" w:hAnsi="Times New Roman"/>
          <w:sz w:val="24"/>
          <w:szCs w:val="24"/>
        </w:rPr>
        <w:tab/>
      </w:r>
    </w:p>
    <w:p>
      <w:pPr>
        <w:spacing w:after="0" w:line="480" w:lineRule="auto"/>
        <w:jc w:val="both"/>
        <w:rPr>
          <w:rFonts w:ascii="Times New Roman" w:hAnsi="Times New Roman"/>
          <w:b/>
          <w:color w:val="000000"/>
          <w:sz w:val="24"/>
          <w:szCs w:val="24"/>
        </w:rPr>
      </w:pPr>
    </w:p>
    <w:p>
      <w:pPr>
        <w:spacing w:after="0" w:line="480" w:lineRule="auto"/>
        <w:jc w:val="both"/>
        <w:rPr>
          <w:rFonts w:ascii="Times New Roman" w:hAnsi="Times New Roman"/>
          <w:b/>
          <w:color w:val="000000"/>
          <w:sz w:val="24"/>
          <w:szCs w:val="24"/>
        </w:rPr>
      </w:pPr>
    </w:p>
    <w:p>
      <w:pPr>
        <w:spacing w:after="0" w:line="480" w:lineRule="auto"/>
        <w:jc w:val="both"/>
        <w:rPr>
          <w:rFonts w:ascii="Times New Roman" w:hAnsi="Times New Roman"/>
          <w:b/>
          <w:color w:val="000000"/>
          <w:sz w:val="24"/>
          <w:szCs w:val="24"/>
        </w:rPr>
      </w:pPr>
    </w:p>
    <w:p>
      <w:pPr>
        <w:spacing w:after="0" w:line="480" w:lineRule="auto"/>
        <w:jc w:val="both"/>
        <w:rPr>
          <w:rFonts w:ascii="Times New Roman" w:hAnsi="Times New Roman"/>
          <w:b/>
          <w:color w:val="000000"/>
          <w:sz w:val="24"/>
          <w:szCs w:val="24"/>
        </w:rPr>
      </w:pPr>
      <w:r>
        <w:rPr>
          <w:rFonts w:ascii="Times New Roman" w:hAnsi="Times New Roman"/>
          <w:color w:val="000000"/>
          <w:sz w:val="24"/>
          <w:szCs w:val="24"/>
        </w:rPr>
        <mc:AlternateContent>
          <mc:Choice Requires="wps">
            <w:drawing>
              <wp:anchor distT="0" distB="0" distL="114300" distR="114300" simplePos="0" relativeHeight="251667456" behindDoc="0" locked="0" layoutInCell="1" allowOverlap="1">
                <wp:simplePos x="0" y="0"/>
                <wp:positionH relativeFrom="column">
                  <wp:posOffset>3267710</wp:posOffset>
                </wp:positionH>
                <wp:positionV relativeFrom="paragraph">
                  <wp:posOffset>241300</wp:posOffset>
                </wp:positionV>
                <wp:extent cx="2142490" cy="0"/>
                <wp:effectExtent l="10160" t="12065" r="9525" b="6985"/>
                <wp:wrapNone/>
                <wp:docPr id="86" name="Straight Arrow Connector 86"/>
                <wp:cNvGraphicFramePr/>
                <a:graphic xmlns:a="http://schemas.openxmlformats.org/drawingml/2006/main">
                  <a:graphicData uri="http://schemas.microsoft.com/office/word/2010/wordprocessingShape">
                    <wps:wsp>
                      <wps:cNvCnPr>
                        <a:cxnSpLocks noChangeShapeType="1"/>
                      </wps:cNvCnPr>
                      <wps:spPr bwMode="auto">
                        <a:xfrm>
                          <a:off x="0" y="0"/>
                          <a:ext cx="214249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257.3pt;margin-top:19pt;height:0pt;width:168.7pt;z-index:251667456;mso-width-relative:page;mso-height-relative:page;" filled="f" stroked="t" coordsize="21600,21600" o:gfxdata="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3s4vLtcAAAAJAQAADwAAAAAA&#10;AAABACAAAAAiAAAAZHJzL2Rvd25yZXYueG1sUEsBAhQAFAAAAAgAh07iQPT9LMjbAQAAwwMAAA4A&#10;AAAAAAAAAQAgAAAAJgEAAGRycy9lMm9Eb2MueG1sUEsFBgAAAAAGAAYAWQEAAHMFAAAAAA==&#10;">
                <v:fill on="f" focussize="0,0"/>
                <v:stroke color="#000000" joinstyle="round"/>
                <v:imagedata o:title=""/>
                <o:lock v:ext="edit" aspectratio="f"/>
              </v:shape>
            </w:pict>
          </mc:Fallback>
        </mc:AlternateContent>
      </w:r>
      <w:r>
        <w:rPr>
          <w:rFonts w:ascii="Times New Roman" w:hAnsi="Times New Roman"/>
          <w:color w:val="000000"/>
          <w:sz w:val="24"/>
          <w:szCs w:val="24"/>
        </w:rPr>
        <mc:AlternateContent>
          <mc:Choice Requires="wps">
            <w:drawing>
              <wp:anchor distT="0" distB="0" distL="114300" distR="114300" simplePos="0" relativeHeight="251670528" behindDoc="0" locked="0" layoutInCell="1" allowOverlap="1">
                <wp:simplePos x="0" y="0"/>
                <wp:positionH relativeFrom="column">
                  <wp:posOffset>-46990</wp:posOffset>
                </wp:positionH>
                <wp:positionV relativeFrom="paragraph">
                  <wp:posOffset>233680</wp:posOffset>
                </wp:positionV>
                <wp:extent cx="2142490" cy="0"/>
                <wp:effectExtent l="10160" t="13970" r="9525" b="5080"/>
                <wp:wrapNone/>
                <wp:docPr id="87" name="Straight Arrow Connector 87"/>
                <wp:cNvGraphicFramePr/>
                <a:graphic xmlns:a="http://schemas.openxmlformats.org/drawingml/2006/main">
                  <a:graphicData uri="http://schemas.microsoft.com/office/word/2010/wordprocessingShape">
                    <wps:wsp>
                      <wps:cNvCnPr>
                        <a:cxnSpLocks noChangeShapeType="1"/>
                      </wps:cNvCnPr>
                      <wps:spPr bwMode="auto">
                        <a:xfrm>
                          <a:off x="0" y="0"/>
                          <a:ext cx="214249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3.7pt;margin-top:18.4pt;height:0pt;width:168.7pt;z-index:251670528;mso-width-relative:page;mso-height-relative:page;" filled="f" stroked="t" coordsize="21600,21600" o:gfxdata="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nLYmrtYAAAAIAQAADwAAAAAA&#10;AAABACAAAAAiAAAAZHJzL2Rvd25yZXYueG1sUEsBAhQAFAAAAAgAh07iQM8dgr/cAQAAwwMAAA4A&#10;AAAAAAAAAQAgAAAAJQEAAGRycy9lMm9Eb2MueG1sUEsFBgAAAAAGAAYAWQEAAHMFAAAAAA==&#10;">
                <v:fill on="f" focussize="0,0"/>
                <v:stroke color="#000000" joinstyle="round"/>
                <v:imagedata o:title=""/>
                <o:lock v:ext="edit" aspectratio="f"/>
              </v:shape>
            </w:pict>
          </mc:Fallback>
        </mc:AlternateContent>
      </w:r>
    </w:p>
    <w:p>
      <w:pPr>
        <w:pStyle w:val="53"/>
        <w:rPr>
          <w:rFonts w:ascii="Times New Roman" w:hAnsi="Times New Roman"/>
          <w:b/>
          <w:sz w:val="24"/>
          <w:szCs w:val="24"/>
        </w:rPr>
      </w:pPr>
      <w:r>
        <w:rPr>
          <w:rFonts w:ascii="Times New Roman" w:hAnsi="Times New Roman"/>
          <w:b/>
          <w:sz w:val="24"/>
          <w:szCs w:val="24"/>
        </w:rPr>
        <w:t>Dr. Felicia Adesina</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Date</w:t>
      </w:r>
    </w:p>
    <w:p>
      <w:pPr>
        <w:pStyle w:val="53"/>
        <w:rPr>
          <w:rFonts w:ascii="Times New Roman" w:hAnsi="Times New Roman"/>
          <w:sz w:val="24"/>
          <w:szCs w:val="24"/>
        </w:rPr>
      </w:pPr>
      <w:r>
        <w:rPr>
          <w:rFonts w:ascii="Times New Roman" w:hAnsi="Times New Roman"/>
          <w:sz w:val="24"/>
          <w:szCs w:val="24"/>
        </w:rPr>
        <w:t>(Head of Department)</w:t>
      </w:r>
      <w:r>
        <w:rPr>
          <w:rFonts w:ascii="Times New Roman" w:hAnsi="Times New Roman"/>
          <w:sz w:val="24"/>
          <w:szCs w:val="24"/>
        </w:rPr>
        <w:tab/>
      </w:r>
    </w:p>
    <w:p>
      <w:pPr>
        <w:spacing w:after="0" w:line="480" w:lineRule="auto"/>
        <w:jc w:val="both"/>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200" w:line="276" w:lineRule="auto"/>
        <w:rPr>
          <w:rFonts w:ascii="Times New Roman" w:hAnsi="Times New Roman"/>
          <w:b/>
          <w:color w:val="000000"/>
          <w:sz w:val="24"/>
          <w:szCs w:val="24"/>
        </w:rPr>
      </w:pPr>
      <w:r>
        <w:rPr>
          <w:rFonts w:ascii="Times New Roman" w:hAnsi="Times New Roman"/>
          <w:b/>
          <w:color w:val="000000"/>
          <w:sz w:val="24"/>
          <w:szCs w:val="24"/>
        </w:rPr>
        <w:br w:type="page"/>
      </w:r>
    </w:p>
    <w:p>
      <w:pPr>
        <w:spacing w:after="0" w:line="480" w:lineRule="auto"/>
        <w:jc w:val="center"/>
        <w:rPr>
          <w:rFonts w:ascii="Times New Roman" w:hAnsi="Times New Roman"/>
          <w:b/>
          <w:color w:val="000000"/>
          <w:sz w:val="24"/>
          <w:szCs w:val="24"/>
        </w:rPr>
      </w:pPr>
      <w:r>
        <w:rPr>
          <w:rFonts w:ascii="Times New Roman" w:hAnsi="Times New Roman"/>
          <w:b/>
          <w:color w:val="000000"/>
          <w:sz w:val="24"/>
          <w:szCs w:val="24"/>
        </w:rPr>
        <w:t>Dedication</w:t>
      </w:r>
    </w:p>
    <w:p>
      <w:pPr>
        <w:spacing w:after="0" w:line="480" w:lineRule="auto"/>
        <w:rPr>
          <w:rFonts w:ascii="Times New Roman" w:hAnsi="Times New Roman"/>
          <w:color w:val="000000"/>
          <w:sz w:val="24"/>
          <w:szCs w:val="24"/>
        </w:rPr>
      </w:pPr>
      <w:r>
        <w:rPr>
          <w:rFonts w:ascii="Times New Roman" w:hAnsi="Times New Roman"/>
          <w:color w:val="000000"/>
          <w:sz w:val="24"/>
          <w:szCs w:val="24"/>
        </w:rPr>
        <w:t xml:space="preserve">This thesis is dedicated to Almighty God and to my wonderful family. </w:t>
      </w: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jc w:val="center"/>
        <w:rPr>
          <w:rFonts w:ascii="Times New Roman" w:hAnsi="Times New Roman"/>
          <w:b/>
          <w:color w:val="000000"/>
          <w:sz w:val="24"/>
          <w:szCs w:val="24"/>
        </w:rPr>
      </w:pPr>
    </w:p>
    <w:p>
      <w:pPr>
        <w:spacing w:after="0" w:line="480" w:lineRule="auto"/>
        <w:rPr>
          <w:rFonts w:ascii="Times New Roman" w:hAnsi="Times New Roman"/>
          <w:b/>
          <w:color w:val="000000"/>
          <w:sz w:val="24"/>
          <w:szCs w:val="24"/>
        </w:rPr>
      </w:pPr>
    </w:p>
    <w:p>
      <w:pPr>
        <w:spacing w:after="200" w:line="276" w:lineRule="auto"/>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br w:type="page"/>
      </w:r>
    </w:p>
    <w:p>
      <w:pPr>
        <w:spacing w:after="0" w:line="480" w:lineRule="auto"/>
        <w:jc w:val="center"/>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Acknowledgements</w:t>
      </w:r>
    </w:p>
    <w:p>
      <w:pPr>
        <w:spacing w:after="0" w:line="480" w:lineRule="auto"/>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I want to appreciate Lead City University and members of A-library for their support and knowledgeable impact.</w:t>
      </w:r>
    </w:p>
    <w:p>
      <w:pPr>
        <w:spacing w:after="0" w:line="480" w:lineRule="auto"/>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My immeasurable gratitude goes to amiable supervisor, Dr. B. M. Olowe. Oga, you are indeed a sister and a mentor. You stood by me and believed in my ability to bring the best out of the unthinkable even when I thought I was not capable. Words cannot express my gratitude, thank you for accepting me with my flaws. I appreciate the support of the Head of Department Dr. Felicia Adesina for the words of encouragement. The efforts of Drs Ekanade, Sindiku, Olagunju, Bamikefa, Ologeh, Mosuro and all non-academic staff are really appreciated and I pray God help you in all your set-out goals.</w:t>
      </w:r>
    </w:p>
    <w:p>
      <w:pPr>
        <w:spacing w:after="0" w:line="480" w:lineRule="auto"/>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My deeper gratitude goes to the love of my life, my soul mate and better half, Mrs Olufunke S. SALAU. May God continue to shower His blessings and favours on you. To my children, thank you for being such an understanding children. A big thank you goes to my senior colleagues at Department of Animal Science, University of Ibadan, Chief Adelani, Mr Odufoye, Mrs Ngere, Joel, Lawal and others. May God assist you all in your endeavours. I appreciate the support of Dr. T. O. Bankole and Mr Makinde. I received unconditional favours from them every time. May God bless you and yours.</w:t>
      </w:r>
    </w:p>
    <w:p>
      <w:pPr>
        <w:spacing w:after="0" w:line="480" w:lineRule="auto"/>
        <w:jc w:val="both"/>
        <w:rPr>
          <w:rFonts w:ascii="Times New Roman" w:hAnsi="Times New Roman"/>
          <w:color w:val="FF0000"/>
          <w:sz w:val="24"/>
          <w:szCs w:val="24"/>
        </w:rPr>
      </w:pPr>
      <w:r>
        <w:rPr>
          <w:rFonts w:ascii="Times New Roman" w:hAnsi="Times New Roman"/>
          <w:color w:val="000000" w:themeColor="text1"/>
          <w:sz w:val="24"/>
          <w:szCs w:val="24"/>
          <w14:textFill>
            <w14:solidFill>
              <w14:schemeClr w14:val="tx1"/>
            </w14:solidFill>
          </w14:textFill>
        </w:rPr>
        <w:t>Even though the above institutions and persons have assisted in the process of this research work, I alone stand responsible for any error, if any, found in the work.</w:t>
      </w:r>
    </w:p>
    <w:p>
      <w:pPr>
        <w:rPr>
          <w:rFonts w:ascii="Times New Roman" w:hAnsi="Times New Roman"/>
          <w:color w:val="000000"/>
          <w:sz w:val="24"/>
          <w:szCs w:val="24"/>
        </w:rPr>
      </w:pPr>
    </w:p>
    <w:p>
      <w:pPr>
        <w:rPr>
          <w:rFonts w:ascii="Times New Roman" w:hAnsi="Times New Roman"/>
          <w:color w:val="000000"/>
          <w:sz w:val="24"/>
          <w:szCs w:val="24"/>
        </w:rPr>
      </w:pPr>
    </w:p>
    <w:p>
      <w:pPr>
        <w:rPr>
          <w:rFonts w:ascii="Times New Roman" w:hAnsi="Times New Roman"/>
          <w:b/>
          <w:color w:val="000000"/>
          <w:sz w:val="24"/>
          <w:szCs w:val="24"/>
        </w:rPr>
      </w:pPr>
    </w:p>
    <w:p>
      <w:pPr>
        <w:spacing w:after="120" w:line="360" w:lineRule="auto"/>
        <w:rPr>
          <w:rFonts w:ascii="Times New Roman" w:hAnsi="Times New Roman"/>
          <w:color w:val="FF0000"/>
          <w:sz w:val="24"/>
          <w:szCs w:val="24"/>
        </w:rPr>
      </w:pPr>
    </w:p>
    <w:p>
      <w:pPr>
        <w:spacing w:after="120" w:line="360" w:lineRule="auto"/>
        <w:rPr>
          <w:rFonts w:ascii="Times New Roman" w:hAnsi="Times New Roman"/>
          <w:b/>
          <w:sz w:val="24"/>
          <w:szCs w:val="24"/>
        </w:rPr>
      </w:pPr>
    </w:p>
    <w:p>
      <w:pPr>
        <w:spacing w:after="200" w:line="276" w:lineRule="auto"/>
        <w:rPr>
          <w:rFonts w:ascii="Times New Roman" w:hAnsi="Times New Roman"/>
          <w:b/>
          <w:sz w:val="24"/>
          <w:szCs w:val="24"/>
        </w:rPr>
      </w:pPr>
      <w:r>
        <w:rPr>
          <w:rFonts w:ascii="Times New Roman" w:hAnsi="Times New Roman"/>
          <w:b/>
          <w:sz w:val="24"/>
          <w:szCs w:val="24"/>
        </w:rPr>
        <w:br w:type="page"/>
      </w:r>
    </w:p>
    <w:p>
      <w:pPr>
        <w:spacing w:after="120" w:line="360" w:lineRule="auto"/>
        <w:jc w:val="center"/>
        <w:rPr>
          <w:rFonts w:ascii="Times New Roman" w:hAnsi="Times New Roman"/>
          <w:b/>
          <w:sz w:val="24"/>
          <w:szCs w:val="24"/>
        </w:rPr>
      </w:pPr>
      <w:r>
        <w:rPr>
          <w:rFonts w:ascii="Times New Roman" w:hAnsi="Times New Roman"/>
          <w:b/>
          <w:sz w:val="24"/>
          <w:szCs w:val="24"/>
        </w:rPr>
        <w:t>Abstract</w:t>
      </w:r>
    </w:p>
    <w:p>
      <w:pPr>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It has been established that continuous waste disposal on land contributes to the acidification of soil and soil pH influences nutrient availability. This study investigated the impact of animal dung on soil pH and microbiota. Soil samples from five different livestock litters were collected from two medium-scale livestock farms. These included litter-free soil with pH 7 (control), and soil samples from dungs of poultry, pig, goat and cattle. Physicochemical properties of each soil samples were assessed according to </w:t>
      </w:r>
      <w:r>
        <w:rPr>
          <w:rFonts w:ascii="Times New Roman" w:hAnsi="Times New Roman"/>
          <w:bCs/>
          <w:color w:val="000000"/>
          <w:sz w:val="24"/>
          <w:szCs w:val="24"/>
        </w:rPr>
        <w:t xml:space="preserve">standard </w:t>
      </w:r>
      <w:r>
        <w:rPr>
          <w:rFonts w:ascii="Times New Roman" w:hAnsi="Times New Roman"/>
          <w:color w:val="000000"/>
          <w:sz w:val="24"/>
          <w:szCs w:val="24"/>
        </w:rPr>
        <w:t>procedure. Total heterotrophic plate count and total fungi count of each sample were determined using standard pour plate technique. Five isolates were selected for molecular identification. Data obtained were subjected to descriptive statistics and analysis of variance (ANOVA) at p = 0.05. Means were separated using Duncan Multiple Range Test of the SPSS analytical software. There were significant differences among the treatments for the parameters measured. pH value was highest in cattle dung soil (5.78) and lowest in pig dung soil (5.48). The following soil health-indicator bacteria (cellulolytic bacteria, amylolytic bacteria, proteolytic bacteria, Phosphate solubilizing bacteria, Nitrogen fixing bacteria and Actinobacteria) were identified.</w:t>
      </w:r>
      <w:r>
        <w:rPr>
          <w:rFonts w:ascii="Times New Roman" w:hAnsi="Times New Roman" w:eastAsia="Times New Roman"/>
          <w:color w:val="000000"/>
          <w:kern w:val="24"/>
          <w:sz w:val="24"/>
          <w:szCs w:val="24"/>
          <w:lang w:eastAsia="en-GB"/>
        </w:rPr>
        <w:t xml:space="preserve"> </w:t>
      </w:r>
      <w:r>
        <w:rPr>
          <w:rFonts w:ascii="Times New Roman" w:hAnsi="Times New Roman"/>
          <w:color w:val="000000"/>
          <w:sz w:val="24"/>
          <w:szCs w:val="24"/>
        </w:rPr>
        <w:t>Microbial analyses showed that soil samples from pig dung had significantly higher microbial counts and isolates of interest compared to others except phosphate solubilizing bacteria. Probable fungi (</w:t>
      </w:r>
      <w:r>
        <w:rPr>
          <w:rFonts w:ascii="Times New Roman" w:hAnsi="Times New Roman"/>
          <w:i/>
          <w:iCs/>
          <w:color w:val="000000"/>
          <w:sz w:val="24"/>
          <w:szCs w:val="24"/>
        </w:rPr>
        <w:t>Aspergillus niger, Rhizopus stolonifer</w:t>
      </w:r>
      <w:r>
        <w:rPr>
          <w:rFonts w:ascii="Times New Roman" w:hAnsi="Times New Roman"/>
          <w:color w:val="000000"/>
          <w:sz w:val="24"/>
          <w:szCs w:val="24"/>
        </w:rPr>
        <w:t xml:space="preserve">, </w:t>
      </w:r>
      <w:r>
        <w:rPr>
          <w:rFonts w:ascii="Times New Roman" w:hAnsi="Times New Roman"/>
          <w:i/>
          <w:iCs/>
          <w:color w:val="000000"/>
          <w:sz w:val="24"/>
          <w:szCs w:val="24"/>
        </w:rPr>
        <w:t>Fusarium oxysporum, Aspergillus flavus</w:t>
      </w:r>
      <w:r>
        <w:rPr>
          <w:rFonts w:ascii="Times New Roman" w:hAnsi="Times New Roman"/>
          <w:color w:val="000000"/>
          <w:sz w:val="24"/>
          <w:szCs w:val="24"/>
        </w:rPr>
        <w:t xml:space="preserve">) accompanying bacterial isolates were observed and identified. Isolates subjected to molecular identification were identified as </w:t>
      </w:r>
      <w:r>
        <w:rPr>
          <w:rFonts w:ascii="Times New Roman" w:hAnsi="Times New Roman"/>
          <w:i/>
          <w:iCs/>
          <w:color w:val="000000"/>
          <w:sz w:val="24"/>
          <w:szCs w:val="24"/>
        </w:rPr>
        <w:t xml:space="preserve">P. aeruginosa, B. cereus, K. pneumoniae, B. substilis </w:t>
      </w:r>
      <w:r>
        <w:rPr>
          <w:rFonts w:ascii="Times New Roman" w:hAnsi="Times New Roman"/>
          <w:color w:val="000000"/>
          <w:sz w:val="24"/>
          <w:szCs w:val="24"/>
        </w:rPr>
        <w:t>and</w:t>
      </w:r>
      <w:r>
        <w:rPr>
          <w:rFonts w:ascii="Times New Roman" w:hAnsi="Times New Roman"/>
          <w:i/>
          <w:iCs/>
          <w:color w:val="000000"/>
          <w:sz w:val="24"/>
          <w:szCs w:val="24"/>
        </w:rPr>
        <w:t xml:space="preserve"> B. thuringiensis</w:t>
      </w:r>
      <w:r>
        <w:rPr>
          <w:rFonts w:ascii="Times New Roman" w:hAnsi="Times New Roman"/>
          <w:color w:val="000000"/>
          <w:sz w:val="24"/>
          <w:szCs w:val="24"/>
        </w:rPr>
        <w:t xml:space="preserve"> with 99% similarity search identity. Statistical analysis revealed that relationship exists between the physicochemical parameters and microbes isolated. The study observed an imbalance in the microbial population and diversity which could be because of the adaptability of the microbes to the different acidic condition observed.</w:t>
      </w:r>
    </w:p>
    <w:p>
      <w:pPr>
        <w:spacing w:after="0" w:line="240" w:lineRule="auto"/>
        <w:jc w:val="both"/>
        <w:rPr>
          <w:rFonts w:ascii="Times New Roman" w:hAnsi="Times New Roman"/>
          <w:b/>
          <w:color w:val="000000"/>
          <w:sz w:val="24"/>
          <w:szCs w:val="24"/>
        </w:rPr>
      </w:pPr>
    </w:p>
    <w:p>
      <w:pPr>
        <w:spacing w:after="0" w:line="240" w:lineRule="auto"/>
        <w:jc w:val="both"/>
        <w:rPr>
          <w:rFonts w:ascii="Times New Roman" w:hAnsi="Times New Roman"/>
          <w:color w:val="000000"/>
          <w:sz w:val="24"/>
          <w:szCs w:val="24"/>
        </w:rPr>
      </w:pPr>
      <w:r>
        <w:rPr>
          <w:rFonts w:ascii="Times New Roman" w:hAnsi="Times New Roman"/>
          <w:b/>
          <w:color w:val="000000"/>
          <w:sz w:val="24"/>
          <w:szCs w:val="24"/>
        </w:rPr>
        <w:t>Keywords</w:t>
      </w:r>
      <w:r>
        <w:rPr>
          <w:rFonts w:ascii="Times New Roman" w:hAnsi="Times New Roman"/>
          <w:color w:val="000000"/>
          <w:sz w:val="24"/>
          <w:szCs w:val="24"/>
        </w:rPr>
        <w:t>: Soil acidification, Livestock farms, Soil microbiota, Soil health</w:t>
      </w:r>
    </w:p>
    <w:p>
      <w:pPr>
        <w:spacing w:after="0" w:line="240" w:lineRule="auto"/>
        <w:rPr>
          <w:rFonts w:ascii="Times New Roman" w:hAnsi="Times New Roman"/>
          <w:sz w:val="24"/>
          <w:szCs w:val="24"/>
        </w:rPr>
      </w:pPr>
      <w:r>
        <w:rPr>
          <w:rFonts w:ascii="Times New Roman" w:hAnsi="Times New Roman"/>
          <w:b/>
          <w:color w:val="000000"/>
          <w:sz w:val="24"/>
          <w:szCs w:val="24"/>
        </w:rPr>
        <w:t>Word Count:</w:t>
      </w:r>
      <w:r>
        <w:rPr>
          <w:rFonts w:ascii="Times New Roman" w:hAnsi="Times New Roman"/>
          <w:b/>
          <w:color w:val="000000"/>
          <w:sz w:val="24"/>
          <w:szCs w:val="24"/>
        </w:rPr>
        <w:tab/>
      </w:r>
      <w:r>
        <w:rPr>
          <w:rFonts w:ascii="Times New Roman" w:hAnsi="Times New Roman"/>
          <w:color w:val="000000"/>
          <w:sz w:val="24"/>
          <w:szCs w:val="24"/>
        </w:rPr>
        <w:t>288</w:t>
      </w:r>
    </w:p>
    <w:p>
      <w:pPr>
        <w:spacing w:after="120" w:line="240" w:lineRule="auto"/>
        <w:jc w:val="both"/>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rPr>
          <w:rFonts w:ascii="Times New Roman" w:hAnsi="Times New Roman"/>
          <w:b/>
          <w:color w:val="000000"/>
          <w:sz w:val="24"/>
          <w:szCs w:val="24"/>
        </w:rPr>
      </w:pPr>
    </w:p>
    <w:p>
      <w:pPr>
        <w:spacing w:after="200" w:line="276" w:lineRule="auto"/>
        <w:rPr>
          <w:rFonts w:ascii="Times New Roman" w:hAnsi="Times New Roman"/>
          <w:b/>
          <w:color w:val="000000"/>
          <w:sz w:val="24"/>
          <w:szCs w:val="24"/>
        </w:rPr>
      </w:pPr>
      <w:r>
        <w:rPr>
          <w:rFonts w:ascii="Times New Roman" w:hAnsi="Times New Roman"/>
          <w:b/>
          <w:color w:val="000000"/>
          <w:sz w:val="24"/>
          <w:szCs w:val="24"/>
        </w:rPr>
        <w:br w:type="page"/>
      </w:r>
    </w:p>
    <w:p>
      <w:pPr>
        <w:jc w:val="center"/>
        <w:rPr>
          <w:rFonts w:ascii="Times New Roman" w:hAnsi="Times New Roman"/>
          <w:b/>
          <w:color w:val="000000"/>
          <w:sz w:val="24"/>
          <w:szCs w:val="24"/>
        </w:rPr>
      </w:pPr>
      <w:r>
        <w:rPr>
          <w:rFonts w:ascii="Times New Roman" w:hAnsi="Times New Roman"/>
          <w:b/>
          <w:color w:val="000000"/>
          <w:sz w:val="24"/>
          <w:szCs w:val="24"/>
        </w:rPr>
        <w:t>Table of Contents</w:t>
      </w:r>
    </w:p>
    <w:tbl>
      <w:tblPr>
        <w:tblStyle w:val="5"/>
        <w:tblW w:w="9502" w:type="dxa"/>
        <w:tblInd w:w="0" w:type="dxa"/>
        <w:tblLayout w:type="fixed"/>
        <w:tblCellMar>
          <w:top w:w="0" w:type="dxa"/>
          <w:left w:w="108" w:type="dxa"/>
          <w:bottom w:w="0" w:type="dxa"/>
          <w:right w:w="108" w:type="dxa"/>
        </w:tblCellMar>
      </w:tblPr>
      <w:tblGrid>
        <w:gridCol w:w="1134"/>
        <w:gridCol w:w="7655"/>
        <w:gridCol w:w="713"/>
      </w:tblGrid>
      <w:tr>
        <w:tblPrEx>
          <w:tblCellMar>
            <w:top w:w="0" w:type="dxa"/>
            <w:left w:w="108" w:type="dxa"/>
            <w:bottom w:w="0" w:type="dxa"/>
            <w:right w:w="108" w:type="dxa"/>
          </w:tblCellMar>
        </w:tblPrEx>
        <w:trPr>
          <w:trHeight w:val="390"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Content</w:t>
            </w:r>
          </w:p>
        </w:tc>
        <w:tc>
          <w:tcPr>
            <w:tcW w:w="713"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Page</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Title Page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Certification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ii</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Dedication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iii</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Acknowledgement</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iv</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Abstract</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v</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Table of Contents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vi</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List of Tables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x</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List of Figures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xi</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p>
        </w:tc>
        <w:tc>
          <w:tcPr>
            <w:tcW w:w="7655"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sz w:val="24"/>
                <w:szCs w:val="24"/>
              </w:rPr>
            </w:pP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sz w:val="24"/>
                <w:szCs w:val="24"/>
              </w:rPr>
            </w:pP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Chapter One: Introduction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b/>
                <w:bCs/>
                <w:color w:val="000000"/>
                <w:sz w:val="24"/>
                <w:szCs w:val="24"/>
              </w:rPr>
            </w:pP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Background of the Study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Statement of the Problem</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Justification of the Study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6</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Aim and Objectives of the Study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1.5</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Research Questions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1.6</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Hypotheses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1.7</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Significance of the Study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1.8</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Scope of the Study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1.9</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Limitation of the Study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1.10</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Operational Definition of Terms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p>
        </w:tc>
        <w:tc>
          <w:tcPr>
            <w:tcW w:w="7655" w:type="dxa"/>
            <w:tcBorders>
              <w:top w:val="nil"/>
              <w:left w:val="nil"/>
              <w:bottom w:val="nil"/>
              <w:right w:val="nil"/>
            </w:tcBorders>
            <w:shd w:val="clear" w:color="auto" w:fill="auto"/>
            <w:noWrap/>
            <w:vAlign w:val="center"/>
          </w:tcPr>
          <w:p>
            <w:pPr>
              <w:spacing w:line="360" w:lineRule="auto"/>
              <w:rPr>
                <w:rFonts w:ascii="Times New Roman" w:hAnsi="Times New Roman" w:eastAsia="Times New Roman"/>
                <w:b/>
                <w:color w:val="000000"/>
                <w:sz w:val="24"/>
                <w:szCs w:val="24"/>
              </w:rPr>
            </w:pPr>
            <w:r>
              <w:rPr>
                <w:rFonts w:ascii="Times New Roman" w:hAnsi="Times New Roman" w:eastAsia="Times New Roman"/>
                <w:b/>
                <w:color w:val="000000"/>
                <w:sz w:val="24"/>
                <w:szCs w:val="24"/>
              </w:rPr>
              <w:t>Endnotes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Chapter Two: Literature Review</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Conceptual Review</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Chemical Composition of Different Livestock Excreta</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14</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2.2.1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Crude Protein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2.2.2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Ash and Minerals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16</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2.2.3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Available Energy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2.2.4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Fat and Fibre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2.3</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Factors Influencing Variations in Chemical Composition of Livestock Litters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2.4</w:t>
            </w:r>
          </w:p>
        </w:tc>
        <w:tc>
          <w:tcPr>
            <w:tcW w:w="7655"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Effect of Improperly Disposed Excreta on the Physicochemical Properties and Microbial Properties of Soil</w:t>
            </w:r>
          </w:p>
        </w:tc>
        <w:tc>
          <w:tcPr>
            <w:tcW w:w="713"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2.5</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Effects of Organic Manure on the Environment</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2.6</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Effects of Manure on Soil Communities, Microbes and Enzymes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2.7</w:t>
            </w:r>
          </w:p>
        </w:tc>
        <w:tc>
          <w:tcPr>
            <w:tcW w:w="7655"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The Role and Functions of Soil Microorganisms in the Production of Soil Organic Matter</w:t>
            </w:r>
          </w:p>
        </w:tc>
        <w:tc>
          <w:tcPr>
            <w:tcW w:w="713"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2.8</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Soil Acidification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2.9</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Human Impact on Soil Acidification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2.9.1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Acidic Deposition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2.9.2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Clear-cutting and Timber Harvesting</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2.9.3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Continuous Cropping</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2.9.4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Intensive Agriculture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Soil Acidity and its Management</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Soil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Characteristics of Acid Soils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36</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Class of Soil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36</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2.10.3.1 </w:t>
            </w:r>
          </w:p>
        </w:tc>
        <w:tc>
          <w:tcPr>
            <w:tcW w:w="7655"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Active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36</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2.10.3.2 </w:t>
            </w:r>
          </w:p>
        </w:tc>
        <w:tc>
          <w:tcPr>
            <w:tcW w:w="7655"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Exchange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2.10.3.3 </w:t>
            </w:r>
          </w:p>
        </w:tc>
        <w:tc>
          <w:tcPr>
            <w:tcW w:w="7655"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Reserve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Management of Soil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2.10.4.1</w:t>
            </w:r>
          </w:p>
        </w:tc>
        <w:tc>
          <w:tcPr>
            <w:tcW w:w="7655"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Using Lime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2.10.4.2 </w:t>
            </w:r>
          </w:p>
        </w:tc>
        <w:tc>
          <w:tcPr>
            <w:tcW w:w="7655" w:type="dxa"/>
            <w:tcBorders>
              <w:top w:val="nil"/>
              <w:left w:val="nil"/>
              <w:bottom w:val="nil"/>
              <w:right w:val="nil"/>
            </w:tcBorders>
            <w:shd w:val="clear" w:color="auto" w:fill="auto"/>
            <w:noWrap/>
            <w:vAlign w:val="bottom"/>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Organic Matter and Crop Systems to Reduce Acid Soils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39</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2.10.4.3</w:t>
            </w:r>
          </w:p>
        </w:tc>
        <w:tc>
          <w:tcPr>
            <w:tcW w:w="7655" w:type="dxa"/>
            <w:tcBorders>
              <w:top w:val="nil"/>
              <w:left w:val="nil"/>
              <w:bottom w:val="nil"/>
              <w:right w:val="nil"/>
            </w:tcBorders>
            <w:shd w:val="clear" w:color="auto" w:fill="auto"/>
            <w:noWrap/>
            <w:vAlign w:val="bottom"/>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Use of Plant Tolerance to Soil Acidity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2.11</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Relationship between Soil Acidity and Soil Microbial Population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41</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2.12</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Direct Effects of pH on Microorganisms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2.13</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Soil Microorganisms and Association with Livestock Litters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44</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2.14</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Soil Mineral Element Predisposed to Alteration by Organic Waste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2.14.1</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Phosphorus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2.14.2</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Nitrogen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47</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2.15</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Nutrient Cycling</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2.16</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Effect of Moisture on Soil Microbial Community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2.16.1</w:t>
            </w:r>
          </w:p>
        </w:tc>
        <w:tc>
          <w:tcPr>
            <w:tcW w:w="7655" w:type="dxa"/>
            <w:tcBorders>
              <w:top w:val="nil"/>
              <w:left w:val="nil"/>
              <w:bottom w:val="nil"/>
              <w:right w:val="nil"/>
            </w:tcBorders>
            <w:shd w:val="clear" w:color="auto" w:fill="auto"/>
            <w:noWrap/>
            <w:vAlign w:val="center"/>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Seasonal Variations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2.16.2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Community Composition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51</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2.17</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Impact of Poultry Manure and Litter on the Fertility of the Soil</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p>
        </w:tc>
        <w:tc>
          <w:tcPr>
            <w:tcW w:w="7655" w:type="dxa"/>
            <w:tcBorders>
              <w:top w:val="nil"/>
              <w:left w:val="nil"/>
              <w:bottom w:val="nil"/>
              <w:right w:val="nil"/>
            </w:tcBorders>
            <w:shd w:val="clear" w:color="auto" w:fill="auto"/>
            <w:noWrap/>
            <w:vAlign w:val="bottom"/>
          </w:tcPr>
          <w:p>
            <w:pPr>
              <w:tabs>
                <w:tab w:val="left" w:pos="220"/>
              </w:tabs>
              <w:spacing w:after="0" w:line="360" w:lineRule="auto"/>
              <w:rPr>
                <w:rFonts w:ascii="Times New Roman" w:hAnsi="Times New Roman" w:eastAsia="Times New Roman"/>
                <w:b/>
                <w:color w:val="000000"/>
                <w:sz w:val="24"/>
                <w:szCs w:val="24"/>
              </w:rPr>
            </w:pPr>
            <w:r>
              <w:rPr>
                <w:rFonts w:ascii="Times New Roman" w:hAnsi="Times New Roman" w:eastAsia="Times New Roman"/>
                <w:b/>
                <w:color w:val="000000"/>
                <w:sz w:val="24"/>
                <w:szCs w:val="24"/>
              </w:rPr>
              <w:t>Endnotes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55</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Chapter Three: Methodology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Research Design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Sampling Sites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Soil Sampling and Storage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Physicochemical Analysis of Each Soil Samples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pH Measurement</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Determination of Mineral Element Calcium</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71</w:t>
            </w:r>
          </w:p>
        </w:tc>
      </w:tr>
      <w:tr>
        <w:tblPrEx>
          <w:tblCellMar>
            <w:top w:w="0" w:type="dxa"/>
            <w:left w:w="108" w:type="dxa"/>
            <w:bottom w:w="0" w:type="dxa"/>
            <w:right w:w="108" w:type="dxa"/>
          </w:tblCellMar>
        </w:tblPrEx>
        <w:trPr>
          <w:trHeight w:val="37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Determination of Mg </w:t>
            </w:r>
            <w:r>
              <w:rPr>
                <w:rFonts w:ascii="Times New Roman" w:hAnsi="Times New Roman" w:eastAsia="Times New Roman"/>
                <w:color w:val="000000"/>
                <w:sz w:val="24"/>
                <w:szCs w:val="24"/>
                <w:vertAlign w:val="superscript"/>
              </w:rPr>
              <w:t>2+</w:t>
            </w:r>
            <w:r>
              <w:rPr>
                <w:rFonts w:ascii="Times New Roman" w:hAnsi="Times New Roman" w:eastAsia="Times New Roman"/>
                <w:color w:val="000000"/>
                <w:sz w:val="24"/>
                <w:szCs w:val="24"/>
              </w:rPr>
              <w:t>, Mo</w:t>
            </w:r>
            <w:r>
              <w:rPr>
                <w:rFonts w:ascii="Times New Roman" w:hAnsi="Times New Roman" w:eastAsia="Times New Roman"/>
                <w:color w:val="000000"/>
                <w:sz w:val="24"/>
                <w:szCs w:val="24"/>
                <w:vertAlign w:val="superscript"/>
              </w:rPr>
              <w:t xml:space="preserve"> 6+</w:t>
            </w:r>
            <w:r>
              <w:rPr>
                <w:rFonts w:ascii="Times New Roman" w:hAnsi="Times New Roman" w:eastAsia="Times New Roman"/>
                <w:color w:val="000000"/>
                <w:sz w:val="24"/>
                <w:szCs w:val="24"/>
              </w:rPr>
              <w:t xml:space="preserve"> , Al </w:t>
            </w:r>
            <w:r>
              <w:rPr>
                <w:rFonts w:ascii="Times New Roman" w:hAnsi="Times New Roman" w:eastAsia="Times New Roman"/>
                <w:color w:val="000000"/>
                <w:sz w:val="24"/>
                <w:szCs w:val="24"/>
                <w:vertAlign w:val="superscript"/>
              </w:rPr>
              <w:t xml:space="preserve">3+ </w:t>
            </w:r>
            <w:r>
              <w:rPr>
                <w:rFonts w:ascii="Times New Roman" w:hAnsi="Times New Roman" w:eastAsia="Times New Roman"/>
                <w:color w:val="000000"/>
                <w:sz w:val="24"/>
                <w:szCs w:val="24"/>
              </w:rPr>
              <w:t>, Cu</w:t>
            </w:r>
            <w:r>
              <w:rPr>
                <w:rFonts w:ascii="Times New Roman" w:hAnsi="Times New Roman" w:eastAsia="Times New Roman"/>
                <w:color w:val="000000"/>
                <w:sz w:val="24"/>
                <w:szCs w:val="24"/>
                <w:vertAlign w:val="superscript"/>
              </w:rPr>
              <w:t xml:space="preserve"> 2+ </w:t>
            </w:r>
            <w:r>
              <w:rPr>
                <w:rFonts w:ascii="Times New Roman" w:hAnsi="Times New Roman" w:eastAsia="Times New Roman"/>
                <w:color w:val="000000"/>
                <w:sz w:val="24"/>
                <w:szCs w:val="24"/>
              </w:rPr>
              <w:t>, Mn</w:t>
            </w:r>
            <w:r>
              <w:rPr>
                <w:rFonts w:ascii="Times New Roman" w:hAnsi="Times New Roman" w:eastAsia="Times New Roman"/>
                <w:color w:val="000000"/>
                <w:sz w:val="24"/>
                <w:szCs w:val="24"/>
                <w:vertAlign w:val="superscript"/>
              </w:rPr>
              <w:t xml:space="preserve"> 2+ </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71</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Total Organic Carbon and Total Organic Matter</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3.4.5</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Crude Protein Determination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3.4.5.1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Digestion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3.4.5.2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Distillation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73</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3.4.5.3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Titration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74</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Microbial Analysis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74</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Fungi Isolation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Identification of Fungi</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Characterization of the Isolated Organisms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Genomic DNA Extraction Protocol for Bacteria</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75</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3.5.5</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Protocol for Bacteria PCR</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76</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3.6</w:t>
            </w:r>
          </w:p>
        </w:tc>
        <w:tc>
          <w:tcPr>
            <w:tcW w:w="7655" w:type="dxa"/>
            <w:tcBorders>
              <w:top w:val="nil"/>
              <w:left w:val="nil"/>
              <w:bottom w:val="nil"/>
              <w:right w:val="nil"/>
            </w:tcBorders>
            <w:shd w:val="clear" w:color="auto" w:fill="auto"/>
            <w:noWrap/>
            <w:vAlign w:val="center"/>
          </w:tcPr>
          <w:p>
            <w:pPr>
              <w:spacing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Statistical Analysis</w:t>
            </w:r>
          </w:p>
        </w:tc>
        <w:tc>
          <w:tcPr>
            <w:tcW w:w="713" w:type="dxa"/>
            <w:tcBorders>
              <w:top w:val="nil"/>
              <w:left w:val="nil"/>
              <w:bottom w:val="nil"/>
              <w:right w:val="nil"/>
            </w:tcBorders>
            <w:shd w:val="clear" w:color="auto" w:fill="auto"/>
            <w:noWrap/>
            <w:vAlign w:val="bottom"/>
          </w:tcPr>
          <w:p>
            <w:pPr>
              <w:spacing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78</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Chapter Four : Results and Discussion of Findings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79</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Sample Analyses of Soils are Affected by Different Livestock Excreta</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79</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pH of Soil Samples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81</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Microbial Population of Soils Affected by Different Livestock Excreta</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Evolutionary Relationship of Bacteria Strains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4.5</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Discussion of Findings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102</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p>
        </w:tc>
        <w:tc>
          <w:tcPr>
            <w:tcW w:w="7655" w:type="dxa"/>
            <w:tcBorders>
              <w:top w:val="nil"/>
              <w:left w:val="nil"/>
              <w:bottom w:val="nil"/>
              <w:right w:val="nil"/>
            </w:tcBorders>
            <w:shd w:val="clear" w:color="auto" w:fill="auto"/>
            <w:noWrap/>
            <w:vAlign w:val="center"/>
          </w:tcPr>
          <w:p>
            <w:pPr>
              <w:spacing w:line="360" w:lineRule="auto"/>
              <w:rPr>
                <w:rFonts w:ascii="Times New Roman" w:hAnsi="Times New Roman" w:eastAsia="Times New Roman"/>
                <w:b/>
                <w:color w:val="000000"/>
                <w:sz w:val="24"/>
                <w:szCs w:val="24"/>
              </w:rPr>
            </w:pPr>
            <w:r>
              <w:rPr>
                <w:rFonts w:ascii="Times New Roman" w:hAnsi="Times New Roman" w:eastAsia="Times New Roman"/>
                <w:b/>
                <w:color w:val="000000"/>
                <w:sz w:val="24"/>
                <w:szCs w:val="24"/>
              </w:rPr>
              <w:t>Endnotes</w:t>
            </w:r>
          </w:p>
        </w:tc>
        <w:tc>
          <w:tcPr>
            <w:tcW w:w="713" w:type="dxa"/>
            <w:tcBorders>
              <w:top w:val="nil"/>
              <w:left w:val="nil"/>
              <w:bottom w:val="nil"/>
              <w:right w:val="nil"/>
            </w:tcBorders>
            <w:shd w:val="clear" w:color="auto" w:fill="auto"/>
            <w:noWrap/>
            <w:vAlign w:val="bottom"/>
          </w:tcPr>
          <w:p>
            <w:pPr>
              <w:spacing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106</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Chapter Five: Conclusion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5.1</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Summary of Findings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108</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5.2</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Conclusion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109</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5.3</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Recommendations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109</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5.4</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Contribution to Knowledge</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109</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5.5</w:t>
            </w:r>
          </w:p>
        </w:tc>
        <w:tc>
          <w:tcPr>
            <w:tcW w:w="7655"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Suggestion for Further Studies</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110</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Bibliography</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111</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Appendix</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130</w:t>
            </w:r>
          </w:p>
        </w:tc>
      </w:tr>
      <w:tr>
        <w:tblPrEx>
          <w:tblCellMar>
            <w:top w:w="0" w:type="dxa"/>
            <w:left w:w="108" w:type="dxa"/>
            <w:bottom w:w="0" w:type="dxa"/>
            <w:right w:w="108" w:type="dxa"/>
          </w:tblCellMar>
        </w:tblPrEx>
        <w:trPr>
          <w:trHeight w:val="315" w:hRule="atLeast"/>
        </w:trPr>
        <w:tc>
          <w:tcPr>
            <w:tcW w:w="1134" w:type="dxa"/>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Bio-data</w:t>
            </w:r>
          </w:p>
        </w:tc>
        <w:tc>
          <w:tcPr>
            <w:tcW w:w="7655"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150</w:t>
            </w:r>
          </w:p>
        </w:tc>
      </w:tr>
      <w:tr>
        <w:tblPrEx>
          <w:tblCellMar>
            <w:top w:w="0" w:type="dxa"/>
            <w:left w:w="108" w:type="dxa"/>
            <w:bottom w:w="0" w:type="dxa"/>
            <w:right w:w="108" w:type="dxa"/>
          </w:tblCellMar>
        </w:tblPrEx>
        <w:trPr>
          <w:trHeight w:val="315" w:hRule="atLeast"/>
        </w:trPr>
        <w:tc>
          <w:tcPr>
            <w:tcW w:w="8789" w:type="dxa"/>
            <w:gridSpan w:val="2"/>
            <w:tcBorders>
              <w:top w:val="nil"/>
              <w:left w:val="nil"/>
              <w:bottom w:val="nil"/>
              <w:right w:val="nil"/>
            </w:tcBorders>
            <w:shd w:val="clear" w:color="auto" w:fill="auto"/>
            <w:noWrap/>
            <w:vAlign w:val="center"/>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The University Compliance Certification</w:t>
            </w:r>
          </w:p>
        </w:tc>
        <w:tc>
          <w:tcPr>
            <w:tcW w:w="713" w:type="dxa"/>
            <w:tcBorders>
              <w:top w:val="nil"/>
              <w:left w:val="nil"/>
              <w:bottom w:val="nil"/>
              <w:right w:val="nil"/>
            </w:tcBorders>
            <w:shd w:val="clear" w:color="auto" w:fill="auto"/>
            <w:noWrap/>
            <w:vAlign w:val="bottom"/>
          </w:tcPr>
          <w:p>
            <w:pPr>
              <w:spacing w:after="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152</w:t>
            </w:r>
          </w:p>
        </w:tc>
      </w:tr>
    </w:tbl>
    <w:p>
      <w:pPr>
        <w:rPr>
          <w:rFonts w:ascii="Times New Roman" w:hAnsi="Times New Roman"/>
          <w:sz w:val="24"/>
          <w:szCs w:val="24"/>
        </w:rPr>
      </w:pPr>
    </w:p>
    <w:p>
      <w:pPr>
        <w:spacing w:after="200" w:line="276" w:lineRule="auto"/>
        <w:rPr>
          <w:rFonts w:ascii="Times New Roman" w:hAnsi="Times New Roman" w:eastAsia="Times New Roman"/>
          <w:b/>
          <w:color w:val="000000"/>
          <w:sz w:val="24"/>
          <w:szCs w:val="24"/>
        </w:rPr>
      </w:pPr>
      <w:r>
        <w:rPr>
          <w:rFonts w:ascii="Times New Roman" w:hAnsi="Times New Roman"/>
          <w:sz w:val="24"/>
          <w:szCs w:val="24"/>
        </w:rPr>
        <w:br w:type="page"/>
      </w:r>
    </w:p>
    <w:p>
      <w:pPr>
        <w:pStyle w:val="2"/>
      </w:pPr>
      <w:r>
        <w:t>List of Tables</w:t>
      </w:r>
    </w:p>
    <w:tbl>
      <w:tblPr>
        <w:tblStyle w:val="5"/>
        <w:tblW w:w="0" w:type="auto"/>
        <w:tblInd w:w="0" w:type="dxa"/>
        <w:tblLayout w:type="fixed"/>
        <w:tblCellMar>
          <w:top w:w="0" w:type="dxa"/>
          <w:left w:w="108" w:type="dxa"/>
          <w:bottom w:w="0" w:type="dxa"/>
          <w:right w:w="108" w:type="dxa"/>
        </w:tblCellMar>
      </w:tblPr>
      <w:tblGrid>
        <w:gridCol w:w="817"/>
        <w:gridCol w:w="7654"/>
        <w:gridCol w:w="713"/>
      </w:tblGrid>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Table</w:t>
            </w:r>
          </w:p>
        </w:tc>
        <w:tc>
          <w:tcPr>
            <w:tcW w:w="7654"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Title</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Page</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2.1</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Chemical Composition of Livestock Manure (as Percentage Dry Matter)</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15</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4.1</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Soil Sample Analysis as Affected by Different Livestock Excreta in Farmlands</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80</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4.2</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Microbial Population of Different Soils as Affected by Different Livestock Excreta</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83</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4.3</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Probable Organisms (Fungi) Accompanying Phosphate Solubilizing Bacteria (PSB)</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84</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4.4</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Probable Organisms (Fungi) Accompanying Cellulolytic Bacteria (CB)</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86</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4.5</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Probable Organisms (Fungi) Accompanying Nitrogen Fixing Bacteria (NFB)</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87</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4.6</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Probable Organisms (Fungi) Accompanying Actinomycetes Bacteria (ACMB)</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88</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4.7</w:t>
            </w:r>
          </w:p>
        </w:tc>
        <w:tc>
          <w:tcPr>
            <w:tcW w:w="7654"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Characteristics and Properties of Partial 16S Ribosomal RNA Sequences of Five Bacteria Obtained from Litter Soils at the University of Ibadan, Oyo State, Nigeria Using Nblast on Genbank</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90</w:t>
            </w:r>
          </w:p>
        </w:tc>
      </w:tr>
      <w:tr>
        <w:tblPrEx>
          <w:tblCellMar>
            <w:top w:w="0" w:type="dxa"/>
            <w:left w:w="108" w:type="dxa"/>
            <w:bottom w:w="0" w:type="dxa"/>
            <w:right w:w="108" w:type="dxa"/>
          </w:tblCellMar>
        </w:tblPrEx>
        <w:trPr>
          <w:trHeight w:val="319" w:hRule="atLeast"/>
        </w:trPr>
        <w:tc>
          <w:tcPr>
            <w:tcW w:w="817"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4.8</w:t>
            </w:r>
          </w:p>
        </w:tc>
        <w:tc>
          <w:tcPr>
            <w:tcW w:w="7654" w:type="dxa"/>
            <w:tcBorders>
              <w:top w:val="nil"/>
              <w:left w:val="nil"/>
              <w:bottom w:val="nil"/>
              <w:right w:val="nil"/>
            </w:tcBorders>
            <w:shd w:val="clear" w:color="auto" w:fill="auto"/>
            <w:noWrap/>
            <w:vAlign w:val="center"/>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Relationship between Physicochemical Parameters and Microbial Analysis of Each Sample</w:t>
            </w:r>
          </w:p>
        </w:tc>
        <w:tc>
          <w:tcPr>
            <w:tcW w:w="71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91</w:t>
            </w:r>
          </w:p>
        </w:tc>
      </w:tr>
    </w:tbl>
    <w:p>
      <w:pPr>
        <w:rPr>
          <w:rFonts w:ascii="Times New Roman" w:hAnsi="Times New Roman" w:eastAsia="Times New Roman"/>
          <w:color w:val="000000"/>
          <w:sz w:val="24"/>
          <w:szCs w:val="24"/>
        </w:rPr>
      </w:pPr>
    </w:p>
    <w:p>
      <w:pPr>
        <w:rPr>
          <w:rFonts w:ascii="Times New Roman" w:hAnsi="Times New Roman"/>
          <w:sz w:val="24"/>
          <w:szCs w:val="24"/>
        </w:rPr>
      </w:pPr>
    </w:p>
    <w:p>
      <w:pPr>
        <w:spacing w:after="200" w:line="276" w:lineRule="auto"/>
        <w:rPr>
          <w:rFonts w:ascii="Times New Roman" w:hAnsi="Times New Roman" w:eastAsia="Times New Roman"/>
          <w:b/>
          <w:color w:val="000000"/>
          <w:sz w:val="24"/>
          <w:szCs w:val="24"/>
        </w:rPr>
      </w:pPr>
      <w:r>
        <w:rPr>
          <w:rFonts w:ascii="Times New Roman" w:hAnsi="Times New Roman"/>
          <w:sz w:val="24"/>
          <w:szCs w:val="24"/>
        </w:rPr>
        <w:br w:type="page"/>
      </w:r>
    </w:p>
    <w:p>
      <w:pPr>
        <w:pStyle w:val="2"/>
      </w:pPr>
      <w:r>
        <w:t>List of Figures</w:t>
      </w:r>
    </w:p>
    <w:tbl>
      <w:tblPr>
        <w:tblStyle w:val="5"/>
        <w:tblW w:w="0" w:type="auto"/>
        <w:tblInd w:w="0" w:type="dxa"/>
        <w:tblLayout w:type="fixed"/>
        <w:tblCellMar>
          <w:top w:w="0" w:type="dxa"/>
          <w:left w:w="108" w:type="dxa"/>
          <w:bottom w:w="0" w:type="dxa"/>
          <w:right w:w="108" w:type="dxa"/>
        </w:tblCellMar>
      </w:tblPr>
      <w:tblGrid>
        <w:gridCol w:w="993"/>
        <w:gridCol w:w="7512"/>
        <w:gridCol w:w="855"/>
      </w:tblGrid>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Figure</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Title</w:t>
            </w:r>
          </w:p>
        </w:tc>
        <w:tc>
          <w:tcPr>
            <w:tcW w:w="855"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b/>
                <w:bCs/>
                <w:color w:val="000000"/>
                <w:sz w:val="24"/>
                <w:szCs w:val="24"/>
              </w:rPr>
            </w:pPr>
            <w:r>
              <w:rPr>
                <w:rFonts w:ascii="Times New Roman" w:hAnsi="Times New Roman" w:eastAsia="Times New Roman"/>
                <w:b/>
                <w:bCs/>
                <w:color w:val="000000"/>
                <w:sz w:val="24"/>
                <w:szCs w:val="24"/>
              </w:rPr>
              <w:t>Page</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2.1</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Picture Showing a Poultry Litter Dumping Site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20</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2.2</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Picture Showing a Cattle Dung Dumping Site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21</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2.3</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Picture Showing a Pig dung Dumping Site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22</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4.1</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bCs/>
                <w:color w:val="000000"/>
                <w:sz w:val="24"/>
                <w:szCs w:val="24"/>
              </w:rPr>
              <w:t>pH of Soil Samples as Affected by Different Livestock Excreta</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82</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4.2</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Phylogenetic Tree Showing Evolutionary Relationship of </w:t>
            </w:r>
            <w:r>
              <w:rPr>
                <w:rFonts w:ascii="Times New Roman" w:hAnsi="Times New Roman" w:eastAsia="Times New Roman"/>
                <w:i/>
                <w:color w:val="000000"/>
                <w:sz w:val="24"/>
                <w:szCs w:val="24"/>
              </w:rPr>
              <w:t>Pseudomonas aeruginosa</w:t>
            </w:r>
            <w:r>
              <w:rPr>
                <w:rFonts w:ascii="Times New Roman" w:hAnsi="Times New Roman" w:eastAsia="Times New Roman"/>
                <w:color w:val="000000"/>
                <w:sz w:val="24"/>
                <w:szCs w:val="24"/>
              </w:rPr>
              <w:t xml:space="preserve"> Obtained From Soil in Ibadan, Nigeria (In Red) with Other Stains Available in the Genbank Database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93</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4.3</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Phylogenetic Tree Showing Evolutionary Relationship of </w:t>
            </w:r>
            <w:r>
              <w:rPr>
                <w:rFonts w:ascii="Times New Roman" w:hAnsi="Times New Roman" w:eastAsia="Times New Roman"/>
                <w:i/>
                <w:iCs/>
                <w:color w:val="000000"/>
                <w:sz w:val="24"/>
                <w:szCs w:val="24"/>
              </w:rPr>
              <w:t xml:space="preserve">Bacillus cereus </w:t>
            </w:r>
            <w:r>
              <w:rPr>
                <w:rFonts w:ascii="Times New Roman" w:hAnsi="Times New Roman" w:eastAsia="Times New Roman"/>
                <w:iCs/>
                <w:color w:val="000000"/>
                <w:sz w:val="24"/>
                <w:szCs w:val="24"/>
              </w:rPr>
              <w:t>Obtained</w:t>
            </w:r>
            <w:r>
              <w:rPr>
                <w:rFonts w:ascii="Times New Roman" w:hAnsi="Times New Roman" w:eastAsia="Times New Roman"/>
                <w:i/>
                <w:iCs/>
                <w:color w:val="000000"/>
                <w:sz w:val="24"/>
                <w:szCs w:val="24"/>
              </w:rPr>
              <w:t xml:space="preserve"> </w:t>
            </w:r>
            <w:r>
              <w:rPr>
                <w:rFonts w:ascii="Times New Roman" w:hAnsi="Times New Roman" w:eastAsia="Times New Roman"/>
                <w:iCs/>
                <w:color w:val="000000"/>
                <w:sz w:val="24"/>
                <w:szCs w:val="24"/>
              </w:rPr>
              <w:t>from Soil in Ibadan, Nigeria (In Red) with Others Stains Available in The Genbank Database</w:t>
            </w:r>
            <w:r>
              <w:rPr>
                <w:rFonts w:ascii="Times New Roman" w:hAnsi="Times New Roman" w:eastAsia="Times New Roman"/>
                <w:i/>
                <w:iCs/>
                <w:color w:val="000000"/>
                <w:sz w:val="24"/>
                <w:szCs w:val="24"/>
              </w:rPr>
              <w:t>.</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95</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4.4</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Phylogenetic Tree Showing Evolutionary Relationship of </w:t>
            </w:r>
            <w:r>
              <w:rPr>
                <w:rFonts w:ascii="Times New Roman" w:hAnsi="Times New Roman" w:eastAsia="Times New Roman"/>
                <w:i/>
                <w:color w:val="000000"/>
                <w:sz w:val="24"/>
                <w:szCs w:val="24"/>
              </w:rPr>
              <w:t>Klebsiella pneumoniae</w:t>
            </w:r>
            <w:r>
              <w:rPr>
                <w:rFonts w:ascii="Times New Roman" w:hAnsi="Times New Roman" w:eastAsia="Times New Roman"/>
                <w:color w:val="000000"/>
                <w:sz w:val="24"/>
                <w:szCs w:val="24"/>
              </w:rPr>
              <w:t xml:space="preserve"> Obtained from Soil in Ibadan, Nigeria (In Red) with Other Stains Available in the Genbank Database.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97</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4.5</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Phylogenetic Tree Showing Evolutionary Relationship of </w:t>
            </w:r>
            <w:r>
              <w:rPr>
                <w:rFonts w:ascii="Times New Roman" w:hAnsi="Times New Roman" w:eastAsia="Times New Roman"/>
                <w:i/>
                <w:color w:val="000000"/>
                <w:sz w:val="24"/>
                <w:szCs w:val="24"/>
              </w:rPr>
              <w:t>Bacillus subtilis</w:t>
            </w:r>
            <w:r>
              <w:rPr>
                <w:rFonts w:ascii="Times New Roman" w:hAnsi="Times New Roman" w:eastAsia="Times New Roman"/>
                <w:color w:val="000000"/>
                <w:sz w:val="24"/>
                <w:szCs w:val="24"/>
              </w:rPr>
              <w:t xml:space="preserve"> Obtained from Soil in Ibadan, Nigeria (In Red) with Other Stains Available in the Genbank Database.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99</w:t>
            </w:r>
          </w:p>
        </w:tc>
      </w:tr>
      <w:tr>
        <w:tblPrEx>
          <w:tblCellMar>
            <w:top w:w="0" w:type="dxa"/>
            <w:left w:w="108" w:type="dxa"/>
            <w:bottom w:w="0" w:type="dxa"/>
            <w:right w:w="108" w:type="dxa"/>
          </w:tblCellMar>
        </w:tblPrEx>
        <w:trPr>
          <w:trHeight w:val="319" w:hRule="atLeast"/>
        </w:trPr>
        <w:tc>
          <w:tcPr>
            <w:tcW w:w="993" w:type="dxa"/>
            <w:tcBorders>
              <w:top w:val="nil"/>
              <w:left w:val="nil"/>
              <w:bottom w:val="nil"/>
              <w:right w:val="nil"/>
            </w:tcBorders>
            <w:shd w:val="clear" w:color="auto" w:fill="auto"/>
            <w:noWrap/>
            <w:vAlign w:val="center"/>
          </w:tcPr>
          <w:p>
            <w:pPr>
              <w:spacing w:line="240" w:lineRule="auto"/>
              <w:jc w:val="center"/>
              <w:rPr>
                <w:rFonts w:ascii="Times New Roman" w:hAnsi="Times New Roman" w:eastAsia="Times New Roman"/>
                <w:color w:val="000000"/>
                <w:sz w:val="24"/>
                <w:szCs w:val="24"/>
              </w:rPr>
            </w:pPr>
            <w:r>
              <w:rPr>
                <w:rFonts w:ascii="Times New Roman" w:hAnsi="Times New Roman" w:eastAsia="Times New Roman"/>
                <w:color w:val="000000"/>
                <w:sz w:val="24"/>
                <w:szCs w:val="24"/>
              </w:rPr>
              <w:t>4.6</w:t>
            </w:r>
          </w:p>
        </w:tc>
        <w:tc>
          <w:tcPr>
            <w:tcW w:w="7512" w:type="dxa"/>
            <w:tcBorders>
              <w:top w:val="nil"/>
              <w:left w:val="nil"/>
              <w:bottom w:val="nil"/>
              <w:right w:val="nil"/>
            </w:tcBorders>
            <w:shd w:val="clear" w:color="auto" w:fill="auto"/>
            <w:noWrap/>
            <w:vAlign w:val="center"/>
          </w:tcPr>
          <w:p>
            <w:pPr>
              <w:spacing w:line="24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Phylogenetic Tree Showing Evolutionary Relationship of </w:t>
            </w:r>
            <w:r>
              <w:rPr>
                <w:rFonts w:ascii="Times New Roman" w:hAnsi="Times New Roman" w:eastAsia="Times New Roman"/>
                <w:i/>
                <w:color w:val="000000"/>
                <w:sz w:val="24"/>
                <w:szCs w:val="24"/>
              </w:rPr>
              <w:t>Bacillus thuringiensis</w:t>
            </w:r>
            <w:r>
              <w:rPr>
                <w:rFonts w:ascii="Times New Roman" w:hAnsi="Times New Roman" w:eastAsia="Times New Roman"/>
                <w:color w:val="000000"/>
                <w:sz w:val="24"/>
                <w:szCs w:val="24"/>
              </w:rPr>
              <w:t xml:space="preserve"> Obtained from Soil in Ibadan, Nigeria (In Red) with Other Stains Available in the Genbank Database.</w:t>
            </w:r>
          </w:p>
        </w:tc>
        <w:tc>
          <w:tcPr>
            <w:tcW w:w="855" w:type="dxa"/>
            <w:tcBorders>
              <w:top w:val="nil"/>
              <w:left w:val="nil"/>
              <w:bottom w:val="nil"/>
              <w:right w:val="nil"/>
            </w:tcBorders>
            <w:shd w:val="clear" w:color="auto" w:fill="auto"/>
            <w:noWrap/>
            <w:vAlign w:val="bottom"/>
          </w:tcPr>
          <w:p>
            <w:pPr>
              <w:spacing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101</w:t>
            </w:r>
          </w:p>
        </w:tc>
      </w:tr>
    </w:tbl>
    <w:p>
      <w:pPr>
        <w:pStyle w:val="2"/>
        <w:sectPr>
          <w:headerReference r:id="rId6" w:type="first"/>
          <w:headerReference r:id="rId5" w:type="default"/>
          <w:footerReference r:id="rId7" w:type="default"/>
          <w:pgSz w:w="11906" w:h="16838"/>
          <w:pgMar w:top="1440" w:right="1440" w:bottom="1440" w:left="1440" w:header="706" w:footer="706" w:gutter="0"/>
          <w:pgNumType w:fmt="lowerRoman" w:start="1"/>
          <w:cols w:space="708" w:num="1"/>
          <w:titlePg/>
          <w:docGrid w:linePitch="360" w:charSpace="0"/>
        </w:sectPr>
      </w:pPr>
    </w:p>
    <w:p>
      <w:pPr>
        <w:pStyle w:val="2"/>
      </w:pPr>
      <w:r>
        <w:t>Chapter One</w:t>
      </w:r>
      <w:bookmarkEnd w:id="0"/>
      <w:bookmarkStart w:id="1" w:name="_Toc132200916"/>
    </w:p>
    <w:p>
      <w:pPr>
        <w:pStyle w:val="2"/>
      </w:pPr>
      <w:r>
        <w:t>Introduction</w:t>
      </w:r>
      <w:bookmarkEnd w:id="1"/>
    </w:p>
    <w:p>
      <w:pPr>
        <w:spacing w:after="120" w:line="480" w:lineRule="auto"/>
        <w:rPr>
          <w:rStyle w:val="7"/>
          <w:rFonts w:ascii="Times New Roman" w:hAnsi="Times New Roman"/>
          <w:color w:val="000000"/>
          <w:sz w:val="24"/>
          <w:szCs w:val="24"/>
        </w:rPr>
      </w:pPr>
      <w:r>
        <w:rPr>
          <w:rFonts w:ascii="Times New Roman" w:hAnsi="Times New Roman"/>
          <w:b/>
          <w:bCs/>
          <w:color w:val="000000"/>
          <w:sz w:val="24"/>
          <w:szCs w:val="24"/>
          <w:lang w:val="en-GB"/>
        </w:rPr>
        <w:t xml:space="preserve">1.1 </w:t>
      </w:r>
      <w:r>
        <w:rPr>
          <w:rFonts w:ascii="Times New Roman" w:hAnsi="Times New Roman"/>
          <w:b/>
          <w:bCs/>
          <w:color w:val="000000"/>
          <w:sz w:val="24"/>
          <w:szCs w:val="24"/>
          <w:lang w:val="en-GB"/>
        </w:rPr>
        <w:tab/>
      </w:r>
      <w:r>
        <w:rPr>
          <w:rFonts w:ascii="Times New Roman" w:hAnsi="Times New Roman"/>
          <w:b/>
          <w:bCs/>
          <w:color w:val="000000"/>
          <w:sz w:val="24"/>
          <w:szCs w:val="24"/>
          <w:lang w:val="en-GB"/>
        </w:rPr>
        <w:t>Background to the Study</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farming in developing nations takes place in diverse and varied production setups. These systems encompass a spectrum of environments: from pastoral and grassland-based systems, which dominate vast expanses with sparse human populations, to mixed crop-livestock systems, usually found in regions suitable for both agriculture and livestock, and with higher rural human densities</w:t>
      </w:r>
      <w:r>
        <w:rPr>
          <w:rFonts w:ascii="Times New Roman" w:hAnsi="Times New Roman"/>
          <w:color w:val="000000"/>
          <w:sz w:val="24"/>
          <w:szCs w:val="24"/>
          <w:vertAlign w:val="superscript"/>
        </w:rPr>
        <w:t>1</w:t>
      </w:r>
      <w:r>
        <w:rPr>
          <w:rFonts w:ascii="Times New Roman" w:hAnsi="Times New Roman"/>
          <w:color w:val="000000"/>
          <w:sz w:val="24"/>
          <w:szCs w:val="24"/>
        </w:rPr>
        <w:t>. Additionally, there are intensive systems, mostly situated in peri-urban or urban areas. Livestock hold substantial importance in the livelihoods of rural communities and developing nations' economies. They serve as income and employment generators for farmers and various individuals engaged in intricate value chains. Particularly for the impoverished, including women and pastoralist communities, livestock are vital assets and safety nets</w:t>
      </w:r>
      <w:r>
        <w:rPr>
          <w:rFonts w:ascii="Times New Roman" w:hAnsi="Times New Roman"/>
          <w:color w:val="000000"/>
          <w:sz w:val="24"/>
          <w:szCs w:val="24"/>
          <w:vertAlign w:val="superscript"/>
        </w:rPr>
        <w:t>2</w:t>
      </w:r>
      <w:r>
        <w:rPr>
          <w:rFonts w:ascii="Times New Roman" w:hAnsi="Times New Roman"/>
          <w:color w:val="000000"/>
          <w:sz w:val="24"/>
          <w:szCs w:val="24"/>
        </w:rPr>
        <w:t>. Moreover, they offer a crucial source of animal protein, contributing significantly to the nutritional needs of billions of households, both rural and urban. The significance of these socio-economic roles, among others, is on the rise due to the growth of the sector, driven by increasing human populations, higher incomes, and accelerated rates of urbanization</w:t>
      </w:r>
      <w:r>
        <w:rPr>
          <w:rFonts w:ascii="Times New Roman" w:hAnsi="Times New Roman"/>
          <w:color w:val="000000"/>
          <w:sz w:val="24"/>
          <w:szCs w:val="24"/>
          <w:vertAlign w:val="superscript"/>
        </w:rPr>
        <w:t>3</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In urban and peri-urban regions, the primary types of livestock farms include those dedicated to cattle, pigs, broiler and layer chickens, as well as various other poultry farms, along with sheep and goat farms</w:t>
      </w:r>
      <w:r>
        <w:rPr>
          <w:rFonts w:ascii="Times New Roman" w:hAnsi="Times New Roman"/>
          <w:color w:val="000000"/>
          <w:sz w:val="24"/>
          <w:szCs w:val="24"/>
          <w:vertAlign w:val="superscript"/>
        </w:rPr>
        <w:t>4</w:t>
      </w:r>
      <w:r>
        <w:rPr>
          <w:rFonts w:ascii="Times New Roman" w:hAnsi="Times New Roman"/>
          <w:color w:val="000000"/>
          <w:sz w:val="24"/>
          <w:szCs w:val="24"/>
        </w:rPr>
        <w:t xml:space="preserve">. The litters associated for each of this livestock include poultry droppings for poultry, goat and sheep droppings for goat and sheep, pig droppings for pig and cattle dung for cattle.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composition of livestock litter differs depending on the type of animal, their feed nutrient content, and their digestive system. For example, in large-scale poultry operations, poultry litter consists of a blend of poultry excreta, feathers, spilled feed, and materials like sawdust, wheat straw, wood chips, peanut hulls, and rice hulls, which are make used of as bedding to absorb liquid portions of excreta. This type of litter encompasses waste from various poultry categories, including meat chickens (broilers), egg-laying chickens (layers), turkeys, ducks, and quails</w:t>
      </w:r>
      <w:r>
        <w:rPr>
          <w:rFonts w:ascii="Times New Roman" w:hAnsi="Times New Roman"/>
          <w:color w:val="000000"/>
          <w:sz w:val="24"/>
          <w:szCs w:val="24"/>
          <w:vertAlign w:val="superscript"/>
        </w:rPr>
        <w:t>5</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litter consists of essential elements for plant growth, including magnesium (Mg), calcium (Ca), sulfur (S), nitrogen (N), phosphorus (P), iron (Fe), manganese (Mn), and potassium (K). These nutrients play a crucial role in supporting plant development. However, the actual nutrient content in the litter can vary significantly due to factors such as the type of feed, bedding material, and handling conditions employed</w:t>
      </w:r>
      <w:r>
        <w:rPr>
          <w:rFonts w:ascii="Times New Roman" w:hAnsi="Times New Roman"/>
          <w:color w:val="000000"/>
          <w:sz w:val="24"/>
          <w:szCs w:val="24"/>
          <w:vertAlign w:val="superscript"/>
        </w:rPr>
        <w:t>6</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Livestock wastes offer various advantageous applications, such as being spread on cropland to enhance soil nutrient quality and structure. Additionally, manure can be used as a biofuel by subjecting it to anaerobic digestion, which converts organic nitrogen into ammonia and holds it in solution. The methane gas produced during this process can be utilized for heating purposes. These waste utilization methods hold the potential to increase food production, improve human nutrition, and ensure food security as well as reduce reliance on firewood as a source of energy, consequently mitigating deforestation.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scarcity of land in the urban and peri-urban regions has led to the need for intensifying animal production systems, which involves confining animals to smaller spaces. As the number of livestock has risen, there has been a corresponding increase in the generation of animal wastes, such as litter or bedding, faeces, urine, leftover feed, and waste-water polluted by animal bedding or manure, along with materials resulting from cleaning pens and animal processing facilities</w:t>
      </w:r>
      <w:r>
        <w:rPr>
          <w:rFonts w:ascii="Times New Roman" w:hAnsi="Times New Roman"/>
          <w:color w:val="000000"/>
          <w:sz w:val="24"/>
          <w:szCs w:val="24"/>
          <w:vertAlign w:val="superscript"/>
        </w:rPr>
        <w:t>7</w:t>
      </w:r>
      <w:r>
        <w:rPr>
          <w:rFonts w:ascii="Times New Roman" w:hAnsi="Times New Roman"/>
          <w:color w:val="000000"/>
          <w:sz w:val="24"/>
          <w:szCs w:val="24"/>
        </w:rPr>
        <w:t>. In urban livestock units with limited space, the substantial production of animal wastes can lead to significant environmental as well as public health issues if not disposed or managed of adequately</w:t>
      </w:r>
      <w:r>
        <w:rPr>
          <w:rFonts w:ascii="Times New Roman" w:hAnsi="Times New Roman"/>
          <w:color w:val="000000"/>
          <w:sz w:val="24"/>
          <w:szCs w:val="24"/>
          <w:vertAlign w:val="superscript"/>
        </w:rPr>
        <w:t>8,9</w:t>
      </w:r>
      <w:r>
        <w:rPr>
          <w:rFonts w:ascii="Times New Roman" w:hAnsi="Times New Roman"/>
          <w:color w:val="000000"/>
          <w:sz w:val="24"/>
          <w:szCs w:val="24"/>
        </w:rPr>
        <w:t>. The organic matter present in these animal wastes contributes to non-point pollution sources (NPS), containing materials that foster the development of undesirable biological systems</w:t>
      </w:r>
      <w:r>
        <w:rPr>
          <w:rFonts w:ascii="Times New Roman" w:hAnsi="Times New Roman"/>
          <w:color w:val="000000"/>
          <w:sz w:val="24"/>
          <w:szCs w:val="24"/>
          <w:vertAlign w:val="superscript"/>
        </w:rPr>
        <w:t>10</w:t>
      </w:r>
      <w:r>
        <w:rPr>
          <w:rFonts w:ascii="Times New Roman" w:hAnsi="Times New Roman"/>
          <w:color w:val="000000"/>
          <w:sz w:val="24"/>
          <w:szCs w:val="24"/>
        </w:rPr>
        <w:t xml:space="preserve">. Consequently, this accelerated growth negatively impacts the environment by disrupting aquatic ecosystems when run-off from animal wastes, including soluble nutrients in manure, reaches drainage channels, flowing waters and ditches.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Furthermore, the quality of air can be negatively impacted by animal waste due to the emission of noxious gases and odors arising from the degradation processes of microorganisms</w:t>
      </w:r>
      <w:r>
        <w:rPr>
          <w:rFonts w:ascii="Times New Roman" w:hAnsi="Times New Roman"/>
          <w:color w:val="000000"/>
          <w:sz w:val="24"/>
          <w:szCs w:val="24"/>
          <w:vertAlign w:val="superscript"/>
        </w:rPr>
        <w:t>11,12</w:t>
      </w:r>
      <w:r>
        <w:rPr>
          <w:rFonts w:ascii="Times New Roman" w:hAnsi="Times New Roman"/>
          <w:color w:val="000000"/>
          <w:sz w:val="24"/>
          <w:szCs w:val="24"/>
        </w:rPr>
        <w:t>. The specific gases produced rely on whether the decomposition is an aerobic or anaerobic one. For example, the odors stemming from anaerobic poultry manure consist of hydrogen sulfide, ammonia, 2, 5-carbon organic acids, diketones, , skatole and merchaptans, which are the primary malodorous components</w:t>
      </w:r>
      <w:r>
        <w:rPr>
          <w:rFonts w:ascii="Times New Roman" w:hAnsi="Times New Roman"/>
          <w:color w:val="000000"/>
          <w:sz w:val="24"/>
          <w:szCs w:val="24"/>
          <w:vertAlign w:val="superscript"/>
        </w:rPr>
        <w:t>13,14</w:t>
      </w:r>
      <w:r>
        <w:rPr>
          <w:rFonts w:ascii="Times New Roman" w:hAnsi="Times New Roman"/>
          <w:color w:val="000000"/>
          <w:sz w:val="24"/>
          <w:szCs w:val="24"/>
        </w:rPr>
        <w:t>. In poorly ventilated areas, the fermentation of waste can lead to the build-up of these gases in high concentrations, resulting in an oxygen-deficient, toxic or potentially volatile environment</w:t>
      </w:r>
      <w:r>
        <w:rPr>
          <w:rFonts w:ascii="Times New Roman" w:hAnsi="Times New Roman"/>
          <w:color w:val="000000"/>
          <w:sz w:val="24"/>
          <w:szCs w:val="24"/>
          <w:vertAlign w:val="superscript"/>
        </w:rPr>
        <w:t>15</w:t>
      </w:r>
      <w:r>
        <w:rPr>
          <w:rFonts w:ascii="Times New Roman" w:hAnsi="Times New Roman"/>
          <w:color w:val="000000"/>
          <w:sz w:val="24"/>
          <w:szCs w:val="24"/>
        </w:rPr>
        <w:t>. The continuous release of hazardous gases like hydrogen sulfide, ammonia, carbon dioxide, and methane into the atmosphere has negative effects on health of humans</w:t>
      </w:r>
      <w:r>
        <w:rPr>
          <w:rFonts w:ascii="Times New Roman" w:hAnsi="Times New Roman"/>
          <w:color w:val="000000"/>
          <w:sz w:val="24"/>
          <w:szCs w:val="24"/>
          <w:vertAlign w:val="superscript"/>
        </w:rPr>
        <w:t>16,17</w:t>
      </w:r>
      <w:r>
        <w:rPr>
          <w:rFonts w:ascii="Times New Roman" w:hAnsi="Times New Roman"/>
          <w:color w:val="000000"/>
          <w:sz w:val="24"/>
          <w:szCs w:val="24"/>
        </w:rPr>
        <w:t>.</w:t>
      </w:r>
      <w:r>
        <w:rPr>
          <w:rFonts w:ascii="Times New Roman" w:hAnsi="Times New Roman"/>
          <w:sz w:val="24"/>
          <w:szCs w:val="24"/>
        </w:rPr>
        <w:t xml:space="preserve"> </w:t>
      </w:r>
      <w:r>
        <w:rPr>
          <w:rFonts w:ascii="Times New Roman" w:hAnsi="Times New Roman"/>
          <w:color w:val="000000"/>
          <w:sz w:val="24"/>
          <w:szCs w:val="24"/>
        </w:rPr>
        <w:t>High concentrations of both carbon dioxide and methane, despite being odorless gases, can lead to suffocation</w:t>
      </w:r>
      <w:r>
        <w:rPr>
          <w:rFonts w:ascii="Times New Roman" w:hAnsi="Times New Roman"/>
          <w:color w:val="000000"/>
          <w:sz w:val="24"/>
          <w:szCs w:val="24"/>
          <w:vertAlign w:val="superscript"/>
        </w:rPr>
        <w:t>12</w:t>
      </w:r>
      <w:r>
        <w:rPr>
          <w:rFonts w:ascii="Times New Roman" w:hAnsi="Times New Roman"/>
          <w:color w:val="000000"/>
          <w:sz w:val="24"/>
          <w:szCs w:val="24"/>
        </w:rPr>
        <w:t>. Animal excreta contain a microbial colony, including fungi, bacteria, viruses, and intestinal parasites</w:t>
      </w:r>
      <w:r>
        <w:rPr>
          <w:rFonts w:ascii="Times New Roman" w:hAnsi="Times New Roman"/>
          <w:color w:val="000000"/>
          <w:sz w:val="24"/>
          <w:szCs w:val="24"/>
          <w:vertAlign w:val="superscript"/>
        </w:rPr>
        <w:t>18,19</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Disease causing organisms found in the excreta can pose an infection risk to individuals involved in handling of waste or those who have contact with the wastes through different means. When untreated animal waste is discharged into surface or ground waters, it creates a health problem for both humans and animals making use of the water, as animal units can be a source and reservoir of disease causing organisms without the animals displaying any infection signs</w:t>
      </w:r>
      <w:r>
        <w:rPr>
          <w:rFonts w:ascii="Times New Roman" w:hAnsi="Times New Roman"/>
          <w:color w:val="000000"/>
          <w:sz w:val="24"/>
          <w:szCs w:val="24"/>
          <w:vertAlign w:val="superscript"/>
        </w:rPr>
        <w:t>15,19</w:t>
      </w:r>
      <w:r>
        <w:rPr>
          <w:rFonts w:ascii="Times New Roman" w:hAnsi="Times New Roman"/>
          <w:color w:val="000000"/>
          <w:sz w:val="24"/>
          <w:szCs w:val="24"/>
        </w:rPr>
        <w:t>. Diseases caused by bacterial pathogens that can be contacted through handling animal wastes include tetanus, salmonellosis, anthrax, collibacillosis, campylobacteriosis and leptospirosis</w:t>
      </w:r>
      <w:r>
        <w:rPr>
          <w:rFonts w:ascii="Times New Roman" w:hAnsi="Times New Roman"/>
          <w:color w:val="000000"/>
          <w:sz w:val="24"/>
          <w:szCs w:val="24"/>
          <w:vertAlign w:val="superscript"/>
        </w:rPr>
        <w:t>18,19</w:t>
      </w:r>
      <w:r>
        <w:rPr>
          <w:rFonts w:ascii="Times New Roman" w:hAnsi="Times New Roman"/>
          <w:color w:val="000000"/>
          <w:sz w:val="24"/>
          <w:szCs w:val="24"/>
        </w:rPr>
        <w:t>. Protozoan diseases that can spread via animal excreta include toxoplasmosis, giardiasis, and cryptosporidiosis</w:t>
      </w:r>
      <w:r>
        <w:rPr>
          <w:rFonts w:ascii="Times New Roman" w:hAnsi="Times New Roman"/>
          <w:color w:val="000000"/>
          <w:sz w:val="24"/>
          <w:szCs w:val="24"/>
          <w:vertAlign w:val="superscript"/>
        </w:rPr>
        <w:t>20,21</w:t>
      </w:r>
      <w:r>
        <w:rPr>
          <w:rFonts w:ascii="Times New Roman" w:hAnsi="Times New Roman"/>
          <w:color w:val="000000"/>
          <w:sz w:val="24"/>
          <w:szCs w:val="24"/>
        </w:rPr>
        <w:t>. Animal wastes may also contain nuisance substances that, while not toxic or harmful, make the environment objectionable due to aesthetic reasons. For example, the existence of decomposing animal wastes like carcasses and faeces in the surroundings is unaesthetic and attracts flies and other insects that causes nuisance, which can also act as vectors</w:t>
      </w:r>
      <w:r>
        <w:rPr>
          <w:rFonts w:ascii="Times New Roman" w:hAnsi="Times New Roman"/>
          <w:color w:val="000000"/>
          <w:sz w:val="24"/>
          <w:szCs w:val="24"/>
          <w:vertAlign w:val="superscript"/>
        </w:rPr>
        <w:t>20</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litters, often considered as manure, contain millions of diverse microorganisms and nutrients, making them an excellent source of fertility for the soil. However, livestock litter tends to have high moisture content, which can have a caustic effect on foliage when directly applied to crops</w:t>
      </w:r>
      <w:r>
        <w:rPr>
          <w:rFonts w:ascii="Times New Roman" w:hAnsi="Times New Roman"/>
          <w:color w:val="000000"/>
          <w:sz w:val="24"/>
          <w:szCs w:val="24"/>
          <w:vertAlign w:val="superscript"/>
        </w:rPr>
        <w:t>23</w:t>
      </w:r>
      <w:r>
        <w:rPr>
          <w:rFonts w:ascii="Times New Roman" w:hAnsi="Times New Roman"/>
          <w:color w:val="000000"/>
          <w:sz w:val="24"/>
          <w:szCs w:val="24"/>
        </w:rPr>
        <w:t>. The direct application of poultry litter to soil or its use as compost has been a long-standing practice, but several studies have highlighted concerns about mineral run-off and other environmental risks associated with this approach</w:t>
      </w:r>
      <w:r>
        <w:rPr>
          <w:rFonts w:ascii="Times New Roman" w:hAnsi="Times New Roman"/>
          <w:color w:val="000000"/>
          <w:sz w:val="24"/>
          <w:szCs w:val="24"/>
          <w:vertAlign w:val="superscript"/>
        </w:rPr>
        <w:t>22,23</w:t>
      </w:r>
      <w:r>
        <w:rPr>
          <w:rFonts w:ascii="Times New Roman" w:hAnsi="Times New Roman"/>
          <w:color w:val="000000"/>
          <w:sz w:val="24"/>
          <w:szCs w:val="24"/>
        </w:rPr>
        <w:t>. Environmental contamination may occur when poultry wastes are excessively applied to the soil for crop utilization or when poor management conditions lead to nutrient loss due to environmental factors like soil erosion or surface run-off during rainfall. Livestock litter has been used either as the primary fertilizer or in combination with traditional inorganic fertilizers. However, there are concerns about the loss of nitrogen (N) and phosphorus (P) to surface waters following the land application of livestock litter, necessitating the regulation of livestock operations. Acidic precipitation in soils with livestock wastes that are not properly managed exert detrimental effects on soil microorganisms</w:t>
      </w:r>
      <w:r>
        <w:rPr>
          <w:rFonts w:ascii="Times New Roman" w:hAnsi="Times New Roman"/>
          <w:color w:val="000000"/>
          <w:sz w:val="24"/>
          <w:szCs w:val="24"/>
          <w:vertAlign w:val="superscript"/>
        </w:rPr>
        <w:t>22</w:t>
      </w:r>
      <w:r>
        <w:rPr>
          <w:rFonts w:ascii="Times New Roman" w:hAnsi="Times New Roman"/>
          <w:color w:val="000000"/>
          <w:sz w:val="24"/>
          <w:szCs w:val="24"/>
        </w:rPr>
        <w:t>.  This can alter the distribution, diversity, and abundance of soil microorganisms (flora and fauna) which in turn affects the soil structure and functionality</w:t>
      </w:r>
      <w:r>
        <w:rPr>
          <w:rFonts w:ascii="Times New Roman" w:hAnsi="Times New Roman"/>
          <w:color w:val="000000"/>
          <w:sz w:val="24"/>
          <w:szCs w:val="24"/>
          <w:vertAlign w:val="superscript"/>
        </w:rPr>
        <w:t>24</w:t>
      </w:r>
      <w:r>
        <w:rPr>
          <w:rFonts w:ascii="Times New Roman" w:hAnsi="Times New Roman"/>
          <w:color w:val="000000"/>
          <w:sz w:val="24"/>
          <w:szCs w:val="24"/>
        </w:rPr>
        <w:t>. Because soil-dwelling organisms are responsible for biogeochemical transformations, biological diversity is essential for supporting soil functionality</w:t>
      </w:r>
      <w:r>
        <w:rPr>
          <w:rFonts w:ascii="Times New Roman" w:hAnsi="Times New Roman"/>
          <w:color w:val="000000"/>
          <w:sz w:val="24"/>
          <w:szCs w:val="24"/>
          <w:vertAlign w:val="superscript"/>
        </w:rPr>
        <w:t>25</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An essential component of agricultural ecosystems are soil organisms</w:t>
      </w:r>
      <w:r>
        <w:rPr>
          <w:rFonts w:ascii="Times New Roman" w:hAnsi="Times New Roman"/>
          <w:color w:val="000000"/>
          <w:sz w:val="24"/>
          <w:szCs w:val="24"/>
          <w:vertAlign w:val="superscript"/>
        </w:rPr>
        <w:t>26</w:t>
      </w:r>
      <w:r>
        <w:rPr>
          <w:rFonts w:ascii="Times New Roman" w:hAnsi="Times New Roman"/>
          <w:color w:val="000000"/>
          <w:sz w:val="24"/>
          <w:szCs w:val="24"/>
        </w:rPr>
        <w:t>. These organisms may vary from large animals and plants to tiny microbes</w:t>
      </w:r>
      <w:r>
        <w:rPr>
          <w:rFonts w:ascii="Times New Roman" w:hAnsi="Times New Roman"/>
          <w:color w:val="000000"/>
          <w:sz w:val="24"/>
          <w:szCs w:val="24"/>
          <w:vertAlign w:val="superscript"/>
        </w:rPr>
        <w:t>27</w:t>
      </w:r>
      <w:r>
        <w:rPr>
          <w:rFonts w:ascii="Times New Roman" w:hAnsi="Times New Roman"/>
          <w:color w:val="000000"/>
          <w:sz w:val="24"/>
          <w:szCs w:val="24"/>
        </w:rPr>
        <w:t>. The preservation of fertile soils and productive fields for agriculture depends on the presence of a diversified variety of soil organisms. Macro and microorganisms are the main providers of nutrient substrates for the soil, and these two groups continuously interact with each other. Soil microorganisms offer various ecological advantages, including nutrient mineralization, decomposition of organic matter, degradation of toxic compounds, nitrogen fixation, carbon sequestration, fostering a healthy soil structure for plant growth, facilitating rainwater infiltration, detoxifying contaminants, and regulating pathogenic agents</w:t>
      </w:r>
      <w:r>
        <w:rPr>
          <w:rFonts w:ascii="Times New Roman" w:hAnsi="Times New Roman"/>
          <w:color w:val="000000"/>
          <w:sz w:val="24"/>
          <w:szCs w:val="24"/>
          <w:vertAlign w:val="superscript"/>
        </w:rPr>
        <w:t>28</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Many researches have been carried out on the effect of waste disposal over years on the soil pH and microbial population and diversity however, more research needs to be carried out on the effect of livestock litter wastes on the soil pH and microbial population and diversity as this affects the soil fertility. Therefore, this study aimed to assess the impact of increased soil acidity of poorly managed livestock f</w:t>
      </w:r>
      <w:bookmarkStart w:id="2" w:name="_Toc132200917"/>
      <w:r>
        <w:rPr>
          <w:rFonts w:ascii="Times New Roman" w:hAnsi="Times New Roman"/>
          <w:color w:val="000000"/>
          <w:sz w:val="24"/>
          <w:szCs w:val="24"/>
        </w:rPr>
        <w:t>arm litters on soil microbiota.</w:t>
      </w:r>
    </w:p>
    <w:p>
      <w:pPr>
        <w:spacing w:after="120" w:line="480" w:lineRule="auto"/>
        <w:jc w:val="both"/>
        <w:rPr>
          <w:rFonts w:ascii="Times New Roman" w:hAnsi="Times New Roman"/>
          <w:b/>
          <w:color w:val="000000"/>
          <w:sz w:val="24"/>
          <w:szCs w:val="24"/>
        </w:rPr>
      </w:pPr>
      <w:r>
        <w:rPr>
          <w:rFonts w:ascii="Times New Roman" w:hAnsi="Times New Roman"/>
          <w:b/>
          <w:sz w:val="24"/>
          <w:szCs w:val="24"/>
        </w:rPr>
        <w:t>1.2</w:t>
      </w:r>
      <w:r>
        <w:rPr>
          <w:rFonts w:ascii="Times New Roman" w:hAnsi="Times New Roman"/>
          <w:b/>
          <w:sz w:val="24"/>
          <w:szCs w:val="24"/>
        </w:rPr>
        <w:tab/>
      </w:r>
      <w:r>
        <w:rPr>
          <w:rFonts w:ascii="Times New Roman" w:hAnsi="Times New Roman"/>
          <w:b/>
          <w:sz w:val="24"/>
          <w:szCs w:val="24"/>
        </w:rPr>
        <w:t xml:space="preserve"> Statement of the Problem</w:t>
      </w:r>
      <w:bookmarkEnd w:id="2"/>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generates millions of tons of waste annually, and the application of livestock wastes to agricultural land has raised environmental concerns, including the issue of increased soil acidity</w:t>
      </w:r>
      <w:r>
        <w:rPr>
          <w:rFonts w:ascii="Times New Roman" w:hAnsi="Times New Roman"/>
          <w:color w:val="000000"/>
          <w:sz w:val="24"/>
          <w:szCs w:val="24"/>
          <w:vertAlign w:val="superscript"/>
        </w:rPr>
        <w:t>9</w:t>
      </w:r>
      <w:r>
        <w:rPr>
          <w:rFonts w:ascii="Times New Roman" w:hAnsi="Times New Roman"/>
          <w:color w:val="000000"/>
          <w:sz w:val="24"/>
          <w:szCs w:val="24"/>
        </w:rPr>
        <w:t xml:space="preserve">. Acid precipitation's impact on soil microorganisms involves changes in bacteria counts and activity, as well as alterations in nutrient cycles and organic matter decomposition. Improper handling of litter waste can result in the accumulation of nitrogen and phosphorus on the soil surface, followed by their transport into ground and surface water.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Therefore, it becomes essential to investigate whether the addition of untreated livestock litters affects any of these soil ecosystem services. Consequently, the current study aims to evaluate the impact of elevated soil acidity resulting from inadequately managed livestock farm litters on soil microbiota.</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1.3 </w:t>
      </w:r>
      <w:r>
        <w:rPr>
          <w:rFonts w:ascii="Times New Roman" w:hAnsi="Times New Roman"/>
          <w:b/>
          <w:bCs/>
          <w:color w:val="000000"/>
          <w:sz w:val="24"/>
          <w:szCs w:val="24"/>
        </w:rPr>
        <w:tab/>
      </w:r>
      <w:r>
        <w:rPr>
          <w:rFonts w:ascii="Times New Roman" w:hAnsi="Times New Roman"/>
          <w:b/>
          <w:bCs/>
          <w:color w:val="000000"/>
          <w:sz w:val="24"/>
          <w:szCs w:val="24"/>
        </w:rPr>
        <w:t xml:space="preserve">Justification of the Study </w:t>
      </w:r>
    </w:p>
    <w:p>
      <w:pPr>
        <w:spacing w:after="120" w:line="480" w:lineRule="auto"/>
        <w:jc w:val="both"/>
        <w:rPr>
          <w:rFonts w:ascii="Times New Roman" w:hAnsi="Times New Roman"/>
          <w:color w:val="000000"/>
          <w:sz w:val="24"/>
          <w:szCs w:val="24"/>
        </w:rPr>
      </w:pPr>
      <w:bookmarkStart w:id="3" w:name="_Toc132200918"/>
      <w:r>
        <w:rPr>
          <w:rFonts w:ascii="Times New Roman" w:hAnsi="Times New Roman"/>
          <w:color w:val="000000"/>
          <w:sz w:val="24"/>
          <w:szCs w:val="24"/>
        </w:rPr>
        <w:t>Continuous waste disposal on land has been unequivocally linked to soil acidification, with soil pH playing a pivotal role in influencing nutrient availability. The repercussions of acidic soil extend to compromised fertility, diminished biological activity, and reduced plant productivity. In highly acidic soil conditions, leaching exacerbates the depletion of essential elements such as potassium, calcium, and magnesium. The insufficiency of calcium and magnesium not only poses health risks for livestock, including conditions like milk fever and grass tetany but also contributes to structural issues in the soil.</w:t>
      </w:r>
    </w:p>
    <w:p>
      <w:pPr>
        <w:spacing w:after="120" w:line="480" w:lineRule="auto"/>
        <w:jc w:val="both"/>
        <w:rPr>
          <w:rFonts w:ascii="Times New Roman" w:hAnsi="Times New Roman"/>
          <w:b/>
          <w:bCs/>
          <w:color w:val="000000"/>
          <w:sz w:val="24"/>
          <w:szCs w:val="24"/>
        </w:rPr>
      </w:pPr>
      <w:r>
        <w:rPr>
          <w:rFonts w:ascii="Times New Roman" w:hAnsi="Times New Roman"/>
          <w:color w:val="000000"/>
          <w:sz w:val="24"/>
          <w:szCs w:val="24"/>
        </w:rPr>
        <w:t xml:space="preserve">Historically, poorly managed livestock litters from farms have been identified as a significant contributor to soil acidity. Despite this understanding, there is a pressing need for further research to comprehensively explore the ramifications of inadequately managed litters in livestock farms. This includes investigating the consequential impacts on soil fertility, microbial population dynamics, and overall microbial diversity. Such research endeavors are imperative for a holistic comprehension of the augmented soil acidity stemming from suboptimal litter management practices in livestock farms. </w:t>
      </w: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bCs/>
          <w:color w:val="000000"/>
          <w:sz w:val="24"/>
          <w:szCs w:val="24"/>
        </w:rPr>
      </w:pPr>
      <w:r>
        <w:rPr>
          <w:rFonts w:ascii="Times New Roman" w:hAnsi="Times New Roman"/>
          <w:b/>
          <w:sz w:val="24"/>
          <w:szCs w:val="24"/>
        </w:rPr>
        <w:t>1.4</w:t>
      </w:r>
      <w:r>
        <w:rPr>
          <w:rFonts w:ascii="Times New Roman" w:hAnsi="Times New Roman"/>
          <w:b/>
          <w:sz w:val="24"/>
          <w:szCs w:val="24"/>
        </w:rPr>
        <w:tab/>
      </w:r>
      <w:r>
        <w:rPr>
          <w:rFonts w:ascii="Times New Roman" w:hAnsi="Times New Roman"/>
          <w:b/>
          <w:sz w:val="24"/>
          <w:szCs w:val="24"/>
        </w:rPr>
        <w:t>Aim and Objectives of the Study</w:t>
      </w:r>
      <w:bookmarkEnd w:id="3"/>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aim of this study was to assess the impact of increased soil acidity of poorly managed litters in livestock farms on soil microbiota. The specific objectives of the study are to:</w:t>
      </w:r>
    </w:p>
    <w:p>
      <w:pPr>
        <w:spacing w:after="120" w:line="480" w:lineRule="auto"/>
        <w:ind w:left="720"/>
        <w:jc w:val="both"/>
        <w:rPr>
          <w:rFonts w:ascii="Times New Roman" w:hAnsi="Times New Roman"/>
          <w:color w:val="000000"/>
          <w:sz w:val="24"/>
          <w:szCs w:val="24"/>
        </w:rPr>
      </w:pPr>
      <w:r>
        <w:rPr>
          <w:rFonts w:ascii="Times New Roman" w:hAnsi="Times New Roman"/>
          <w:color w:val="000000"/>
          <w:sz w:val="24"/>
          <w:szCs w:val="24"/>
        </w:rPr>
        <w:t>i. determine the physicochemical properties of soils samples from different main livestock farms in Ibadan metropolis;</w:t>
      </w:r>
    </w:p>
    <w:p>
      <w:pPr>
        <w:spacing w:after="120" w:line="480" w:lineRule="auto"/>
        <w:ind w:left="720"/>
        <w:jc w:val="both"/>
        <w:rPr>
          <w:rFonts w:ascii="Times New Roman" w:hAnsi="Times New Roman"/>
          <w:color w:val="000000"/>
          <w:sz w:val="24"/>
          <w:szCs w:val="24"/>
        </w:rPr>
      </w:pPr>
      <w:r>
        <w:rPr>
          <w:rFonts w:ascii="Times New Roman" w:hAnsi="Times New Roman"/>
          <w:color w:val="000000"/>
          <w:sz w:val="24"/>
          <w:szCs w:val="24"/>
        </w:rPr>
        <w:t>ii. evaluate the heterotrophic plate count and total fungal count of each soil sample from livestock farms;</w:t>
      </w:r>
    </w:p>
    <w:p>
      <w:pPr>
        <w:spacing w:after="120" w:line="480" w:lineRule="auto"/>
        <w:ind w:left="720"/>
        <w:jc w:val="both"/>
        <w:rPr>
          <w:rFonts w:ascii="Times New Roman" w:hAnsi="Times New Roman"/>
          <w:color w:val="000000"/>
          <w:sz w:val="24"/>
          <w:szCs w:val="24"/>
        </w:rPr>
      </w:pPr>
      <w:r>
        <w:rPr>
          <w:rFonts w:ascii="Times New Roman" w:hAnsi="Times New Roman"/>
          <w:color w:val="000000"/>
          <w:sz w:val="24"/>
          <w:szCs w:val="24"/>
        </w:rPr>
        <w:t xml:space="preserve">iii. isolate and identify different beneficial soil microorganisms such as cellulolytic, amylolytic, proteolytic, phosphate solubilizing, nitrogen-fixing bacteria, and actinomycetes from each sample </w:t>
      </w:r>
    </w:p>
    <w:p>
      <w:pPr>
        <w:spacing w:after="120" w:line="480" w:lineRule="auto"/>
        <w:ind w:left="720"/>
        <w:jc w:val="both"/>
        <w:rPr>
          <w:rFonts w:ascii="Times New Roman" w:hAnsi="Times New Roman"/>
          <w:color w:val="000000"/>
          <w:sz w:val="24"/>
          <w:szCs w:val="24"/>
        </w:rPr>
      </w:pPr>
      <w:r>
        <w:rPr>
          <w:rFonts w:ascii="Times New Roman" w:hAnsi="Times New Roman"/>
          <w:color w:val="000000"/>
          <w:sz w:val="24"/>
          <w:szCs w:val="24"/>
        </w:rPr>
        <w:t>iv. investigate the statistical difference and relationship between soil acidity and microbial population of each samples.</w:t>
      </w:r>
    </w:p>
    <w:p>
      <w:pPr>
        <w:spacing w:after="120" w:line="480" w:lineRule="auto"/>
        <w:ind w:left="720"/>
        <w:jc w:val="both"/>
        <w:rPr>
          <w:rFonts w:ascii="Times New Roman" w:hAnsi="Times New Roman"/>
          <w:color w:val="000000"/>
          <w:sz w:val="24"/>
          <w:szCs w:val="24"/>
        </w:rPr>
      </w:pPr>
    </w:p>
    <w:p>
      <w:pPr>
        <w:numPr>
          <w:ilvl w:val="1"/>
          <w:numId w:val="1"/>
        </w:numPr>
        <w:spacing w:after="120" w:line="480" w:lineRule="auto"/>
        <w:jc w:val="both"/>
        <w:rPr>
          <w:rFonts w:ascii="Times New Roman" w:hAnsi="Times New Roman"/>
          <w:bCs/>
          <w:color w:val="000000"/>
          <w:sz w:val="24"/>
          <w:szCs w:val="24"/>
        </w:rPr>
      </w:pPr>
      <w:r>
        <w:rPr>
          <w:rFonts w:ascii="Times New Roman" w:hAnsi="Times New Roman"/>
          <w:b/>
          <w:bCs/>
          <w:color w:val="000000"/>
          <w:sz w:val="24"/>
          <w:szCs w:val="24"/>
        </w:rPr>
        <w:t xml:space="preserve">      Research Questions</w:t>
      </w:r>
    </w:p>
    <w:p>
      <w:pPr>
        <w:pStyle w:val="28"/>
        <w:numPr>
          <w:ilvl w:val="0"/>
          <w:numId w:val="2"/>
        </w:numPr>
        <w:spacing w:after="120" w:line="480" w:lineRule="auto"/>
        <w:jc w:val="both"/>
        <w:rPr>
          <w:rFonts w:ascii="Times New Roman" w:hAnsi="Times New Roman"/>
          <w:color w:val="000000"/>
          <w:sz w:val="24"/>
          <w:szCs w:val="24"/>
        </w:rPr>
      </w:pPr>
      <w:r>
        <w:rPr>
          <w:rFonts w:ascii="Times New Roman" w:hAnsi="Times New Roman"/>
          <w:color w:val="000000"/>
          <w:sz w:val="24"/>
          <w:szCs w:val="24"/>
        </w:rPr>
        <w:t>Are there differences in the chemical/microbial composition of different types of livestock excreta?</w:t>
      </w:r>
    </w:p>
    <w:p>
      <w:pPr>
        <w:pStyle w:val="28"/>
        <w:numPr>
          <w:ilvl w:val="0"/>
          <w:numId w:val="2"/>
        </w:numPr>
        <w:spacing w:after="120" w:line="480" w:lineRule="auto"/>
        <w:jc w:val="both"/>
        <w:rPr>
          <w:rFonts w:ascii="Times New Roman" w:hAnsi="Times New Roman"/>
          <w:color w:val="000000"/>
          <w:sz w:val="24"/>
          <w:szCs w:val="24"/>
        </w:rPr>
      </w:pPr>
      <w:r>
        <w:rPr>
          <w:rFonts w:ascii="Times New Roman" w:hAnsi="Times New Roman"/>
          <w:color w:val="000000"/>
          <w:sz w:val="24"/>
          <w:szCs w:val="24"/>
        </w:rPr>
        <w:t>Do livestock excreta that are improperly disposed affect the physicochemical and microbial properties of soils?</w:t>
      </w:r>
    </w:p>
    <w:p>
      <w:pPr>
        <w:pStyle w:val="28"/>
        <w:numPr>
          <w:ilvl w:val="0"/>
          <w:numId w:val="2"/>
        </w:numPr>
        <w:spacing w:after="120" w:line="480" w:lineRule="auto"/>
        <w:jc w:val="both"/>
        <w:rPr>
          <w:rFonts w:ascii="Times New Roman" w:hAnsi="Times New Roman"/>
          <w:color w:val="000000"/>
          <w:sz w:val="24"/>
          <w:szCs w:val="24"/>
        </w:rPr>
      </w:pPr>
      <w:r>
        <w:rPr>
          <w:rFonts w:ascii="Times New Roman" w:hAnsi="Times New Roman"/>
          <w:color w:val="000000"/>
          <w:sz w:val="24"/>
          <w:szCs w:val="24"/>
        </w:rPr>
        <w:t>What is the relationship between soil acidity and soil microbial population?</w:t>
      </w:r>
      <w:bookmarkStart w:id="4" w:name="_Toc132200919"/>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color w:val="000000"/>
          <w:sz w:val="24"/>
          <w:szCs w:val="24"/>
        </w:rPr>
      </w:pPr>
      <w:r>
        <w:rPr>
          <w:rFonts w:ascii="Times New Roman" w:hAnsi="Times New Roman"/>
          <w:b/>
          <w:sz w:val="24"/>
          <w:szCs w:val="24"/>
        </w:rPr>
        <w:t>1.6</w:t>
      </w:r>
      <w:r>
        <w:rPr>
          <w:rFonts w:ascii="Times New Roman" w:hAnsi="Times New Roman"/>
          <w:b/>
          <w:sz w:val="24"/>
          <w:szCs w:val="24"/>
        </w:rPr>
        <w:tab/>
      </w:r>
      <w:r>
        <w:rPr>
          <w:rFonts w:ascii="Times New Roman" w:hAnsi="Times New Roman"/>
          <w:b/>
          <w:sz w:val="24"/>
          <w:szCs w:val="24"/>
        </w:rPr>
        <w:t>Hypothesis</w:t>
      </w:r>
      <w:bookmarkEnd w:id="4"/>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H</w:t>
      </w:r>
      <w:r>
        <w:rPr>
          <w:rFonts w:ascii="Times New Roman" w:hAnsi="Times New Roman"/>
          <w:color w:val="000000"/>
          <w:sz w:val="24"/>
          <w:szCs w:val="24"/>
          <w:vertAlign w:val="subscript"/>
        </w:rPr>
        <w:t>O</w:t>
      </w:r>
      <w:r>
        <w:rPr>
          <w:rFonts w:ascii="Times New Roman" w:hAnsi="Times New Roman"/>
          <w:color w:val="000000"/>
          <w:sz w:val="24"/>
          <w:szCs w:val="24"/>
        </w:rPr>
        <w:t>1</w:t>
      </w:r>
      <w:r>
        <w:rPr>
          <w:rFonts w:ascii="Times New Roman" w:hAnsi="Times New Roman"/>
          <w:b/>
          <w:color w:val="000000"/>
          <w:sz w:val="24"/>
          <w:szCs w:val="24"/>
        </w:rPr>
        <w:t xml:space="preserve">: </w:t>
      </w:r>
      <w:r>
        <w:rPr>
          <w:rFonts w:ascii="Times New Roman" w:hAnsi="Times New Roman"/>
          <w:color w:val="000000"/>
          <w:sz w:val="24"/>
          <w:szCs w:val="24"/>
        </w:rPr>
        <w:t>Increased soil acidity has no signif</w:t>
      </w:r>
      <w:bookmarkStart w:id="5" w:name="_Toc132200920"/>
      <w:r>
        <w:rPr>
          <w:rFonts w:ascii="Times New Roman" w:hAnsi="Times New Roman"/>
          <w:color w:val="000000"/>
          <w:sz w:val="24"/>
          <w:szCs w:val="24"/>
        </w:rPr>
        <w:t>icant effect on soil microbiota</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b/>
          <w:color w:val="000000"/>
          <w:sz w:val="24"/>
          <w:szCs w:val="24"/>
        </w:rPr>
      </w:pPr>
      <w:r>
        <w:rPr>
          <w:rFonts w:ascii="Times New Roman" w:hAnsi="Times New Roman"/>
          <w:b/>
          <w:sz w:val="24"/>
          <w:szCs w:val="24"/>
        </w:rPr>
        <w:t>1.7</w:t>
      </w:r>
      <w:r>
        <w:rPr>
          <w:rFonts w:ascii="Times New Roman" w:hAnsi="Times New Roman"/>
          <w:b/>
          <w:sz w:val="24"/>
          <w:szCs w:val="24"/>
        </w:rPr>
        <w:tab/>
      </w:r>
      <w:r>
        <w:rPr>
          <w:rFonts w:ascii="Times New Roman" w:hAnsi="Times New Roman"/>
          <w:b/>
          <w:sz w:val="24"/>
          <w:szCs w:val="24"/>
        </w:rPr>
        <w:t>Significance of the Study</w:t>
      </w:r>
      <w:bookmarkEnd w:id="5"/>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In the light of the biochemical significance of soil microorganisms in sustaining a healthy soil, it is pertinent to examine the effect of elevated soil acidity caused by litters that have not been properly managed on soil microorganisms. As a result, the study will explain how increased soil acidity affects soil microbiota which are beneficial to farmlands.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Also, the study will help educate animal husbandry workers on effect of improperly litters on the soil environment and microbes.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Findings from this study will boost soil health as a result of awareness of impact of improperly managed litters, hence, increasing food production and securing the health of the nation. </w:t>
      </w:r>
      <w:bookmarkStart w:id="6" w:name="_Toc132200921"/>
    </w:p>
    <w:p>
      <w:pPr>
        <w:spacing w:after="120" w:line="480" w:lineRule="auto"/>
        <w:jc w:val="both"/>
        <w:rPr>
          <w:rFonts w:ascii="Times New Roman" w:hAnsi="Times New Roman"/>
          <w:b/>
          <w:color w:val="000000"/>
          <w:sz w:val="24"/>
          <w:szCs w:val="24"/>
        </w:rPr>
      </w:pPr>
      <w:r>
        <w:rPr>
          <w:rFonts w:ascii="Times New Roman" w:hAnsi="Times New Roman"/>
          <w:b/>
          <w:sz w:val="24"/>
          <w:szCs w:val="24"/>
        </w:rPr>
        <w:t xml:space="preserve">1.8 </w:t>
      </w:r>
      <w:r>
        <w:rPr>
          <w:rFonts w:ascii="Times New Roman" w:hAnsi="Times New Roman"/>
          <w:b/>
          <w:sz w:val="24"/>
          <w:szCs w:val="24"/>
        </w:rPr>
        <w:tab/>
      </w:r>
      <w:r>
        <w:rPr>
          <w:rFonts w:ascii="Times New Roman" w:hAnsi="Times New Roman"/>
          <w:b/>
          <w:sz w:val="24"/>
          <w:szCs w:val="24"/>
        </w:rPr>
        <w:t>The Scope of the Study</w:t>
      </w:r>
      <w:bookmarkEnd w:id="6"/>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focus of the study will be on teaching and research farms in Oyo State that raise livestock.</w:t>
      </w: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1.9</w:t>
      </w:r>
      <w:r>
        <w:rPr>
          <w:rFonts w:ascii="Times New Roman" w:hAnsi="Times New Roman"/>
          <w:b/>
          <w:color w:val="000000"/>
          <w:sz w:val="24"/>
          <w:szCs w:val="24"/>
        </w:rPr>
        <w:tab/>
      </w:r>
      <w:r>
        <w:rPr>
          <w:rFonts w:ascii="Times New Roman" w:hAnsi="Times New Roman"/>
          <w:b/>
          <w:color w:val="000000"/>
          <w:sz w:val="24"/>
          <w:szCs w:val="24"/>
        </w:rPr>
        <w:t>Limitation of the Study</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management of the farms visited for soil sampling restricted me to a particular part of the farm which affected random sampling.</w:t>
      </w: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1.10</w:t>
      </w:r>
      <w:r>
        <w:rPr>
          <w:rFonts w:ascii="Times New Roman" w:hAnsi="Times New Roman"/>
          <w:b/>
          <w:color w:val="000000"/>
          <w:sz w:val="24"/>
          <w:szCs w:val="24"/>
        </w:rPr>
        <w:tab/>
      </w:r>
      <w:r>
        <w:rPr>
          <w:rFonts w:ascii="Times New Roman" w:hAnsi="Times New Roman"/>
          <w:b/>
          <w:color w:val="000000"/>
          <w:sz w:val="24"/>
          <w:szCs w:val="24"/>
        </w:rPr>
        <w:t>Operational Definition of Terms</w:t>
      </w:r>
    </w:p>
    <w:p>
      <w:pPr>
        <w:spacing w:after="120" w:line="480" w:lineRule="auto"/>
        <w:jc w:val="both"/>
        <w:rPr>
          <w:rFonts w:ascii="Times New Roman" w:hAnsi="Times New Roman"/>
          <w:bCs/>
          <w:color w:val="000000"/>
          <w:sz w:val="24"/>
          <w:szCs w:val="24"/>
        </w:rPr>
      </w:pPr>
      <w:r>
        <w:rPr>
          <w:rFonts w:ascii="Times New Roman" w:hAnsi="Times New Roman"/>
          <w:b/>
          <w:bCs/>
          <w:color w:val="000000"/>
          <w:sz w:val="24"/>
          <w:szCs w:val="24"/>
        </w:rPr>
        <w:t>Soil Acidification:</w:t>
      </w:r>
      <w:r>
        <w:rPr>
          <w:rFonts w:ascii="Times New Roman" w:hAnsi="Times New Roman"/>
          <w:sz w:val="24"/>
          <w:szCs w:val="24"/>
        </w:rPr>
        <w:t xml:space="preserve"> The interaction between natural processes and human impact must be carefully evaluated to understand ongoing soil processes in relation to acidification</w:t>
      </w:r>
      <w:r>
        <w:rPr>
          <w:rFonts w:ascii="Times New Roman" w:hAnsi="Times New Roman"/>
          <w:bCs/>
          <w:color w:val="000000"/>
          <w:sz w:val="24"/>
          <w:szCs w:val="24"/>
        </w:rPr>
        <w:t>. The effect on soil microorganisms includes changes in the bacterial counts and activity, changes in nutrient cycle and in organic matter decomposition.</w:t>
      </w:r>
    </w:p>
    <w:p>
      <w:pPr>
        <w:spacing w:after="120" w:line="480" w:lineRule="auto"/>
        <w:rPr>
          <w:rFonts w:ascii="Times New Roman" w:hAnsi="Times New Roman"/>
          <w:bCs/>
          <w:color w:val="000000"/>
          <w:sz w:val="24"/>
          <w:szCs w:val="24"/>
        </w:rPr>
      </w:pPr>
    </w:p>
    <w:p>
      <w:pPr>
        <w:spacing w:after="120" w:line="480" w:lineRule="auto"/>
        <w:rPr>
          <w:rFonts w:ascii="Times New Roman" w:hAnsi="Times New Roman"/>
          <w:bCs/>
          <w:color w:val="000000"/>
          <w:sz w:val="24"/>
          <w:szCs w:val="24"/>
        </w:rPr>
      </w:pPr>
    </w:p>
    <w:p>
      <w:pPr>
        <w:spacing w:after="120" w:line="480" w:lineRule="auto"/>
        <w:rPr>
          <w:rFonts w:ascii="Times New Roman" w:hAnsi="Times New Roman"/>
          <w:bCs/>
          <w:color w:val="000000"/>
          <w:sz w:val="24"/>
          <w:szCs w:val="24"/>
        </w:rPr>
      </w:pPr>
    </w:p>
    <w:p>
      <w:pPr>
        <w:spacing w:after="120" w:line="480" w:lineRule="auto"/>
        <w:rPr>
          <w:rFonts w:ascii="Times New Roman" w:hAnsi="Times New Roman"/>
          <w:bCs/>
          <w:color w:val="000000"/>
          <w:sz w:val="24"/>
          <w:szCs w:val="24"/>
        </w:rPr>
      </w:pPr>
      <w:r>
        <w:rPr>
          <w:rFonts w:ascii="Times New Roman" w:hAnsi="Times New Roman"/>
          <w:b/>
          <w:bCs/>
          <w:color w:val="000000"/>
          <w:sz w:val="24"/>
          <w:szCs w:val="24"/>
        </w:rPr>
        <w:t xml:space="preserve">Livestock Farms: </w:t>
      </w:r>
      <w:r>
        <w:rPr>
          <w:rFonts w:ascii="Times New Roman" w:hAnsi="Times New Roman"/>
          <w:bCs/>
          <w:color w:val="000000"/>
          <w:sz w:val="24"/>
          <w:szCs w:val="24"/>
        </w:rPr>
        <w:t>The main purpose of raising cattle, sheep and goat is to produce meat and milk, while in the case of poultry; the main purpose is to produce meat and egg.</w:t>
      </w:r>
    </w:p>
    <w:p>
      <w:pPr>
        <w:spacing w:after="120" w:line="480" w:lineRule="auto"/>
        <w:rPr>
          <w:rFonts w:ascii="Times New Roman" w:hAnsi="Times New Roman"/>
          <w:bCs/>
          <w:color w:val="000000"/>
          <w:sz w:val="24"/>
          <w:szCs w:val="24"/>
        </w:rPr>
      </w:pPr>
      <w:r>
        <w:rPr>
          <w:rFonts w:ascii="Times New Roman" w:hAnsi="Times New Roman"/>
          <w:b/>
          <w:bCs/>
          <w:color w:val="000000"/>
          <w:sz w:val="24"/>
          <w:szCs w:val="24"/>
        </w:rPr>
        <w:t xml:space="preserve">Soil Microbiota: </w:t>
      </w:r>
      <w:r>
        <w:rPr>
          <w:rFonts w:ascii="Times New Roman" w:hAnsi="Times New Roman"/>
          <w:bCs/>
          <w:color w:val="000000"/>
          <w:sz w:val="24"/>
          <w:szCs w:val="24"/>
        </w:rPr>
        <w:t>They are involved in most soil processes, and soil cannot function naturally without the presence of life</w:t>
      </w:r>
    </w:p>
    <w:p>
      <w:pPr>
        <w:spacing w:after="120" w:line="480" w:lineRule="auto"/>
        <w:rPr>
          <w:rFonts w:ascii="Times New Roman" w:hAnsi="Times New Roman"/>
          <w:b/>
          <w:bCs/>
          <w:color w:val="000000"/>
          <w:sz w:val="24"/>
          <w:szCs w:val="24"/>
        </w:rPr>
      </w:pPr>
      <w:r>
        <w:rPr>
          <w:rFonts w:ascii="Times New Roman" w:hAnsi="Times New Roman"/>
          <w:b/>
          <w:bCs/>
          <w:color w:val="000000"/>
          <w:sz w:val="24"/>
          <w:szCs w:val="24"/>
        </w:rPr>
        <w:t xml:space="preserve">Poorly Managed Litters: </w:t>
      </w:r>
      <w:r>
        <w:rPr>
          <w:rFonts w:ascii="Times New Roman" w:hAnsi="Times New Roman"/>
          <w:bCs/>
          <w:color w:val="000000"/>
          <w:sz w:val="24"/>
          <w:szCs w:val="24"/>
        </w:rPr>
        <w:t>The mismanagement of poultry waste can cause N and P build up at the soil surface and movement to ground and surface water which decreases the quality of water and increase soil acidity.</w:t>
      </w:r>
    </w:p>
    <w:p>
      <w:pPr>
        <w:spacing w:after="120" w:line="480" w:lineRule="auto"/>
        <w:rPr>
          <w:rFonts w:ascii="Times New Roman" w:hAnsi="Times New Roman"/>
          <w:b/>
          <w:bCs/>
          <w:color w:val="000000"/>
          <w:sz w:val="24"/>
          <w:szCs w:val="24"/>
        </w:rPr>
      </w:pPr>
    </w:p>
    <w:p>
      <w:pPr>
        <w:spacing w:after="120" w:line="480" w:lineRule="auto"/>
        <w:rPr>
          <w:rFonts w:ascii="Times New Roman" w:hAnsi="Times New Roman"/>
          <w:b/>
          <w:bCs/>
          <w:color w:val="000000"/>
          <w:sz w:val="24"/>
          <w:szCs w:val="24"/>
        </w:rPr>
      </w:pPr>
    </w:p>
    <w:p>
      <w:pPr>
        <w:spacing w:after="120" w:line="480" w:lineRule="auto"/>
        <w:rPr>
          <w:rFonts w:ascii="Times New Roman" w:hAnsi="Times New Roman"/>
          <w:sz w:val="24"/>
          <w:szCs w:val="24"/>
        </w:rPr>
      </w:pPr>
      <w:bookmarkStart w:id="7" w:name="_Toc132200924"/>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spacing w:after="120" w:line="480" w:lineRule="auto"/>
        <w:rPr>
          <w:rFonts w:ascii="Times New Roman" w:hAnsi="Times New Roman"/>
          <w:sz w:val="24"/>
          <w:szCs w:val="24"/>
        </w:rPr>
      </w:pPr>
    </w:p>
    <w:p>
      <w:pPr>
        <w:pStyle w:val="3"/>
        <w:spacing w:before="0" w:after="240" w:line="36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Endnotes</w:t>
      </w:r>
    </w:p>
    <w:p>
      <w:pPr>
        <w:pStyle w:val="28"/>
        <w:numPr>
          <w:ilvl w:val="0"/>
          <w:numId w:val="3"/>
        </w:numPr>
        <w:tabs>
          <w:tab w:val="left" w:pos="720"/>
        </w:tabs>
        <w:spacing w:after="240" w:line="240" w:lineRule="auto"/>
        <w:contextualSpacing w:val="0"/>
        <w:jc w:val="both"/>
        <w:rPr>
          <w:rFonts w:ascii="Times New Roman" w:hAnsi="Times New Roman"/>
          <w:sz w:val="24"/>
          <w:szCs w:val="24"/>
        </w:rPr>
      </w:pPr>
      <w:r>
        <w:rPr>
          <w:rFonts w:ascii="Times New Roman" w:hAnsi="Times New Roman"/>
          <w:sz w:val="24"/>
          <w:szCs w:val="24"/>
        </w:rPr>
        <w:t xml:space="preserve">U. Sekaran, L. Lai, D. Ussiri, S. Kumar &amp; S. Clay, </w:t>
      </w:r>
      <w:r>
        <w:rPr>
          <w:rFonts w:ascii="Times New Roman" w:hAnsi="Times New Roman"/>
          <w:i/>
          <w:sz w:val="24"/>
          <w:szCs w:val="24"/>
        </w:rPr>
        <w:t>Role of Integrated Crop-Livestock Systems in Improving Agriculture Production and Addressing Food Security – A Review</w:t>
      </w:r>
      <w:r>
        <w:rPr>
          <w:rFonts w:ascii="Times New Roman" w:hAnsi="Times New Roman"/>
          <w:sz w:val="24"/>
          <w:szCs w:val="24"/>
        </w:rPr>
        <w:t xml:space="preserve">, </w:t>
      </w:r>
      <w:r>
        <w:rPr>
          <w:rFonts w:ascii="Times New Roman" w:hAnsi="Times New Roman"/>
          <w:b/>
          <w:sz w:val="24"/>
          <w:szCs w:val="24"/>
        </w:rPr>
        <w:t>Journal of Agriculture and Food Research</w:t>
      </w:r>
      <w:r>
        <w:rPr>
          <w:rFonts w:ascii="Times New Roman" w:hAnsi="Times New Roman"/>
          <w:sz w:val="24"/>
          <w:szCs w:val="24"/>
        </w:rPr>
        <w:t>, 5, 2021, 100190</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K. Ponnusamy, &amp; M. K. Devi, </w:t>
      </w:r>
      <w:r>
        <w:rPr>
          <w:rFonts w:ascii="Times New Roman" w:hAnsi="Times New Roman"/>
          <w:i/>
          <w:sz w:val="24"/>
          <w:szCs w:val="24"/>
        </w:rPr>
        <w:t>Impact of Integrated Farming System Approach on Doubling Farmer’s Income</w:t>
      </w:r>
      <w:r>
        <w:rPr>
          <w:rFonts w:ascii="Times New Roman" w:hAnsi="Times New Roman"/>
          <w:sz w:val="24"/>
          <w:szCs w:val="24"/>
        </w:rPr>
        <w:t xml:space="preserve">, </w:t>
      </w:r>
      <w:r>
        <w:rPr>
          <w:rFonts w:ascii="Times New Roman" w:hAnsi="Times New Roman"/>
          <w:b/>
          <w:sz w:val="24"/>
          <w:szCs w:val="24"/>
        </w:rPr>
        <w:t>Agric. Econ. Res. Rev.,</w:t>
      </w:r>
      <w:r>
        <w:rPr>
          <w:rFonts w:ascii="Times New Roman" w:hAnsi="Times New Roman"/>
          <w:b/>
          <w:i/>
          <w:sz w:val="24"/>
          <w:szCs w:val="24"/>
        </w:rPr>
        <w:t xml:space="preserve"> </w:t>
      </w:r>
      <w:r>
        <w:rPr>
          <w:rFonts w:ascii="Times New Roman" w:hAnsi="Times New Roman"/>
          <w:sz w:val="24"/>
          <w:szCs w:val="24"/>
        </w:rPr>
        <w:t>30, 2017, 233-240</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J. Wong, J. de Bruyn, B. Bagnol, H. Grieve, M. Li, R. Pym &amp; R. Alders, </w:t>
      </w:r>
      <w:r>
        <w:rPr>
          <w:rFonts w:ascii="Times New Roman" w:hAnsi="Times New Roman"/>
          <w:i/>
          <w:sz w:val="24"/>
          <w:szCs w:val="24"/>
        </w:rPr>
        <w:t>Small-Scale Poultry and Food Security in Resource-Poor Settings: A Review</w:t>
      </w:r>
      <w:r>
        <w:rPr>
          <w:rFonts w:ascii="Times New Roman" w:hAnsi="Times New Roman"/>
          <w:sz w:val="24"/>
          <w:szCs w:val="24"/>
        </w:rPr>
        <w:t xml:space="preserve">, </w:t>
      </w:r>
      <w:r>
        <w:rPr>
          <w:rFonts w:ascii="Times New Roman" w:hAnsi="Times New Roman"/>
          <w:b/>
          <w:sz w:val="24"/>
          <w:szCs w:val="24"/>
        </w:rPr>
        <w:t>Glob. Food Secur.</w:t>
      </w:r>
      <w:r>
        <w:rPr>
          <w:rFonts w:ascii="Times New Roman" w:hAnsi="Times New Roman"/>
          <w:sz w:val="24"/>
          <w:szCs w:val="24"/>
        </w:rPr>
        <w:t>,</w:t>
      </w:r>
      <w:r>
        <w:rPr>
          <w:rFonts w:ascii="Times New Roman" w:hAnsi="Times New Roman"/>
          <w:b/>
          <w:sz w:val="24"/>
          <w:szCs w:val="24"/>
        </w:rPr>
        <w:t xml:space="preserve"> </w:t>
      </w:r>
      <w:r>
        <w:rPr>
          <w:rFonts w:ascii="Times New Roman" w:hAnsi="Times New Roman"/>
          <w:sz w:val="24"/>
          <w:szCs w:val="24"/>
        </w:rPr>
        <w:t xml:space="preserve">15, 2017, 43-52 </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N. É.  Kiss, J. Tamás,  N. Szőllősi,  E. Gorliczay &amp; A. Nagy,   </w:t>
      </w:r>
      <w:r>
        <w:rPr>
          <w:rFonts w:ascii="Times New Roman" w:hAnsi="Times New Roman"/>
          <w:i/>
          <w:sz w:val="24"/>
          <w:szCs w:val="24"/>
        </w:rPr>
        <w:t>Assessment of Composted Pelletized Poultry Litter as an Alternative to Chemical Fertilizers Based on the Environmental Impact of Their Production</w:t>
      </w:r>
      <w:r>
        <w:rPr>
          <w:rFonts w:ascii="Times New Roman" w:hAnsi="Times New Roman"/>
          <w:sz w:val="24"/>
          <w:szCs w:val="24"/>
        </w:rPr>
        <w:t xml:space="preserve">, </w:t>
      </w:r>
      <w:r>
        <w:rPr>
          <w:rFonts w:ascii="Times New Roman" w:hAnsi="Times New Roman"/>
          <w:b/>
          <w:sz w:val="24"/>
          <w:szCs w:val="24"/>
        </w:rPr>
        <w:t>Agriculture</w:t>
      </w:r>
      <w:r>
        <w:rPr>
          <w:rFonts w:ascii="Times New Roman" w:hAnsi="Times New Roman"/>
          <w:sz w:val="24"/>
          <w:szCs w:val="24"/>
        </w:rPr>
        <w:t xml:space="preserve"> , 11(11), 2021, 1130; https://doi.org/10.3390/agriculture11111130</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R. Bajagain, P. Guatam, T. T. N. Le, R. H. Dahal, J. Kim &amp; S. Jeong, </w:t>
      </w:r>
      <w:r>
        <w:rPr>
          <w:rFonts w:ascii="Times New Roman" w:hAnsi="Times New Roman"/>
          <w:i/>
          <w:sz w:val="24"/>
          <w:szCs w:val="24"/>
        </w:rPr>
        <w:t xml:space="preserve">Isolation and Screening of Odor-Reducing Ammonia Release in Combination with Surfactant Foam, </w:t>
      </w:r>
      <w:r>
        <w:rPr>
          <w:rFonts w:ascii="Times New Roman" w:hAnsi="Times New Roman"/>
          <w:b/>
          <w:sz w:val="24"/>
          <w:szCs w:val="24"/>
        </w:rPr>
        <w:t>Appl. Sci.</w:t>
      </w:r>
      <w:r>
        <w:rPr>
          <w:rFonts w:ascii="Times New Roman" w:hAnsi="Times New Roman"/>
          <w:sz w:val="24"/>
          <w:szCs w:val="24"/>
        </w:rPr>
        <w:t>,</w:t>
      </w:r>
      <w:r>
        <w:rPr>
          <w:rFonts w:ascii="Times New Roman" w:hAnsi="Times New Roman"/>
          <w:b/>
          <w:sz w:val="24"/>
          <w:szCs w:val="24"/>
        </w:rPr>
        <w:t xml:space="preserve"> </w:t>
      </w:r>
      <w:r>
        <w:rPr>
          <w:rFonts w:ascii="Times New Roman" w:hAnsi="Times New Roman"/>
          <w:sz w:val="24"/>
          <w:szCs w:val="24"/>
        </w:rPr>
        <w:t>12, 2022, 1806</w:t>
      </w:r>
      <w:r>
        <w:rPr>
          <w:rFonts w:ascii="Times New Roman" w:hAnsi="Times New Roman"/>
          <w:b/>
          <w:sz w:val="24"/>
          <w:szCs w:val="24"/>
        </w:rPr>
        <w:t xml:space="preserve"> </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B. K. Paul, K. Butterbach-Bahl, A. Notenbaert, A. N. Nderi &amp; P. Ericksen, </w:t>
      </w:r>
      <w:r>
        <w:rPr>
          <w:rFonts w:ascii="Times New Roman" w:hAnsi="Times New Roman"/>
          <w:i/>
          <w:sz w:val="24"/>
          <w:szCs w:val="24"/>
        </w:rPr>
        <w:t>Sustainable Livestock Development in Low-and-Middle-Income Countries: Shedding Light on Evidence-Based Solutions,</w:t>
      </w:r>
      <w:r>
        <w:rPr>
          <w:rFonts w:ascii="Times New Roman" w:hAnsi="Times New Roman"/>
          <w:sz w:val="24"/>
          <w:szCs w:val="24"/>
        </w:rPr>
        <w:t xml:space="preserve"> </w:t>
      </w:r>
      <w:r>
        <w:rPr>
          <w:rFonts w:ascii="Times New Roman" w:hAnsi="Times New Roman"/>
          <w:b/>
          <w:sz w:val="24"/>
          <w:szCs w:val="24"/>
        </w:rPr>
        <w:t>Environ. Research Letters</w:t>
      </w:r>
      <w:r>
        <w:rPr>
          <w:rFonts w:ascii="Times New Roman" w:hAnsi="Times New Roman"/>
          <w:sz w:val="24"/>
          <w:szCs w:val="24"/>
        </w:rPr>
        <w:t>, 16, 2020, 1, 1001</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K. Dopelt, P. Radon &amp; N. Davidovitch, </w:t>
      </w:r>
      <w:r>
        <w:rPr>
          <w:rFonts w:ascii="Times New Roman" w:hAnsi="Times New Roman"/>
          <w:i/>
          <w:sz w:val="24"/>
          <w:szCs w:val="24"/>
        </w:rPr>
        <w:t xml:space="preserve">Environmental Effects of the Livestock Industry: The Relationship between Knowledge, Attitudes, and Behavior among Students in Israel, </w:t>
      </w:r>
      <w:r>
        <w:rPr>
          <w:rFonts w:ascii="Times New Roman" w:hAnsi="Times New Roman"/>
          <w:b/>
          <w:sz w:val="24"/>
          <w:szCs w:val="24"/>
        </w:rPr>
        <w:t>Int. J. Environ Res Public Health</w:t>
      </w:r>
      <w:r>
        <w:rPr>
          <w:rFonts w:ascii="Times New Roman" w:hAnsi="Times New Roman"/>
          <w:sz w:val="24"/>
          <w:szCs w:val="24"/>
        </w:rPr>
        <w:t>, 16(8), 2019, 1359</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A. Singh &amp; M. Rashid, </w:t>
      </w:r>
      <w:r>
        <w:rPr>
          <w:rFonts w:ascii="Times New Roman" w:hAnsi="Times New Roman"/>
          <w:i/>
          <w:sz w:val="24"/>
          <w:szCs w:val="24"/>
        </w:rPr>
        <w:t>Impact of Animal Waste on Environment, its Managemental Strategies and Treatment Protocols to Reduce Environmental Contamination,</w:t>
      </w:r>
      <w:r>
        <w:rPr>
          <w:rFonts w:ascii="Times New Roman" w:hAnsi="Times New Roman"/>
          <w:sz w:val="24"/>
          <w:szCs w:val="24"/>
        </w:rPr>
        <w:t xml:space="preserve"> </w:t>
      </w:r>
      <w:r>
        <w:rPr>
          <w:rFonts w:ascii="Times New Roman" w:hAnsi="Times New Roman"/>
          <w:b/>
          <w:sz w:val="24"/>
          <w:szCs w:val="24"/>
        </w:rPr>
        <w:t>Veterinary Science Research Journal</w:t>
      </w:r>
      <w:r>
        <w:rPr>
          <w:rFonts w:ascii="Times New Roman" w:hAnsi="Times New Roman"/>
          <w:sz w:val="24"/>
          <w:szCs w:val="24"/>
        </w:rPr>
        <w:t>, 8(1-2), 2017, 1-12</w:t>
      </w:r>
    </w:p>
    <w:p>
      <w:pPr>
        <w:pStyle w:val="28"/>
        <w:numPr>
          <w:ilvl w:val="0"/>
          <w:numId w:val="3"/>
        </w:numPr>
        <w:rPr>
          <w:rFonts w:ascii="Times New Roman" w:hAnsi="Times New Roman"/>
          <w:bCs/>
          <w:color w:val="0000FF"/>
          <w:sz w:val="24"/>
          <w:szCs w:val="24"/>
          <w:u w:val="single"/>
        </w:rPr>
      </w:pPr>
      <w:r>
        <w:rPr>
          <w:rFonts w:ascii="Times New Roman" w:hAnsi="Times New Roman"/>
          <w:bCs/>
          <w:sz w:val="24"/>
          <w:szCs w:val="24"/>
        </w:rPr>
        <w:t>V. V.-Orozco, R. G.Terán, J. I .Novillo, L. C.  Beltrán, C.B. Cascante, M. A. Bustamante</w:t>
      </w:r>
      <w:r>
        <w:rPr>
          <w:rFonts w:ascii="Times New Roman" w:hAnsi="Times New Roman"/>
          <w:bCs/>
          <w:sz w:val="24"/>
          <w:szCs w:val="24"/>
          <w:vertAlign w:val="superscript"/>
        </w:rPr>
        <w:t> </w:t>
      </w:r>
      <w:r>
        <w:rPr>
          <w:rFonts w:ascii="Times New Roman" w:hAnsi="Times New Roman"/>
          <w:bCs/>
          <w:sz w:val="24"/>
          <w:szCs w:val="24"/>
        </w:rPr>
        <w:t xml:space="preserve">, &amp; C. Paredes, </w:t>
      </w:r>
      <w:r>
        <w:rPr>
          <w:rFonts w:ascii="Times New Roman" w:hAnsi="Times New Roman"/>
          <w:bCs/>
          <w:i/>
          <w:sz w:val="24"/>
          <w:szCs w:val="24"/>
        </w:rPr>
        <w:t>Agronomic, Economic and Environmental Comparative of Different Aeration Systems for On-Farm Composting,</w:t>
      </w:r>
      <w:r>
        <w:rPr>
          <w:rFonts w:ascii="Times New Roman" w:hAnsi="Times New Roman"/>
          <w:bCs/>
          <w:sz w:val="24"/>
          <w:szCs w:val="24"/>
        </w:rPr>
        <w:t xml:space="preserve"> </w:t>
      </w:r>
      <w:r>
        <w:rPr>
          <w:rFonts w:ascii="Times New Roman" w:hAnsi="Times New Roman"/>
          <w:b/>
          <w:bCs/>
          <w:iCs/>
          <w:sz w:val="24"/>
          <w:szCs w:val="24"/>
        </w:rPr>
        <w:t>Agronomy</w:t>
      </w:r>
      <w:r>
        <w:rPr>
          <w:rFonts w:ascii="Times New Roman" w:hAnsi="Times New Roman"/>
          <w:b/>
          <w:bCs/>
          <w:sz w:val="24"/>
          <w:szCs w:val="24"/>
        </w:rPr>
        <w:t>,</w:t>
      </w:r>
      <w:r>
        <w:rPr>
          <w:rFonts w:ascii="Times New Roman" w:hAnsi="Times New Roman"/>
          <w:bCs/>
          <w:sz w:val="24"/>
          <w:szCs w:val="24"/>
        </w:rPr>
        <w:t> </w:t>
      </w:r>
      <w:r>
        <w:rPr>
          <w:rFonts w:ascii="Times New Roman" w:hAnsi="Times New Roman"/>
          <w:bCs/>
          <w:i/>
          <w:iCs/>
          <w:sz w:val="24"/>
          <w:szCs w:val="24"/>
        </w:rPr>
        <w:t>13</w:t>
      </w:r>
      <w:r>
        <w:rPr>
          <w:rFonts w:ascii="Times New Roman" w:hAnsi="Times New Roman"/>
          <w:bCs/>
          <w:sz w:val="24"/>
          <w:szCs w:val="24"/>
        </w:rPr>
        <w:t>(3), 2023, 929; https://doi.org/10.3390/agronomy13030929</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FAO, </w:t>
      </w:r>
      <w:r>
        <w:rPr>
          <w:rFonts w:ascii="Times New Roman" w:hAnsi="Times New Roman"/>
          <w:i/>
          <w:sz w:val="24"/>
          <w:szCs w:val="24"/>
        </w:rPr>
        <w:t>On-Farm Compositing Methods: Compositing Process and Techniques.</w:t>
      </w:r>
      <w:r>
        <w:rPr>
          <w:rFonts w:ascii="Times New Roman" w:hAnsi="Times New Roman"/>
          <w:sz w:val="24"/>
          <w:szCs w:val="24"/>
        </w:rPr>
        <w:t xml:space="preserve"> FAO Corporate Document Repository. 2007, http://www.fao.org/docrep/007/y5104e</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S. S. Parihar, K. P. S. Saini, G. P. Lakhani, A. Jain, B. Roy, S. Ghosh &amp; B. Aharwal, </w:t>
      </w:r>
      <w:r>
        <w:rPr>
          <w:rFonts w:ascii="Times New Roman" w:hAnsi="Times New Roman"/>
          <w:i/>
          <w:sz w:val="24"/>
          <w:szCs w:val="24"/>
        </w:rPr>
        <w:t>Livestock Waste Management: A Review,</w:t>
      </w:r>
      <w:r>
        <w:rPr>
          <w:rFonts w:ascii="Times New Roman" w:hAnsi="Times New Roman"/>
          <w:sz w:val="24"/>
          <w:szCs w:val="24"/>
        </w:rPr>
        <w:t xml:space="preserve"> </w:t>
      </w:r>
      <w:r>
        <w:rPr>
          <w:rFonts w:ascii="Times New Roman" w:hAnsi="Times New Roman"/>
          <w:b/>
          <w:sz w:val="24"/>
          <w:szCs w:val="24"/>
        </w:rPr>
        <w:t>Journal of Entomology and Zoology Studies</w:t>
      </w:r>
      <w:r>
        <w:rPr>
          <w:rFonts w:ascii="Times New Roman" w:hAnsi="Times New Roman"/>
          <w:b/>
          <w:i/>
          <w:sz w:val="24"/>
          <w:szCs w:val="24"/>
        </w:rPr>
        <w:t xml:space="preserve">, </w:t>
      </w:r>
      <w:r>
        <w:rPr>
          <w:rFonts w:ascii="Times New Roman" w:hAnsi="Times New Roman"/>
          <w:sz w:val="24"/>
          <w:szCs w:val="24"/>
        </w:rPr>
        <w:t>7(3), 2019, 384-393</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H. Ma, F. Li, E. Niyitanga,  X. Chai, S. Wang, &amp; Y. Liu,  </w:t>
      </w:r>
      <w:r>
        <w:rPr>
          <w:rFonts w:ascii="Times New Roman" w:hAnsi="Times New Roman"/>
          <w:i/>
          <w:sz w:val="24"/>
          <w:szCs w:val="24"/>
        </w:rPr>
        <w:t>The Odor Release Regularity of Livestock and Poultry Manure and the Screening of Deodorizing Strains,</w:t>
      </w:r>
      <w:r>
        <w:rPr>
          <w:rFonts w:ascii="Times New Roman" w:hAnsi="Times New Roman"/>
          <w:sz w:val="24"/>
          <w:szCs w:val="24"/>
        </w:rPr>
        <w:t xml:space="preserve"> </w:t>
      </w:r>
      <w:r>
        <w:rPr>
          <w:rFonts w:ascii="Times New Roman" w:hAnsi="Times New Roman"/>
          <w:b/>
          <w:sz w:val="24"/>
          <w:szCs w:val="24"/>
        </w:rPr>
        <w:t>Microorganisms</w:t>
      </w:r>
      <w:r>
        <w:rPr>
          <w:rFonts w:ascii="Times New Roman" w:hAnsi="Times New Roman"/>
          <w:sz w:val="24"/>
          <w:szCs w:val="24"/>
        </w:rPr>
        <w:t>, 9(12), 2021, 2488, doi: 10.3390/microorganisms9122488</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A. Singh &amp; M. Rashid, </w:t>
      </w:r>
      <w:r>
        <w:rPr>
          <w:rFonts w:ascii="Times New Roman" w:hAnsi="Times New Roman"/>
          <w:i/>
          <w:sz w:val="24"/>
          <w:szCs w:val="24"/>
        </w:rPr>
        <w:t>Impact of Animal Waste on Environment, Its Managemental Strategies and Treatment Protocols to Reduce Environmental Contamination</w:t>
      </w:r>
      <w:r>
        <w:rPr>
          <w:rFonts w:ascii="Times New Roman" w:hAnsi="Times New Roman"/>
          <w:sz w:val="24"/>
          <w:szCs w:val="24"/>
        </w:rPr>
        <w:t xml:space="preserve">, </w:t>
      </w:r>
      <w:r>
        <w:rPr>
          <w:rFonts w:ascii="Times New Roman" w:hAnsi="Times New Roman"/>
          <w:b/>
          <w:sz w:val="24"/>
          <w:szCs w:val="24"/>
        </w:rPr>
        <w:t>Vet. Sci. Res. J.</w:t>
      </w:r>
      <w:r>
        <w:rPr>
          <w:rFonts w:ascii="Times New Roman" w:hAnsi="Times New Roman"/>
          <w:sz w:val="24"/>
          <w:szCs w:val="24"/>
        </w:rPr>
        <w:t>, 8(1&amp;2)|, 2017, 1-12</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Q. Ma , X.  Zhang  &amp; Y. Qu, </w:t>
      </w:r>
      <w:r>
        <w:rPr>
          <w:rFonts w:ascii="Times New Roman" w:hAnsi="Times New Roman"/>
          <w:i/>
          <w:sz w:val="24"/>
          <w:szCs w:val="24"/>
        </w:rPr>
        <w:t>Biochemical Identification and Biological Origin of Key Odor Components in Livestock Waste</w:t>
      </w:r>
      <w:r>
        <w:rPr>
          <w:rFonts w:ascii="Times New Roman" w:hAnsi="Times New Roman"/>
          <w:sz w:val="24"/>
          <w:szCs w:val="24"/>
        </w:rPr>
        <w:t xml:space="preserve">. </w:t>
      </w:r>
      <w:r>
        <w:rPr>
          <w:rFonts w:ascii="Times New Roman" w:hAnsi="Times New Roman"/>
          <w:b/>
          <w:sz w:val="24"/>
          <w:szCs w:val="24"/>
        </w:rPr>
        <w:t>J. Anim. Sci</w:t>
      </w:r>
      <w:r>
        <w:rPr>
          <w:rFonts w:ascii="Times New Roman" w:hAnsi="Times New Roman"/>
          <w:sz w:val="24"/>
          <w:szCs w:val="24"/>
        </w:rPr>
        <w:t>. 76, 2018, 1331–1342</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H. Bartlett, M. A. Holmes, S. O. Petrovan, D. R. Williams, J. L. N. Wood &amp; A. Balmford, </w:t>
      </w:r>
      <w:r>
        <w:rPr>
          <w:rFonts w:ascii="Times New Roman" w:hAnsi="Times New Roman"/>
          <w:i/>
          <w:sz w:val="24"/>
          <w:szCs w:val="24"/>
        </w:rPr>
        <w:t>Understanding the Relative Risks of Zoonosis Emergence under Contrasting Approaches to Meeting Livestock Product Demand</w:t>
      </w:r>
      <w:r>
        <w:rPr>
          <w:rFonts w:ascii="Times New Roman" w:hAnsi="Times New Roman"/>
          <w:sz w:val="24"/>
          <w:szCs w:val="24"/>
        </w:rPr>
        <w:t xml:space="preserve">, </w:t>
      </w:r>
      <w:r>
        <w:rPr>
          <w:rFonts w:ascii="Times New Roman" w:hAnsi="Times New Roman"/>
          <w:b/>
          <w:sz w:val="24"/>
          <w:szCs w:val="24"/>
        </w:rPr>
        <w:t>Royal Society Open Science</w:t>
      </w:r>
      <w:r>
        <w:rPr>
          <w:rFonts w:ascii="Times New Roman" w:hAnsi="Times New Roman"/>
          <w:sz w:val="24"/>
          <w:szCs w:val="24"/>
        </w:rPr>
        <w:t>, 9, 2022, 211573</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bCs/>
          <w:sz w:val="24"/>
          <w:szCs w:val="24"/>
        </w:rPr>
        <w:t>M. T. Rahman,</w:t>
      </w:r>
      <w:r>
        <w:rPr>
          <w:rFonts w:ascii="Times New Roman" w:hAnsi="Times New Roman"/>
          <w:bCs/>
          <w:sz w:val="24"/>
          <w:szCs w:val="24"/>
          <w:vertAlign w:val="superscript"/>
        </w:rPr>
        <w:t xml:space="preserve"> </w:t>
      </w:r>
      <w:r>
        <w:rPr>
          <w:rFonts w:ascii="Times New Roman" w:hAnsi="Times New Roman"/>
          <w:bCs/>
          <w:sz w:val="24"/>
          <w:szCs w:val="24"/>
        </w:rPr>
        <w:t>M A.Sobur,  M. S. Islam,  S. Ievy, M J. Hossain,,</w:t>
      </w:r>
      <w:r>
        <w:rPr>
          <w:rFonts w:ascii="Times New Roman" w:hAnsi="Times New Roman"/>
          <w:bCs/>
          <w:sz w:val="24"/>
          <w:szCs w:val="24"/>
          <w:vertAlign w:val="superscript"/>
        </w:rPr>
        <w:t xml:space="preserve"> </w:t>
      </w:r>
      <w:r>
        <w:rPr>
          <w:rFonts w:ascii="Times New Roman" w:hAnsi="Times New Roman"/>
          <w:bCs/>
          <w:sz w:val="24"/>
          <w:szCs w:val="24"/>
        </w:rPr>
        <w:t>M. E. El Zowalaty, A. T. Rahman</w:t>
      </w:r>
      <w:r>
        <w:rPr>
          <w:rFonts w:ascii="Times New Roman" w:hAnsi="Times New Roman"/>
          <w:bCs/>
          <w:sz w:val="24"/>
          <w:szCs w:val="24"/>
          <w:vertAlign w:val="superscript"/>
        </w:rPr>
        <w:t xml:space="preserve">,  </w:t>
      </w:r>
      <w:r>
        <w:rPr>
          <w:rFonts w:ascii="Times New Roman" w:hAnsi="Times New Roman"/>
          <w:bCs/>
          <w:sz w:val="24"/>
          <w:szCs w:val="24"/>
        </w:rPr>
        <w:t xml:space="preserve">&amp; H. M. Ashour,  </w:t>
      </w:r>
      <w:r>
        <w:rPr>
          <w:rFonts w:ascii="Times New Roman" w:hAnsi="Times New Roman"/>
          <w:bCs/>
          <w:i/>
          <w:sz w:val="24"/>
          <w:szCs w:val="24"/>
        </w:rPr>
        <w:t>Zoonotic Diseases: Etiology, Impact, and Control,</w:t>
      </w:r>
      <w:r>
        <w:rPr>
          <w:rFonts w:ascii="Times New Roman" w:hAnsi="Times New Roman"/>
          <w:bCs/>
          <w:sz w:val="24"/>
          <w:szCs w:val="24"/>
        </w:rPr>
        <w:t xml:space="preserve"> </w:t>
      </w:r>
      <w:r>
        <w:fldChar w:fldCharType="begin"/>
      </w:r>
      <w:r>
        <w:instrText xml:space="preserve"> HYPERLINK "https://www.ncbi.nlm.nih.gov/pmc/articles/PMC7563794/" </w:instrText>
      </w:r>
      <w:r>
        <w:fldChar w:fldCharType="separate"/>
      </w:r>
      <w:r>
        <w:rPr>
          <w:rStyle w:val="13"/>
          <w:rFonts w:ascii="Times New Roman" w:hAnsi="Times New Roman"/>
          <w:b/>
          <w:color w:val="auto"/>
          <w:sz w:val="24"/>
          <w:szCs w:val="24"/>
          <w:u w:val="none"/>
        </w:rPr>
        <w:t>Microorganisms</w:t>
      </w:r>
      <w:r>
        <w:rPr>
          <w:rStyle w:val="13"/>
          <w:rFonts w:ascii="Times New Roman" w:hAnsi="Times New Roman"/>
          <w:sz w:val="24"/>
          <w:szCs w:val="24"/>
        </w:rPr>
        <w:t>.</w:t>
      </w:r>
      <w:r>
        <w:rPr>
          <w:rStyle w:val="13"/>
          <w:rFonts w:ascii="Times New Roman" w:hAnsi="Times New Roman"/>
          <w:sz w:val="24"/>
          <w:szCs w:val="24"/>
        </w:rPr>
        <w:fldChar w:fldCharType="end"/>
      </w:r>
      <w:r>
        <w:rPr>
          <w:rFonts w:ascii="Times New Roman" w:hAnsi="Times New Roman"/>
          <w:bCs/>
          <w:sz w:val="24"/>
          <w:szCs w:val="24"/>
        </w:rPr>
        <w:t>8(9), 2020, 1405.  doi: 10.3390/microorganisms8091405</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bCs/>
          <w:sz w:val="24"/>
          <w:szCs w:val="24"/>
        </w:rPr>
        <w:t xml:space="preserve">M. N. Hayek, </w:t>
      </w:r>
      <w:r>
        <w:rPr>
          <w:rFonts w:ascii="Times New Roman" w:hAnsi="Times New Roman"/>
          <w:bCs/>
          <w:i/>
          <w:sz w:val="24"/>
          <w:szCs w:val="24"/>
        </w:rPr>
        <w:t>The Infectious Disease Trap of Animal Agriculture</w:t>
      </w:r>
      <w:r>
        <w:rPr>
          <w:rFonts w:ascii="Times New Roman" w:hAnsi="Times New Roman"/>
          <w:bCs/>
          <w:sz w:val="24"/>
          <w:szCs w:val="24"/>
        </w:rPr>
        <w:t xml:space="preserve">, </w:t>
      </w:r>
      <w:r>
        <w:rPr>
          <w:rFonts w:ascii="Times New Roman" w:hAnsi="Times New Roman"/>
          <w:b/>
          <w:sz w:val="24"/>
          <w:szCs w:val="24"/>
        </w:rPr>
        <w:t>Sci Adv.</w:t>
      </w:r>
      <w:r>
        <w:rPr>
          <w:rFonts w:ascii="Times New Roman" w:hAnsi="Times New Roman"/>
          <w:b/>
          <w:color w:val="212121"/>
          <w:sz w:val="24"/>
          <w:szCs w:val="24"/>
          <w:shd w:val="clear" w:color="auto" w:fill="FFFFFF"/>
        </w:rPr>
        <w:t>,</w:t>
      </w:r>
      <w:r>
        <w:rPr>
          <w:rFonts w:ascii="Times New Roman" w:hAnsi="Times New Roman"/>
          <w:color w:val="212121"/>
          <w:sz w:val="24"/>
          <w:szCs w:val="24"/>
          <w:shd w:val="clear" w:color="auto" w:fill="FFFFFF"/>
        </w:rPr>
        <w:t xml:space="preserve"> 8(44):2022, eadd668, doi: </w:t>
      </w:r>
      <w:r>
        <w:rPr>
          <w:rFonts w:ascii="Times New Roman" w:hAnsi="Times New Roman"/>
          <w:sz w:val="24"/>
          <w:szCs w:val="24"/>
          <w:shd w:val="clear" w:color="auto" w:fill="FFFFFF"/>
        </w:rPr>
        <w:t>10.1126/sciadv.add6681</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CDC, Giardiasis. </w:t>
      </w:r>
      <w:r>
        <w:rPr>
          <w:rFonts w:ascii="Times New Roman" w:hAnsi="Times New Roman"/>
          <w:i/>
          <w:sz w:val="24"/>
          <w:szCs w:val="24"/>
        </w:rPr>
        <w:t>Parasitic Disease Information.</w:t>
      </w:r>
      <w:r>
        <w:rPr>
          <w:rFonts w:ascii="Times New Roman" w:hAnsi="Times New Roman"/>
          <w:sz w:val="24"/>
          <w:szCs w:val="24"/>
        </w:rPr>
        <w:t xml:space="preserve"> Giardiasis, 2007a, http://www.cdc.gov/NCIDO/DPD/parasites/giardiasis/factsheet</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CDC, </w:t>
      </w:r>
      <w:r>
        <w:rPr>
          <w:rFonts w:ascii="Times New Roman" w:hAnsi="Times New Roman"/>
          <w:i/>
          <w:sz w:val="24"/>
          <w:szCs w:val="24"/>
        </w:rPr>
        <w:t>Parasitic Disease Information, Cryptosporidium Infection.</w:t>
      </w:r>
      <w:r>
        <w:rPr>
          <w:rFonts w:ascii="Times New Roman" w:hAnsi="Times New Roman"/>
          <w:sz w:val="24"/>
          <w:szCs w:val="24"/>
        </w:rPr>
        <w:t xml:space="preserve"> Cryptosporidiosis, 2007b, http://www.cdc.gov/NCIDO/DPD/parasites/cryptosporidiosis</w:t>
      </w:r>
    </w:p>
    <w:p>
      <w:pPr>
        <w:pStyle w:val="28"/>
        <w:numPr>
          <w:ilvl w:val="0"/>
          <w:numId w:val="3"/>
        </w:numPr>
        <w:tabs>
          <w:tab w:val="left" w:pos="720"/>
        </w:tabs>
        <w:spacing w:before="240" w:after="240" w:line="240" w:lineRule="auto"/>
        <w:contextualSpacing w:val="0"/>
        <w:jc w:val="both"/>
        <w:rPr>
          <w:rStyle w:val="7"/>
          <w:rFonts w:ascii="Times New Roman" w:hAnsi="Times New Roman"/>
          <w:sz w:val="24"/>
          <w:szCs w:val="24"/>
        </w:rPr>
      </w:pPr>
      <w:r>
        <w:rPr>
          <w:rFonts w:ascii="Times New Roman" w:hAnsi="Times New Roman"/>
          <w:bCs/>
          <w:sz w:val="24"/>
          <w:szCs w:val="24"/>
        </w:rPr>
        <w:t xml:space="preserve">A. Curelop, </w:t>
      </w:r>
      <w:r>
        <w:rPr>
          <w:rFonts w:ascii="Times New Roman" w:hAnsi="Times New Roman"/>
          <w:bCs/>
          <w:i/>
          <w:sz w:val="24"/>
          <w:szCs w:val="24"/>
        </w:rPr>
        <w:t>Something Stinks: The Need for Stronger Agricultural Waste Regulations</w:t>
      </w:r>
      <w:r>
        <w:rPr>
          <w:rFonts w:ascii="Times New Roman" w:hAnsi="Times New Roman"/>
          <w:bCs/>
          <w:sz w:val="24"/>
          <w:szCs w:val="24"/>
        </w:rPr>
        <w:t>, 79 Wash. &amp; Lee L. Rev</w:t>
      </w:r>
      <w:r>
        <w:rPr>
          <w:rFonts w:ascii="Times New Roman" w:hAnsi="Times New Roman"/>
          <w:b/>
          <w:bCs/>
          <w:sz w:val="24"/>
          <w:szCs w:val="24"/>
        </w:rPr>
        <w:t>.  Fall</w:t>
      </w:r>
      <w:r>
        <w:rPr>
          <w:rFonts w:ascii="Times New Roman" w:hAnsi="Times New Roman"/>
          <w:bCs/>
          <w:sz w:val="24"/>
          <w:szCs w:val="24"/>
        </w:rPr>
        <w:t>, 79(4), 2022, 1541, https://scholarlycommons.law.wlu.edu/wlulr/vol79/iss4/6</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bCs/>
          <w:sz w:val="24"/>
          <w:szCs w:val="24"/>
        </w:rPr>
        <w:t xml:space="preserve">M. D. Manogaran, R. Shamsuddin,  M. H. Mohd Yusoff,  M. Lay, &amp; A.A. Siyal, </w:t>
      </w:r>
      <w:r>
        <w:rPr>
          <w:rFonts w:ascii="Times New Roman" w:hAnsi="Times New Roman"/>
          <w:bCs/>
          <w:i/>
          <w:sz w:val="24"/>
          <w:szCs w:val="24"/>
        </w:rPr>
        <w:t>A review on Treatment Processes of Chicken Manure</w:t>
      </w:r>
      <w:r>
        <w:rPr>
          <w:rFonts w:ascii="Times New Roman" w:hAnsi="Times New Roman"/>
          <w:b/>
          <w:bCs/>
          <w:i/>
          <w:sz w:val="24"/>
          <w:szCs w:val="24"/>
        </w:rPr>
        <w:t>,</w:t>
      </w:r>
      <w:r>
        <w:rPr>
          <w:rFonts w:ascii="Times New Roman" w:hAnsi="Times New Roman"/>
          <w:b/>
          <w:bCs/>
          <w:sz w:val="24"/>
          <w:szCs w:val="24"/>
        </w:rPr>
        <w:t xml:space="preserve"> Cleaner and Circular Bioeconomy, 2, 2022, 100013</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bCs/>
          <w:sz w:val="24"/>
          <w:szCs w:val="24"/>
        </w:rPr>
        <w:t xml:space="preserve">F. Rivera, J.Akpan, P.Prádanos, A. Hernández, L. Palacio, &amp; R. Muñoz, </w:t>
      </w:r>
      <w:r>
        <w:rPr>
          <w:rFonts w:ascii="Times New Roman" w:hAnsi="Times New Roman"/>
          <w:bCs/>
          <w:i/>
          <w:sz w:val="24"/>
          <w:szCs w:val="24"/>
        </w:rPr>
        <w:t>Side-stream Membrane-based NH</w:t>
      </w:r>
      <w:r>
        <w:rPr>
          <w:rFonts w:ascii="Times New Roman" w:hAnsi="Times New Roman"/>
          <w:bCs/>
          <w:i/>
          <w:sz w:val="24"/>
          <w:szCs w:val="24"/>
          <w:vertAlign w:val="subscript"/>
        </w:rPr>
        <w:t>3</w:t>
      </w:r>
      <w:r>
        <w:rPr>
          <w:rFonts w:ascii="Times New Roman" w:hAnsi="Times New Roman"/>
          <w:bCs/>
          <w:i/>
          <w:sz w:val="24"/>
          <w:szCs w:val="24"/>
        </w:rPr>
        <w:t> Extraction to Improve the Anaerobic Digestion of Poultry Manure</w:t>
      </w:r>
      <w:r>
        <w:rPr>
          <w:rFonts w:ascii="Times New Roman" w:hAnsi="Times New Roman"/>
          <w:b/>
          <w:bCs/>
          <w:sz w:val="24"/>
          <w:szCs w:val="24"/>
        </w:rPr>
        <w:t>,</w:t>
      </w:r>
      <w:r>
        <w:rPr>
          <w:rFonts w:ascii="Times New Roman" w:hAnsi="Times New Roman" w:eastAsia="Times New Roman"/>
          <w:b/>
          <w:bCs/>
          <w:color w:val="1F1F1F"/>
          <w:sz w:val="24"/>
          <w:szCs w:val="24"/>
        </w:rPr>
        <w:t xml:space="preserve"> </w:t>
      </w:r>
      <w:r>
        <w:fldChar w:fldCharType="begin"/>
      </w:r>
      <w:r>
        <w:instrText xml:space="preserve"> HYPERLINK "https://www.sciencedirect.com/journal/journal-of-water-process-engineering" \o "Go to Journal of Water Process Engineering on ScienceDirect" </w:instrText>
      </w:r>
      <w:r>
        <w:fldChar w:fldCharType="separate"/>
      </w:r>
      <w:r>
        <w:rPr>
          <w:rStyle w:val="13"/>
          <w:rFonts w:ascii="Times New Roman" w:hAnsi="Times New Roman"/>
          <w:b/>
          <w:bCs/>
          <w:color w:val="auto"/>
          <w:sz w:val="24"/>
          <w:szCs w:val="24"/>
          <w:u w:val="none"/>
        </w:rPr>
        <w:t>Journal of Water Process Engineering</w:t>
      </w:r>
      <w:r>
        <w:rPr>
          <w:rStyle w:val="13"/>
          <w:rFonts w:ascii="Times New Roman" w:hAnsi="Times New Roman"/>
          <w:b/>
          <w:bCs/>
          <w:color w:val="auto"/>
          <w:sz w:val="24"/>
          <w:szCs w:val="24"/>
          <w:u w:val="none"/>
        </w:rPr>
        <w:fldChar w:fldCharType="end"/>
      </w:r>
      <w:r>
        <w:rPr>
          <w:rFonts w:ascii="Times New Roman" w:hAnsi="Times New Roman"/>
          <w:b/>
          <w:bCs/>
          <w:sz w:val="24"/>
          <w:szCs w:val="24"/>
        </w:rPr>
        <w:t xml:space="preserve">, </w:t>
      </w:r>
      <w:r>
        <w:rPr>
          <w:rFonts w:ascii="Times New Roman" w:hAnsi="Times New Roman"/>
          <w:bCs/>
          <w:sz w:val="24"/>
          <w:szCs w:val="24"/>
        </w:rPr>
        <w:t>54, 2023, 103990</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E. A. Martínez-Mera, A. C. Torregroza-Espinosa, A. Valencia-García &amp; L. Rojas-Gerónimo, </w:t>
      </w:r>
      <w:r>
        <w:rPr>
          <w:rFonts w:ascii="Times New Roman" w:hAnsi="Times New Roman"/>
          <w:i/>
          <w:sz w:val="24"/>
          <w:szCs w:val="24"/>
        </w:rPr>
        <w:t>Relationship between Soil Physicochemical Characteristics and Nitrogen-Fixing Bacteria in Agricultural Soils of the Atlántico Department, Colombia.</w:t>
      </w:r>
      <w:r>
        <w:rPr>
          <w:rFonts w:ascii="Times New Roman" w:hAnsi="Times New Roman"/>
          <w:sz w:val="24"/>
          <w:szCs w:val="24"/>
        </w:rPr>
        <w:t xml:space="preserve"> </w:t>
      </w:r>
      <w:r>
        <w:rPr>
          <w:rFonts w:ascii="Times New Roman" w:hAnsi="Times New Roman"/>
          <w:b/>
          <w:sz w:val="24"/>
          <w:szCs w:val="24"/>
        </w:rPr>
        <w:t>Soil environ.,</w:t>
      </w:r>
      <w:r>
        <w:rPr>
          <w:rFonts w:ascii="Times New Roman" w:hAnsi="Times New Roman"/>
          <w:sz w:val="24"/>
          <w:szCs w:val="24"/>
        </w:rPr>
        <w:t xml:space="preserve"> 36, 2017, 174-181.</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sz w:val="24"/>
          <w:szCs w:val="24"/>
        </w:rPr>
        <w:t xml:space="preserve">V. Pino, A. McBratney, M. Fajardo, N. Wilson &amp; R. Deaker, </w:t>
      </w:r>
      <w:r>
        <w:rPr>
          <w:rFonts w:ascii="Times New Roman" w:hAnsi="Times New Roman"/>
          <w:i/>
          <w:sz w:val="24"/>
          <w:szCs w:val="24"/>
        </w:rPr>
        <w:t>Understanding Soil Biodiversity using Two Orthogonal 1000km Transects across New South Wales, Australia.</w:t>
      </w:r>
      <w:r>
        <w:rPr>
          <w:rFonts w:ascii="Times New Roman" w:hAnsi="Times New Roman"/>
          <w:sz w:val="24"/>
          <w:szCs w:val="24"/>
        </w:rPr>
        <w:t xml:space="preserve"> </w:t>
      </w:r>
      <w:r>
        <w:rPr>
          <w:rFonts w:ascii="Times New Roman" w:hAnsi="Times New Roman"/>
          <w:b/>
          <w:sz w:val="24"/>
          <w:szCs w:val="24"/>
        </w:rPr>
        <w:t>Geoderma,</w:t>
      </w:r>
      <w:r>
        <w:rPr>
          <w:rFonts w:ascii="Times New Roman" w:hAnsi="Times New Roman"/>
          <w:sz w:val="24"/>
          <w:szCs w:val="24"/>
        </w:rPr>
        <w:t xml:space="preserve"> 354, 2019, 113860. </w:t>
      </w:r>
    </w:p>
    <w:p>
      <w:pPr>
        <w:pStyle w:val="28"/>
        <w:numPr>
          <w:ilvl w:val="0"/>
          <w:numId w:val="3"/>
        </w:numPr>
        <w:tabs>
          <w:tab w:val="left" w:pos="720"/>
        </w:tabs>
        <w:spacing w:before="240" w:after="240" w:line="240" w:lineRule="auto"/>
        <w:contextualSpacing w:val="0"/>
        <w:jc w:val="both"/>
        <w:rPr>
          <w:rFonts w:ascii="Times New Roman" w:hAnsi="Times New Roman"/>
          <w:sz w:val="24"/>
          <w:szCs w:val="24"/>
        </w:rPr>
      </w:pPr>
      <w:r>
        <w:rPr>
          <w:rFonts w:ascii="Times New Roman" w:hAnsi="Times New Roman"/>
          <w:bCs/>
          <w:sz w:val="24"/>
          <w:szCs w:val="24"/>
        </w:rPr>
        <w:t>S. G. Zulu, N. M. Motsa, N. J. Sithole, L. S. Magwaza</w:t>
      </w:r>
      <w:r>
        <w:rPr>
          <w:rFonts w:ascii="Times New Roman" w:hAnsi="Times New Roman"/>
          <w:bCs/>
          <w:sz w:val="24"/>
          <w:szCs w:val="24"/>
          <w:vertAlign w:val="superscript"/>
        </w:rPr>
        <w:t> </w:t>
      </w:r>
      <w:r>
        <w:rPr>
          <w:rFonts w:ascii="Times New Roman" w:hAnsi="Times New Roman"/>
          <w:bCs/>
          <w:sz w:val="24"/>
          <w:szCs w:val="24"/>
        </w:rPr>
        <w:t xml:space="preserve">&amp; K. Ncama, </w:t>
      </w:r>
      <w:r>
        <w:rPr>
          <w:rFonts w:ascii="Times New Roman" w:hAnsi="Times New Roman"/>
          <w:bCs/>
          <w:i/>
          <w:sz w:val="24"/>
          <w:szCs w:val="24"/>
        </w:rPr>
        <w:t xml:space="preserve">Soil Macrofauna Abundance and Taxonomic Richness under Long-Term No-Till Conservation Agriculture in a Semi-Arid Environment of South Africa, </w:t>
      </w:r>
      <w:r>
        <w:rPr>
          <w:rFonts w:ascii="Times New Roman" w:hAnsi="Times New Roman"/>
          <w:b/>
          <w:bCs/>
          <w:sz w:val="24"/>
          <w:szCs w:val="24"/>
        </w:rPr>
        <w:t>Agronom</w:t>
      </w:r>
      <w:r>
        <w:rPr>
          <w:rFonts w:ascii="Times New Roman" w:hAnsi="Times New Roman"/>
          <w:bCs/>
          <w:sz w:val="24"/>
          <w:szCs w:val="24"/>
        </w:rPr>
        <w:t>y, 12(3), 2022, 722,</w:t>
      </w:r>
      <w:r>
        <w:rPr>
          <w:rFonts w:ascii="Times New Roman" w:hAnsi="Times New Roman"/>
          <w:bCs/>
          <w:i/>
          <w:sz w:val="24"/>
          <w:szCs w:val="24"/>
        </w:rPr>
        <w:t xml:space="preserve"> </w:t>
      </w:r>
      <w:r>
        <w:rPr>
          <w:rFonts w:ascii="Times New Roman" w:hAnsi="Times New Roman"/>
          <w:bCs/>
          <w:sz w:val="24"/>
          <w:szCs w:val="24"/>
          <w:shd w:val="clear" w:color="auto" w:fill="FFFFFF"/>
        </w:rPr>
        <w:t>https://doi.org/10.3390/agronomy12030722</w:t>
      </w:r>
    </w:p>
    <w:p>
      <w:pPr>
        <w:pStyle w:val="28"/>
        <w:numPr>
          <w:ilvl w:val="0"/>
          <w:numId w:val="3"/>
        </w:numPr>
        <w:tabs>
          <w:tab w:val="left" w:pos="720"/>
        </w:tabs>
        <w:spacing w:before="240" w:after="240" w:line="240" w:lineRule="auto"/>
        <w:contextualSpacing w:val="0"/>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A. Sofo, A. N. Mininni, &amp; P. Ricciuti , </w:t>
      </w:r>
      <w:r>
        <w:rPr>
          <w:rFonts w:ascii="Times New Roman" w:hAnsi="Times New Roman"/>
          <w:i/>
          <w:color w:val="000000" w:themeColor="text1"/>
          <w:sz w:val="24"/>
          <w:szCs w:val="24"/>
          <w14:textFill>
            <w14:solidFill>
              <w14:schemeClr w14:val="tx1"/>
            </w14:solidFill>
          </w14:textFill>
        </w:rPr>
        <w:t>Soil Macrofauna: A key Factor for Increasing Soil   Fertility and Promoting Sustainable Soil Use in Fruit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Agronom</w:t>
      </w:r>
      <w:r>
        <w:rPr>
          <w:rFonts w:ascii="Times New Roman" w:hAnsi="Times New Roman"/>
          <w:color w:val="000000" w:themeColor="text1"/>
          <w:sz w:val="24"/>
          <w:szCs w:val="24"/>
          <w14:textFill>
            <w14:solidFill>
              <w14:schemeClr w14:val="tx1"/>
            </w14:solidFill>
          </w14:textFill>
        </w:rPr>
        <w:t>y, 10(4), 2020, 456,   https://doi.org/10.3390/agronomy10040456</w:t>
      </w:r>
    </w:p>
    <w:p>
      <w:pPr>
        <w:pStyle w:val="28"/>
        <w:numPr>
          <w:ilvl w:val="0"/>
          <w:numId w:val="3"/>
        </w:numPr>
        <w:tabs>
          <w:tab w:val="left" w:pos="720"/>
        </w:tabs>
        <w:spacing w:before="240" w:after="240" w:line="240" w:lineRule="auto"/>
        <w:contextualSpacing w:val="0"/>
        <w:jc w:val="both"/>
        <w:rPr>
          <w:rFonts w:ascii="Times New Roman" w:hAnsi="Times New Roman"/>
          <w:color w:val="000000"/>
          <w:sz w:val="24"/>
          <w:szCs w:val="24"/>
        </w:rPr>
      </w:pPr>
      <w:r>
        <w:rPr>
          <w:rFonts w:ascii="Times New Roman" w:hAnsi="Times New Roman"/>
          <w:bCs/>
          <w:sz w:val="24"/>
          <w:szCs w:val="24"/>
        </w:rPr>
        <w:t>S. E. Brown, D. C. Miller, P. J. Ordonez &amp; K. Baylis,</w:t>
      </w:r>
      <w:r>
        <w:rPr>
          <w:rFonts w:ascii="Times New Roman" w:hAnsi="Times New Roman"/>
          <w:bCs/>
          <w:i/>
          <w:sz w:val="24"/>
          <w:szCs w:val="24"/>
        </w:rPr>
        <w:t xml:space="preserve"> Evidence for the Impacts of   Agroforestry on Agricultural Productivity, Ecosystem Services, and Human Well-being in High-income Countries: A systematic Map Protocol, </w:t>
      </w:r>
      <w:r>
        <w:rPr>
          <w:rFonts w:ascii="Times New Roman" w:hAnsi="Times New Roman"/>
          <w:b/>
          <w:bCs/>
          <w:iCs/>
          <w:sz w:val="24"/>
          <w:szCs w:val="24"/>
        </w:rPr>
        <w:t>Environmental Evidence</w:t>
      </w:r>
      <w:r>
        <w:rPr>
          <w:rFonts w:ascii="Times New Roman" w:hAnsi="Times New Roman"/>
          <w:b/>
          <w:bCs/>
          <w:sz w:val="24"/>
          <w:szCs w:val="24"/>
        </w:rPr>
        <w:t>,7</w:t>
      </w:r>
      <w:r>
        <w:rPr>
          <w:rFonts w:ascii="Times New Roman" w:hAnsi="Times New Roman"/>
          <w:bCs/>
          <w:sz w:val="24"/>
          <w:szCs w:val="24"/>
        </w:rPr>
        <w:t>(24), 2018</w:t>
      </w:r>
    </w:p>
    <w:p>
      <w:pPr>
        <w:pStyle w:val="2"/>
      </w:pPr>
    </w:p>
    <w:p>
      <w:pPr>
        <w:spacing w:after="200" w:line="276" w:lineRule="auto"/>
        <w:rPr>
          <w:rFonts w:ascii="Times New Roman" w:hAnsi="Times New Roman" w:eastAsia="Times New Roman"/>
          <w:b/>
          <w:color w:val="000000"/>
          <w:sz w:val="24"/>
          <w:szCs w:val="24"/>
        </w:rPr>
      </w:pPr>
      <w:r>
        <w:rPr>
          <w:rFonts w:ascii="Times New Roman" w:hAnsi="Times New Roman"/>
          <w:sz w:val="24"/>
          <w:szCs w:val="24"/>
        </w:rPr>
        <w:br w:type="page"/>
      </w:r>
    </w:p>
    <w:p>
      <w:pPr>
        <w:pStyle w:val="2"/>
      </w:pPr>
      <w:r>
        <w:t>Chapter Two</w:t>
      </w:r>
      <w:bookmarkEnd w:id="7"/>
      <w:bookmarkStart w:id="8" w:name="_Toc132200925"/>
    </w:p>
    <w:p>
      <w:pPr>
        <w:pStyle w:val="2"/>
      </w:pPr>
      <w:r>
        <w:t>Literature Review</w:t>
      </w:r>
      <w:bookmarkEnd w:id="8"/>
    </w:p>
    <w:p>
      <w:pPr>
        <w:spacing w:after="120" w:line="480" w:lineRule="auto"/>
        <w:rPr>
          <w:rFonts w:ascii="Times New Roman" w:hAnsi="Times New Roman"/>
          <w:b/>
          <w:bCs/>
          <w:color w:val="000000"/>
          <w:sz w:val="24"/>
          <w:szCs w:val="24"/>
          <w:lang w:val="en-GB"/>
        </w:rPr>
      </w:pPr>
      <w:r>
        <w:rPr>
          <w:rFonts w:ascii="Times New Roman" w:hAnsi="Times New Roman"/>
          <w:b/>
          <w:bCs/>
          <w:color w:val="000000"/>
          <w:sz w:val="24"/>
          <w:szCs w:val="24"/>
          <w:lang w:val="en-GB"/>
        </w:rPr>
        <w:t>2.1</w:t>
      </w:r>
      <w:r>
        <w:rPr>
          <w:rFonts w:ascii="Times New Roman" w:hAnsi="Times New Roman"/>
          <w:b/>
          <w:bCs/>
          <w:color w:val="000000"/>
          <w:sz w:val="24"/>
          <w:szCs w:val="24"/>
          <w:lang w:val="en-GB"/>
        </w:rPr>
        <w:tab/>
      </w:r>
      <w:r>
        <w:rPr>
          <w:rFonts w:ascii="Times New Roman" w:hAnsi="Times New Roman"/>
          <w:b/>
          <w:bCs/>
          <w:color w:val="000000"/>
          <w:sz w:val="24"/>
          <w:szCs w:val="24"/>
          <w:lang w:val="en-GB"/>
        </w:rPr>
        <w:t>Conceptual Review</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Within the Livestock Industry, the main purpose of raising cattle, sheep, and goats is to produce meat and milk, while in the case of poultry, the main purpose is to produce meat and eggs </w:t>
      </w:r>
      <w:r>
        <w:rPr>
          <w:rFonts w:ascii="Times New Roman" w:hAnsi="Times New Roman"/>
          <w:color w:val="000000"/>
          <w:sz w:val="24"/>
          <w:szCs w:val="24"/>
          <w:vertAlign w:val="superscript"/>
        </w:rPr>
        <w:t>1</w:t>
      </w:r>
      <w:r>
        <w:rPr>
          <w:rFonts w:ascii="Times New Roman" w:hAnsi="Times New Roman"/>
          <w:color w:val="000000"/>
          <w:sz w:val="24"/>
          <w:szCs w:val="24"/>
        </w:rPr>
        <w:t>. Consequently, any other products obtained beyond these primary ones are considered as by-products. These by-products encompass bones, horns, blood, hooves, eggshells, skin, discarded carcasses, dung, feathers, rumen content, and so forth. Manure regarded as waste is also gotten from livestock and its benefit ranges from its use in improving soil fertility to being used as feed (particularly poultry litter) for other livestock</w:t>
      </w:r>
      <w:r>
        <w:rPr>
          <w:rFonts w:ascii="Times New Roman" w:hAnsi="Times New Roman"/>
          <w:color w:val="000000"/>
          <w:sz w:val="24"/>
          <w:szCs w:val="24"/>
          <w:vertAlign w:val="superscript"/>
        </w:rPr>
        <w:t>2</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manure comprises the excrement of farm animals like cattle, sheep, goats, rabbits, and poultry birds. When dry, these manures vary in size and shape, except for sheep and goats, which are not easily distinguishable. However, they share a common dark green coloration. Livestock manure is typically obtained from farms that raise livestock and poultry.</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and poultry manure serve as fertilizers and aids in controlling soil erosion. For instance, applying cattle manure to farmland offers an economical and environmentally sustainable approach to increasing crop production. The nutrients present in cattle manure can substitute commercial fertilizers</w:t>
      </w:r>
      <w:r>
        <w:rPr>
          <w:rFonts w:ascii="Times New Roman" w:hAnsi="Times New Roman"/>
          <w:color w:val="000000"/>
          <w:sz w:val="24"/>
          <w:szCs w:val="24"/>
          <w:vertAlign w:val="superscript"/>
        </w:rPr>
        <w:t>2</w:t>
      </w:r>
      <w:r>
        <w:rPr>
          <w:rFonts w:ascii="Times New Roman" w:hAnsi="Times New Roman"/>
          <w:color w:val="000000"/>
          <w:sz w:val="24"/>
          <w:szCs w:val="24"/>
        </w:rPr>
        <w:t>. However, the value of manure extends beyond the collective worth of individual nutrients. Cattle manure serves as a great soil amendment, enhancing soil quality by improving water infiltration and soil structure</w:t>
      </w:r>
      <w:r>
        <w:rPr>
          <w:rFonts w:ascii="Times New Roman" w:hAnsi="Times New Roman"/>
          <w:color w:val="000000"/>
          <w:sz w:val="24"/>
          <w:szCs w:val="24"/>
          <w:vertAlign w:val="superscript"/>
        </w:rPr>
        <w:t>2</w:t>
      </w:r>
      <w:r>
        <w:rPr>
          <w:rFonts w:ascii="Times New Roman" w:hAnsi="Times New Roman"/>
          <w:color w:val="000000"/>
          <w:sz w:val="24"/>
          <w:szCs w:val="24"/>
        </w:rPr>
        <w:t>. Likewise, it contributes to increased crop yields through substantial nutrient and organic material inputs. The benefits of these nutrients as well as organic materials might not be instantly apparent, but the manure value is best understood in terms of the overall yield of crop and quality response over many years.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Additionally, researchers have reported various other applications for cattle manure, such as its use in land remediation in oil mining areas that require biogas, fibrous materials and electricity production, and as animal feed</w:t>
      </w:r>
      <w:r>
        <w:rPr>
          <w:rFonts w:ascii="Times New Roman" w:hAnsi="Times New Roman"/>
          <w:color w:val="000000"/>
          <w:sz w:val="24"/>
          <w:szCs w:val="24"/>
          <w:vertAlign w:val="superscript"/>
        </w:rPr>
        <w:t>3</w:t>
      </w:r>
      <w:r>
        <w:rPr>
          <w:rFonts w:ascii="Times New Roman" w:hAnsi="Times New Roman"/>
          <w:color w:val="000000"/>
          <w:sz w:val="24"/>
          <w:szCs w:val="24"/>
        </w:rPr>
        <w:t>. Similarly, poultry manure finds use in fertilizer production, biogas generation, and electricity production</w:t>
      </w:r>
      <w:r>
        <w:rPr>
          <w:rFonts w:ascii="Times New Roman" w:hAnsi="Times New Roman"/>
          <w:color w:val="000000"/>
          <w:sz w:val="24"/>
          <w:szCs w:val="24"/>
          <w:vertAlign w:val="superscript"/>
        </w:rPr>
        <w:t>4, 5</w:t>
      </w:r>
      <w:r>
        <w:rPr>
          <w:rFonts w:ascii="Times New Roman" w:hAnsi="Times New Roman"/>
          <w:color w:val="000000"/>
          <w:sz w:val="24"/>
          <w:szCs w:val="24"/>
        </w:rPr>
        <w:t>. In certain regions of Asia and India, goat and sheep manure is highly regarded and priced as garden manure. In fact, in some parts of southern India, this might be a main reason for rearing sheep and goats</w:t>
      </w:r>
      <w:r>
        <w:rPr>
          <w:rFonts w:ascii="Times New Roman" w:hAnsi="Times New Roman"/>
          <w:color w:val="000000"/>
          <w:sz w:val="24"/>
          <w:szCs w:val="24"/>
          <w:vertAlign w:val="superscript"/>
        </w:rPr>
        <w:t>6</w:t>
      </w:r>
      <w:r>
        <w:rPr>
          <w:rFonts w:ascii="Times New Roman" w:hAnsi="Times New Roman"/>
          <w:color w:val="000000"/>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2.2</w:t>
      </w:r>
      <w:r>
        <w:rPr>
          <w:rFonts w:ascii="Times New Roman" w:hAnsi="Times New Roman"/>
          <w:b/>
          <w:color w:val="000000"/>
          <w:sz w:val="24"/>
          <w:szCs w:val="24"/>
        </w:rPr>
        <w:tab/>
      </w:r>
      <w:r>
        <w:rPr>
          <w:rFonts w:ascii="Times New Roman" w:hAnsi="Times New Roman"/>
          <w:b/>
          <w:color w:val="000000"/>
          <w:sz w:val="24"/>
          <w:szCs w:val="24"/>
        </w:rPr>
        <w:t>Chemical Composition of Different Livestock Excreta</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Various researchers have reported the chemical compositions of different livestock and poultry manure, and this information is presented in Table 2.1. Notably, poultry manure stands out with the highest crude protein content, approximately 30%. Moreover, studies have indicated that poultry excreta serves as a more reliable source of digestible nutrients compared to ruminant faeces</w:t>
      </w:r>
      <w:r>
        <w:rPr>
          <w:rFonts w:ascii="Times New Roman" w:hAnsi="Times New Roman"/>
          <w:color w:val="000000"/>
          <w:sz w:val="24"/>
          <w:szCs w:val="24"/>
          <w:vertAlign w:val="superscript"/>
        </w:rPr>
        <w:t>7</w:t>
      </w:r>
      <w:r>
        <w:rPr>
          <w:rFonts w:ascii="Times New Roman" w:hAnsi="Times New Roman"/>
          <w:color w:val="000000"/>
          <w:sz w:val="24"/>
          <w:szCs w:val="24"/>
        </w:rPr>
        <w:t>. Fresh animal waste contains larger quantities of many trace elements, vitamin K, and most B group vitamins, along with their vitamins or pro-vitamins, in comparison to the original feeds</w:t>
      </w:r>
      <w:r>
        <w:rPr>
          <w:rFonts w:ascii="Times New Roman" w:hAnsi="Times New Roman"/>
          <w:color w:val="000000"/>
          <w:sz w:val="24"/>
          <w:szCs w:val="24"/>
          <w:vertAlign w:val="superscript"/>
        </w:rPr>
        <w:t>8</w:t>
      </w:r>
      <w:r>
        <w:rPr>
          <w:rFonts w:ascii="Times New Roman" w:hAnsi="Times New Roman"/>
          <w:color w:val="000000"/>
          <w:sz w:val="24"/>
          <w:szCs w:val="24"/>
        </w:rPr>
        <w:t>. For example, some researchers found higher levels of riboflavin in chicken feces than in their feeds</w:t>
      </w:r>
      <w:r>
        <w:rPr>
          <w:rFonts w:ascii="Times New Roman" w:hAnsi="Times New Roman"/>
          <w:color w:val="000000"/>
          <w:sz w:val="24"/>
          <w:szCs w:val="24"/>
          <w:vertAlign w:val="superscript"/>
        </w:rPr>
        <w:t>9</w:t>
      </w:r>
      <w:r>
        <w:rPr>
          <w:rFonts w:ascii="Times New Roman" w:hAnsi="Times New Roman"/>
          <w:color w:val="000000"/>
          <w:sz w:val="24"/>
          <w:szCs w:val="24"/>
        </w:rPr>
        <w:t>. Furthermore, it has been noticed that the riboflavin content in chicken faeces increases by 100% after being stored at room temperature for 24 hours and by 300% within a week, thanks to bacterial synthesis of the vitamins</w:t>
      </w:r>
      <w:r>
        <w:rPr>
          <w:rFonts w:ascii="Times New Roman" w:hAnsi="Times New Roman"/>
          <w:color w:val="000000"/>
          <w:sz w:val="24"/>
          <w:szCs w:val="24"/>
          <w:vertAlign w:val="superscript"/>
        </w:rPr>
        <w:t>10</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b/>
          <w:bCs/>
          <w:color w:val="000000"/>
          <w:sz w:val="24"/>
          <w:szCs w:val="24"/>
        </w:rPr>
      </w:pPr>
      <w:r>
        <w:rPr>
          <w:rFonts w:ascii="Times New Roman" w:hAnsi="Times New Roman"/>
          <w:b/>
          <w:bCs/>
          <w:color w:val="000000"/>
          <w:sz w:val="24"/>
          <w:szCs w:val="24"/>
        </w:rPr>
        <w:t>Table 2.1: Chemical Composition of Livestock Manure (as Percentage of Dry Matter)</w:t>
      </w:r>
    </w:p>
    <w:tbl>
      <w:tblPr>
        <w:tblStyle w:val="5"/>
        <w:tblW w:w="9448" w:type="dxa"/>
        <w:tblInd w:w="-162"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99"/>
        <w:gridCol w:w="1254"/>
        <w:gridCol w:w="1173"/>
        <w:gridCol w:w="1152"/>
        <w:gridCol w:w="1152"/>
        <w:gridCol w:w="1037"/>
        <w:gridCol w:w="1037"/>
        <w:gridCol w:w="922"/>
        <w:gridCol w:w="922"/>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799"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mc:AlternateContent>
                <mc:Choice Requires="wps">
                  <w:drawing>
                    <wp:anchor distT="0" distB="0" distL="114300" distR="114300" simplePos="0" relativeHeight="251668480" behindDoc="0" locked="0" layoutInCell="1" allowOverlap="1">
                      <wp:simplePos x="0" y="0"/>
                      <wp:positionH relativeFrom="column">
                        <wp:posOffset>-54610</wp:posOffset>
                      </wp:positionH>
                      <wp:positionV relativeFrom="paragraph">
                        <wp:posOffset>288290</wp:posOffset>
                      </wp:positionV>
                      <wp:extent cx="5964555" cy="0"/>
                      <wp:effectExtent l="0" t="0" r="17145" b="19050"/>
                      <wp:wrapNone/>
                      <wp:docPr id="1" name="Straight Connector 1"/>
                      <wp:cNvGraphicFramePr/>
                      <a:graphic xmlns:a="http://schemas.openxmlformats.org/drawingml/2006/main">
                        <a:graphicData uri="http://schemas.microsoft.com/office/word/2010/wordprocessingShape">
                          <wps:wsp>
                            <wps:cNvCnPr/>
                            <wps:spPr>
                              <a:xfrm>
                                <a:off x="0" y="0"/>
                                <a:ext cx="59648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3pt;margin-top:22.7pt;height:0pt;width:469.65pt;z-index:251668480;mso-width-relative:page;mso-height-relative:page;" filled="f" stroked="t" coordsize="21600,21600" o:gfxdata="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9iN+71gAAAAgBAAAPAAAAAAAAAAEAIAAAACIA&#10;AABkcnMvZG93bnJldi54bWxQSwECFAAUAAAACACHTuJAed8NlNIBAAC0AwAADgAAAAAAAAABACAA&#10;AAAlAQAAZHJzL2Uyb0RvYy54bWxQSwUGAAAAAAYABgBZAQAAaQUAAAAA&#10;">
                      <v:fill on="f" focussize="0,0"/>
                      <v:stroke weight="0.5pt" color="#000000 [3200]" miterlimit="8" joinstyle="miter"/>
                      <v:imagedata o:title=""/>
                      <o:lock v:ext="edit" aspectratio="f"/>
                    </v:line>
                  </w:pict>
                </mc:Fallback>
              </mc:AlternateContent>
            </w:r>
            <w:r>
              <w:rPr>
                <w:rFonts w:ascii="Times New Roman" w:hAnsi="Times New Roman"/>
                <w:color w:val="000000"/>
                <w:sz w:val="24"/>
                <w:szCs w:val="24"/>
              </w:rPr>
              <w:t>S/N</w:t>
            </w:r>
          </w:p>
        </w:tc>
        <w:tc>
          <w:tcPr>
            <w:tcW w:w="1254"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Species</w:t>
            </w:r>
          </w:p>
        </w:tc>
        <w:tc>
          <w:tcPr>
            <w:tcW w:w="1173"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CP</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CF</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EE</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NFE</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Ash</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Ca</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799"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w:t>
            </w:r>
          </w:p>
        </w:tc>
        <w:tc>
          <w:tcPr>
            <w:tcW w:w="1254"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DPW</w:t>
            </w:r>
          </w:p>
        </w:tc>
        <w:tc>
          <w:tcPr>
            <w:tcW w:w="1173"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20.00</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23.00</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1.00</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35.00</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21.00</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9"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w:t>
            </w:r>
          </w:p>
        </w:tc>
        <w:tc>
          <w:tcPr>
            <w:tcW w:w="1254"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BDL</w:t>
            </w:r>
          </w:p>
        </w:tc>
        <w:tc>
          <w:tcPr>
            <w:tcW w:w="1173"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14.58</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11.00</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1.20</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46.12</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27.00</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799"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3</w:t>
            </w:r>
          </w:p>
        </w:tc>
        <w:tc>
          <w:tcPr>
            <w:tcW w:w="1254"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PM</w:t>
            </w:r>
          </w:p>
        </w:tc>
        <w:tc>
          <w:tcPr>
            <w:tcW w:w="1173"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25-29</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14-20</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1.5-2.5</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799"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4</w:t>
            </w:r>
          </w:p>
        </w:tc>
        <w:tc>
          <w:tcPr>
            <w:tcW w:w="1254"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SM</w:t>
            </w:r>
          </w:p>
        </w:tc>
        <w:tc>
          <w:tcPr>
            <w:tcW w:w="1173"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18.25</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18.20</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17.50</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2.00</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0.90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799"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5</w:t>
            </w:r>
          </w:p>
        </w:tc>
        <w:tc>
          <w:tcPr>
            <w:tcW w:w="1254"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CM</w:t>
            </w:r>
          </w:p>
        </w:tc>
        <w:tc>
          <w:tcPr>
            <w:tcW w:w="1173"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14.05</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32.50</w:t>
            </w:r>
          </w:p>
        </w:tc>
        <w:tc>
          <w:tcPr>
            <w:tcW w:w="115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t>
            </w:r>
          </w:p>
        </w:tc>
        <w:tc>
          <w:tcPr>
            <w:tcW w:w="1037"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9.89</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0.45</w:t>
            </w:r>
          </w:p>
        </w:tc>
        <w:tc>
          <w:tcPr>
            <w:tcW w:w="922" w:type="dxa"/>
            <w:shd w:val="clear" w:color="auto" w:fill="auto"/>
          </w:tcPr>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0.50</w:t>
            </w:r>
          </w:p>
        </w:tc>
      </w:tr>
    </w:tbl>
    <w:p>
      <w:pPr>
        <w:spacing w:after="120" w:line="480" w:lineRule="auto"/>
        <w:jc w:val="both"/>
        <w:rPr>
          <w:rFonts w:ascii="Times New Roman" w:hAnsi="Times New Roman"/>
          <w:color w:val="000000"/>
          <w:sz w:val="24"/>
          <w:szCs w:val="24"/>
        </w:rPr>
      </w:pPr>
      <w:r>
        <w:rPr>
          <w:rFonts w:ascii="Times New Roman" w:hAnsi="Times New Roman"/>
          <w:b/>
          <w:bCs/>
          <w:color w:val="000000"/>
          <w:sz w:val="24"/>
          <w:szCs w:val="24"/>
        </w:rPr>
        <w:t>Source</w:t>
      </w:r>
      <w:r>
        <w:rPr>
          <w:rFonts w:ascii="Times New Roman" w:hAnsi="Times New Roman"/>
          <w:color w:val="000000"/>
          <w:sz w:val="24"/>
          <w:szCs w:val="24"/>
        </w:rPr>
        <w:t>:</w:t>
      </w:r>
      <w:r>
        <w:rPr>
          <w:rFonts w:ascii="Times New Roman" w:hAnsi="Times New Roman"/>
          <w:color w:val="000000"/>
          <w:sz w:val="24"/>
          <w:szCs w:val="24"/>
          <w:vertAlign w:val="superscript"/>
        </w:rPr>
        <w:t>157,158,159</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DPW- Dried Poultry Waste, BDL- Broiler Deep Litter, PM- Poultry Manure, SM- Swine Manure, CM- Cattle Manure, CP- Crude Protein, CF, Crude Fibre, EE- Ether Extract, NFE- Nitrogen Free Extract, Ca- Calcium, P- Phosphorus </w:t>
      </w:r>
      <w:bookmarkStart w:id="9" w:name="_Toc132200926"/>
    </w:p>
    <w:p>
      <w:pPr>
        <w:spacing w:after="120" w:line="480" w:lineRule="auto"/>
        <w:jc w:val="both"/>
        <w:rPr>
          <w:rFonts w:ascii="Times New Roman" w:hAnsi="Times New Roman"/>
          <w:b/>
          <w:color w:val="000000"/>
          <w:sz w:val="24"/>
          <w:szCs w:val="24"/>
        </w:rPr>
      </w:pPr>
      <w:r>
        <w:rPr>
          <w:rFonts w:ascii="Times New Roman" w:hAnsi="Times New Roman"/>
          <w:b/>
          <w:sz w:val="24"/>
          <w:szCs w:val="24"/>
        </w:rPr>
        <w:t>2.2.1</w:t>
      </w:r>
      <w:r>
        <w:rPr>
          <w:rFonts w:ascii="Times New Roman" w:hAnsi="Times New Roman"/>
          <w:b/>
          <w:sz w:val="24"/>
          <w:szCs w:val="24"/>
        </w:rPr>
        <w:tab/>
      </w:r>
      <w:r>
        <w:rPr>
          <w:rFonts w:ascii="Times New Roman" w:hAnsi="Times New Roman"/>
          <w:b/>
          <w:sz w:val="24"/>
          <w:szCs w:val="24"/>
        </w:rPr>
        <w:t>Crude Protein</w:t>
      </w:r>
      <w:bookmarkEnd w:id="9"/>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Crude protein (nitrogen X 6.25) concentrations as much as and exceeding 300 g/</w:t>
      </w:r>
      <w:bookmarkStart w:id="10" w:name="_Toc132200927"/>
      <w:r>
        <w:rPr>
          <w:rFonts w:ascii="Times New Roman" w:hAnsi="Times New Roman"/>
          <w:color w:val="000000"/>
          <w:sz w:val="24"/>
          <w:szCs w:val="24"/>
        </w:rPr>
        <w:t>kg dry matter (DM) has been recorded. Crude protein comprises true protein nitrogen as well as non-protein nitrogen (NPN), with uric acid being the most common NPN component found in poultry wastes. Notably, 26 to 34 g/kg units of uric acid and 21 g/kg units of amino acid nitrogen were detected in 68 g/kg nitrogen-containing manure. Other NPN components present in manure include ammonia, creatinine and urea</w:t>
      </w:r>
      <w:r>
        <w:rPr>
          <w:rFonts w:ascii="Times New Roman" w:hAnsi="Times New Roman"/>
          <w:color w:val="000000"/>
          <w:sz w:val="24"/>
          <w:szCs w:val="24"/>
          <w:vertAlign w:val="superscript"/>
        </w:rPr>
        <w:t>11</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Analysis of caged layer manure revealed a total of 41 grams of amino acids per kilogram of DM and 59 grams of non-protein nitrogen per kilogram of DM. Researchers have found the total nitrogen content in poultry waste to range from 49 to 60 g/kg in some studies, while others reported more than 40 g/kg of non-protein nitrogen</w:t>
      </w:r>
      <w:r>
        <w:rPr>
          <w:rFonts w:ascii="Times New Roman" w:hAnsi="Times New Roman"/>
          <w:color w:val="000000"/>
          <w:sz w:val="24"/>
          <w:szCs w:val="24"/>
          <w:vertAlign w:val="superscript"/>
        </w:rPr>
        <w:t>12,13</w:t>
      </w:r>
      <w:r>
        <w:rPr>
          <w:rFonts w:ascii="Times New Roman" w:hAnsi="Times New Roman"/>
          <w:color w:val="000000"/>
          <w:sz w:val="24"/>
          <w:szCs w:val="24"/>
        </w:rPr>
        <w:t>. In wood-shaving broiler litter and peanut hull, true protein shows higher glycine content compared to lucerne hay, and slightly lower levels of arginine, lysine, methionine, and cysteine</w:t>
      </w:r>
      <w:r>
        <w:rPr>
          <w:rFonts w:ascii="Times New Roman" w:hAnsi="Times New Roman"/>
          <w:color w:val="000000"/>
          <w:sz w:val="24"/>
          <w:szCs w:val="24"/>
          <w:vertAlign w:val="superscript"/>
        </w:rPr>
        <w:t>14</w:t>
      </w:r>
      <w:r>
        <w:rPr>
          <w:rFonts w:ascii="Times New Roman" w:hAnsi="Times New Roman"/>
          <w:color w:val="000000"/>
          <w:sz w:val="24"/>
          <w:szCs w:val="24"/>
        </w:rPr>
        <w:t xml:space="preserve">. </w:t>
      </w:r>
    </w:p>
    <w:p>
      <w:pPr>
        <w:spacing w:after="120" w:line="480" w:lineRule="auto"/>
        <w:jc w:val="both"/>
        <w:rPr>
          <w:rFonts w:ascii="Times New Roman" w:hAnsi="Times New Roman"/>
          <w:b/>
          <w:color w:val="000000"/>
          <w:sz w:val="24"/>
          <w:szCs w:val="24"/>
        </w:rPr>
      </w:pPr>
      <w:r>
        <w:rPr>
          <w:rFonts w:ascii="Times New Roman" w:hAnsi="Times New Roman"/>
          <w:b/>
          <w:color w:val="000000" w:themeColor="text1"/>
          <w:sz w:val="24"/>
          <w:szCs w:val="24"/>
          <w14:textFill>
            <w14:solidFill>
              <w14:schemeClr w14:val="tx1"/>
            </w14:solidFill>
          </w14:textFill>
        </w:rPr>
        <w:t>2.2.2</w:t>
      </w:r>
      <w:r>
        <w:rPr>
          <w:rFonts w:ascii="Times New Roman" w:hAnsi="Times New Roman"/>
          <w:b/>
          <w:color w:val="000000" w:themeColor="text1"/>
          <w:sz w:val="24"/>
          <w:szCs w:val="24"/>
          <w14:textFill>
            <w14:solidFill>
              <w14:schemeClr w14:val="tx1"/>
            </w14:solidFill>
          </w14:textFill>
        </w:rPr>
        <w:tab/>
      </w:r>
      <w:r>
        <w:rPr>
          <w:rFonts w:ascii="Times New Roman" w:hAnsi="Times New Roman"/>
          <w:b/>
          <w:color w:val="000000" w:themeColor="text1"/>
          <w:sz w:val="24"/>
          <w:szCs w:val="24"/>
          <w14:textFill>
            <w14:solidFill>
              <w14:schemeClr w14:val="tx1"/>
            </w14:solidFill>
          </w14:textFill>
        </w:rPr>
        <w:t>Ash and Minerals</w:t>
      </w:r>
      <w:bookmarkEnd w:id="10"/>
      <w:r>
        <w:rPr>
          <w:rFonts w:ascii="Times New Roman" w:hAnsi="Times New Roman"/>
          <w:b/>
          <w:color w:val="000000" w:themeColor="text1"/>
          <w:sz w:val="24"/>
          <w:szCs w:val="24"/>
          <w14:textFill>
            <w14:solidFill>
              <w14:schemeClr w14:val="tx1"/>
            </w14:solidFill>
          </w14:textFill>
        </w:rPr>
        <w:t xml:space="preserve"> </w:t>
      </w:r>
    </w:p>
    <w:p>
      <w:pPr>
        <w:spacing w:after="120" w:line="480" w:lineRule="auto"/>
        <w:jc w:val="both"/>
        <w:rPr>
          <w:rFonts w:ascii="Times New Roman" w:hAnsi="Times New Roman"/>
          <w:color w:val="000000"/>
          <w:sz w:val="24"/>
          <w:szCs w:val="24"/>
        </w:rPr>
      </w:pPr>
      <w:bookmarkStart w:id="11" w:name="_Toc132200928"/>
      <w:r>
        <w:rPr>
          <w:rFonts w:ascii="Times New Roman" w:hAnsi="Times New Roman"/>
          <w:color w:val="000000"/>
          <w:sz w:val="24"/>
          <w:szCs w:val="24"/>
        </w:rPr>
        <w:t>Broiler litter is acknowledged not just as protein supplement source, but also as a mineral resource for beef cattle</w:t>
      </w:r>
      <w:r>
        <w:rPr>
          <w:rFonts w:ascii="Times New Roman" w:hAnsi="Times New Roman"/>
          <w:color w:val="000000"/>
          <w:sz w:val="24"/>
          <w:szCs w:val="24"/>
          <w:vertAlign w:val="superscript"/>
        </w:rPr>
        <w:t>15</w:t>
      </w:r>
      <w:r>
        <w:rPr>
          <w:rFonts w:ascii="Times New Roman" w:hAnsi="Times New Roman"/>
          <w:color w:val="000000"/>
          <w:sz w:val="24"/>
          <w:szCs w:val="24"/>
        </w:rPr>
        <w:t>. Due to differences in the feed provided to layer and broiler birds, the amount of ash in their waste differs. Specifically, layer manure contains approximately twice as much total ash as broiler litter. Dehydrated cage layer waste has been found to contain 280 g of ash per kilogram of DM, while broiler litter showed ash concentrations of about 150 g/kg DM. Another study found average ash concentrations of 350 g/kg DM in layer manure and 137 g/kg in dried broiler litter. In a separate investigation, dried poultry waste was found to contain 600 g/kg of ash, with the high concentration attributed to charring during the drying process.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majority of the ash in layer manure is composed of 88 g/kg DM of calcium and 25 g/kg DM of phosphorus. In samples of South African layer manure, 23 g of phosphorus and 88 g of calcium per kilogram of DM were detected. In addition, dehydrated cage layer waste had 6.7 g of magnesium, 9.4 g of sodium, 23.3 g of potassium, 150 mg of copper, 406 mg of manganese, and 463 mg of zinc per kilogram of DM.</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As for broiler litter, it contains 4.4 grams of magnesium, 5.4 grams of sodium, 17.8 grams of potassium, 451 mg of iron, 98 mg of copper, 225 mg of manganese, and 235 mg of zinc per kilogram of body weight. Some authors reported that 37 g of broiler litter contained 37 g of calcium, 6.3 g of magnesium, 37 g of potassium, 6.6 g of sodium, 1023 g of iron, 593 g of copper, 271 g of manganese, and 496 g of zinc per kilogram of body weight</w:t>
      </w:r>
      <w:r>
        <w:rPr>
          <w:rFonts w:ascii="Times New Roman" w:hAnsi="Times New Roman"/>
          <w:color w:val="000000"/>
          <w:sz w:val="24"/>
          <w:szCs w:val="24"/>
          <w:vertAlign w:val="superscript"/>
        </w:rPr>
        <w:t>20, 21</w:t>
      </w:r>
      <w:r>
        <w:rPr>
          <w:rFonts w:ascii="Times New Roman" w:hAnsi="Times New Roman"/>
          <w:color w:val="000000"/>
          <w:sz w:val="24"/>
          <w:szCs w:val="24"/>
        </w:rPr>
        <w:t>.</w:t>
      </w: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color w:val="000000"/>
          <w:sz w:val="24"/>
          <w:szCs w:val="24"/>
        </w:rPr>
      </w:pPr>
      <w:r>
        <w:rPr>
          <w:rFonts w:ascii="Times New Roman" w:hAnsi="Times New Roman"/>
          <w:b/>
          <w:sz w:val="24"/>
          <w:szCs w:val="24"/>
        </w:rPr>
        <w:t>2.2.3</w:t>
      </w:r>
      <w:r>
        <w:rPr>
          <w:rFonts w:ascii="Times New Roman" w:hAnsi="Times New Roman"/>
          <w:b/>
          <w:sz w:val="24"/>
          <w:szCs w:val="24"/>
        </w:rPr>
        <w:tab/>
      </w:r>
      <w:r>
        <w:rPr>
          <w:rFonts w:ascii="Times New Roman" w:hAnsi="Times New Roman"/>
          <w:b/>
          <w:sz w:val="24"/>
          <w:szCs w:val="24"/>
        </w:rPr>
        <w:t>Available Energy</w:t>
      </w:r>
      <w:bookmarkEnd w:id="11"/>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bookmarkStart w:id="12" w:name="_Toc132200929"/>
      <w:r>
        <w:rPr>
          <w:rFonts w:ascii="Times New Roman" w:hAnsi="Times New Roman"/>
          <w:color w:val="000000"/>
          <w:sz w:val="24"/>
          <w:szCs w:val="24"/>
        </w:rPr>
        <w:t xml:space="preserve">For sheep, broiler litter had a digestible energy value of 10.21 MJ/kg DM, dehydrated layer waste had a digestible energy value of 8.00 MJ/kg DM while Lucerne hay showed a digestible energy value of 10.37 MJ/kg DM (22). When considering cattle, layer manure had a digestible energy value of 7.85 MJ/kg DM, and the digestible nutrient (TDN) value for sheep was 573 glkg (22). For broiler litter, the metabolizable energy value remained constant at 9.13 MJ/kg when peanut hulls were used as bedding (23). Nevertheless, when citrus pulp was utilized as the bedding material, both digestible as well as metabolizable energy values increased. </w:t>
      </w:r>
    </w:p>
    <w:p>
      <w:pPr>
        <w:spacing w:after="120" w:line="480" w:lineRule="auto"/>
        <w:jc w:val="both"/>
        <w:rPr>
          <w:rFonts w:ascii="Times New Roman" w:hAnsi="Times New Roman"/>
          <w:b/>
          <w:color w:val="000000"/>
          <w:sz w:val="24"/>
          <w:szCs w:val="24"/>
        </w:rPr>
      </w:pPr>
      <w:r>
        <w:rPr>
          <w:rFonts w:ascii="Times New Roman" w:hAnsi="Times New Roman"/>
          <w:b/>
          <w:sz w:val="24"/>
          <w:szCs w:val="24"/>
        </w:rPr>
        <w:t>2.2.4</w:t>
      </w:r>
      <w:r>
        <w:rPr>
          <w:rFonts w:ascii="Times New Roman" w:hAnsi="Times New Roman"/>
          <w:b/>
          <w:sz w:val="24"/>
          <w:szCs w:val="24"/>
        </w:rPr>
        <w:tab/>
      </w:r>
      <w:r>
        <w:rPr>
          <w:rFonts w:ascii="Times New Roman" w:hAnsi="Times New Roman"/>
          <w:b/>
          <w:sz w:val="24"/>
          <w:szCs w:val="24"/>
        </w:rPr>
        <w:t>Fat and Fib</w:t>
      </w:r>
      <w:bookmarkEnd w:id="12"/>
      <w:r>
        <w:rPr>
          <w:rFonts w:ascii="Times New Roman" w:hAnsi="Times New Roman"/>
          <w:b/>
          <w:sz w:val="24"/>
          <w:szCs w:val="24"/>
        </w:rPr>
        <w:t xml:space="preserve">re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Dried layer waste was found to have low fat concentrations (20 g/kg) as well as relatively high crude fiber concentrations (127 g/kg)</w:t>
      </w:r>
      <w:r>
        <w:rPr>
          <w:rFonts w:ascii="Times New Roman" w:hAnsi="Times New Roman"/>
          <w:color w:val="000000"/>
          <w:sz w:val="24"/>
          <w:szCs w:val="24"/>
          <w:vertAlign w:val="superscript"/>
        </w:rPr>
        <w:t>24</w:t>
      </w:r>
      <w:r>
        <w:rPr>
          <w:rFonts w:ascii="Times New Roman" w:hAnsi="Times New Roman"/>
          <w:color w:val="000000"/>
          <w:sz w:val="24"/>
          <w:szCs w:val="24"/>
        </w:rPr>
        <w:t>. Similarly,</w:t>
      </w:r>
      <w:r>
        <w:rPr>
          <w:rFonts w:ascii="Times New Roman" w:hAnsi="Times New Roman"/>
          <w:color w:val="000000"/>
          <w:sz w:val="24"/>
          <w:szCs w:val="24"/>
          <w:vertAlign w:val="superscript"/>
        </w:rPr>
        <w:t xml:space="preserve"> </w:t>
      </w:r>
      <w:r>
        <w:rPr>
          <w:rFonts w:ascii="Times New Roman" w:hAnsi="Times New Roman"/>
          <w:color w:val="000000"/>
          <w:sz w:val="24"/>
          <w:szCs w:val="24"/>
        </w:rPr>
        <w:t>some researchers reported that broiler litter contained 168 g crude fiber per kg DM and 33 g fat</w:t>
      </w:r>
      <w:r>
        <w:rPr>
          <w:rFonts w:ascii="Times New Roman" w:hAnsi="Times New Roman"/>
          <w:color w:val="000000"/>
          <w:sz w:val="24"/>
          <w:szCs w:val="24"/>
          <w:vertAlign w:val="superscript"/>
        </w:rPr>
        <w:t>25</w:t>
      </w:r>
      <w:r>
        <w:rPr>
          <w:rFonts w:ascii="Times New Roman" w:hAnsi="Times New Roman"/>
          <w:color w:val="000000"/>
          <w:sz w:val="24"/>
          <w:szCs w:val="24"/>
        </w:rPr>
        <w:t>.</w:t>
      </w:r>
      <w:bookmarkStart w:id="13" w:name="_Toc132200930"/>
    </w:p>
    <w:p>
      <w:pPr>
        <w:spacing w:after="120" w:line="480" w:lineRule="auto"/>
        <w:jc w:val="both"/>
        <w:rPr>
          <w:rFonts w:ascii="Times New Roman" w:hAnsi="Times New Roman"/>
          <w:b/>
          <w:color w:val="000000"/>
          <w:sz w:val="24"/>
          <w:szCs w:val="24"/>
        </w:rPr>
      </w:pPr>
      <w:r>
        <w:rPr>
          <w:rFonts w:ascii="Times New Roman" w:hAnsi="Times New Roman"/>
          <w:b/>
          <w:sz w:val="24"/>
          <w:szCs w:val="24"/>
        </w:rPr>
        <w:t>2.3</w:t>
      </w:r>
      <w:r>
        <w:rPr>
          <w:rFonts w:ascii="Times New Roman" w:hAnsi="Times New Roman"/>
          <w:b/>
          <w:sz w:val="24"/>
          <w:szCs w:val="24"/>
        </w:rPr>
        <w:tab/>
      </w:r>
      <w:r>
        <w:rPr>
          <w:rFonts w:ascii="Times New Roman" w:hAnsi="Times New Roman"/>
          <w:b/>
          <w:sz w:val="24"/>
          <w:szCs w:val="24"/>
        </w:rPr>
        <w:t>Factors Influencing Variations in Chemical Composition of Livestock Litters</w:t>
      </w:r>
      <w:bookmarkEnd w:id="13"/>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Livestock waste is a variable product whose composition and feed value are not constant. The product's compositional variation makes ration formulation more difficult. Therefore, before the product can be utilized in the formulation of animal rations, it ought to be analyzed to determine its chemical composition, particularly the ash and crude protein concentrations</w:t>
      </w:r>
      <w:r>
        <w:rPr>
          <w:rFonts w:ascii="Times New Roman" w:hAnsi="Times New Roman"/>
          <w:color w:val="000000"/>
          <w:sz w:val="24"/>
          <w:szCs w:val="24"/>
          <w:vertAlign w:val="superscript"/>
        </w:rPr>
        <w:t>26</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storage duration, the strain and age of the birds, as well as the diets they are fed, will all have an impact on the composition of the broiler litter in different ways. Additionally, different bedding sources will have different effects on the composition of broiler litter, which may contain straw, soybean hulls, peanut hulls, rice hulls, wood shavings, and maize cobs. Sunflower husks and mature veld hay are two additional options for bedding. The final product's composition is influenced by the amount of bedding material used, the number of birds per square foot, and the length of time they spend in their homes. After each broiler batch, it is common practice in South Africa to clean the houses of litter. The composition of the litter will be influenced by the processing method</w:t>
      </w:r>
      <w:r>
        <w:rPr>
          <w:rFonts w:ascii="Times New Roman" w:hAnsi="Times New Roman"/>
          <w:color w:val="000000"/>
          <w:sz w:val="24"/>
          <w:szCs w:val="24"/>
          <w:vertAlign w:val="superscript"/>
        </w:rPr>
        <w:t>27</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Concentrations of crude protein ranged from 100-300 g/kg, while ash concentrations ranged from 150-580 g/kg, moisture concentrations ranged from 80 to 240 g/kg, phosphorus concentrations ranged from 9-20 g/kg, and potassium concentrations ranged from 6-20 g/kg DM. The moisture content of fresh droppings of caged layers can have as much as 700 g of moisture per kilogram of DM, whereas cured and well-dried manure will have less than 100 g of moisture per kilogram of DM</w:t>
      </w:r>
      <w:r>
        <w:rPr>
          <w:rFonts w:ascii="Times New Roman" w:hAnsi="Times New Roman"/>
          <w:color w:val="000000"/>
          <w:sz w:val="24"/>
          <w:szCs w:val="24"/>
          <w:vertAlign w:val="superscript"/>
        </w:rPr>
        <w:t>28</w:t>
      </w:r>
      <w:r>
        <w:rPr>
          <w:rFonts w:ascii="Times New Roman" w:hAnsi="Times New Roman"/>
          <w:color w:val="000000"/>
          <w:sz w:val="24"/>
          <w:szCs w:val="24"/>
        </w:rPr>
        <w:t>. Broiler litter contains 60 to 240 g/kg of moisture</w:t>
      </w:r>
      <w:r>
        <w:rPr>
          <w:rFonts w:ascii="Times New Roman" w:hAnsi="Times New Roman"/>
          <w:color w:val="000000"/>
          <w:sz w:val="24"/>
          <w:szCs w:val="24"/>
          <w:vertAlign w:val="superscript"/>
        </w:rPr>
        <w:t>28</w:t>
      </w:r>
      <w:r>
        <w:rPr>
          <w:rFonts w:ascii="Times New Roman" w:hAnsi="Times New Roman"/>
          <w:color w:val="000000"/>
          <w:sz w:val="24"/>
          <w:szCs w:val="24"/>
        </w:rPr>
        <w:t>. The climate, the state of the storage, ventilation in houses, the diet of birds, processing as well as drying process are all factors that influence the moisture content. A product with high moisture content not only has trouble transporting and storing it, but it also provides an ideal environment for pathogen growth.</w:t>
      </w: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2.4</w:t>
      </w:r>
      <w:r>
        <w:rPr>
          <w:rFonts w:ascii="Times New Roman" w:hAnsi="Times New Roman"/>
          <w:b/>
          <w:color w:val="000000"/>
          <w:sz w:val="24"/>
          <w:szCs w:val="24"/>
        </w:rPr>
        <w:tab/>
      </w:r>
      <w:r>
        <w:rPr>
          <w:rFonts w:ascii="Times New Roman" w:hAnsi="Times New Roman"/>
          <w:b/>
          <w:color w:val="000000"/>
          <w:sz w:val="24"/>
          <w:szCs w:val="24"/>
        </w:rPr>
        <w:t>Effect of Improperly Disposed Excreta on the Physicochemical Properties and Microbial Properties of Soil</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One of the factors that contributes to the acidification of the soil is improper disposal of livestock litters that has taken place over time. The acidity of soils that develop under conditions of high annual precipitation is higher than that of soils that develop under more arid conditions. When hydrogen ions replace basic elements held by soil colloids like calcium, magnesium, sodium, and potassium, the soils become acidic. A low pH inhibits soil bacteria's growth in favor of more durable fungi</w:t>
      </w:r>
      <w:r>
        <w:rPr>
          <w:rFonts w:ascii="Times New Roman" w:hAnsi="Times New Roman"/>
          <w:color w:val="000000"/>
          <w:sz w:val="24"/>
          <w:szCs w:val="24"/>
          <w:vertAlign w:val="superscript"/>
        </w:rPr>
        <w:t>29</w:t>
      </w:r>
      <w:r>
        <w:rPr>
          <w:rFonts w:ascii="Times New Roman" w:hAnsi="Times New Roman"/>
          <w:color w:val="000000"/>
          <w:sz w:val="24"/>
          <w:szCs w:val="24"/>
        </w:rPr>
        <w:t>. On the other hand, liming, which usually raises the pH of the soil, usually makes it easier for other microbes in the soil to grow and work</w:t>
      </w:r>
      <w:r>
        <w:rPr>
          <w:rFonts w:ascii="Times New Roman" w:hAnsi="Times New Roman"/>
          <w:color w:val="000000"/>
          <w:sz w:val="24"/>
          <w:szCs w:val="24"/>
          <w:vertAlign w:val="superscript"/>
        </w:rPr>
        <w:t>29</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Excreta (manure), bedding or litter (such as wood shavings or straw), waste feed, dead birds, broken eggs, and feathers from poultry houses are all examples of waste from the poultry industry. Water-flushing systems, conveyer belt waste, and cage waste are among the other types of waste. The bedding material utilized throughout the poultry production cycle is referred to as “poultry litter”</w:t>
      </w:r>
      <w:r>
        <w:rPr>
          <w:rFonts w:ascii="Times New Roman" w:hAnsi="Times New Roman"/>
          <w:color w:val="000000"/>
          <w:sz w:val="24"/>
          <w:szCs w:val="24"/>
          <w:vertAlign w:val="superscript"/>
        </w:rPr>
        <w:t>30</w:t>
      </w:r>
      <w:r>
        <w:rPr>
          <w:rFonts w:ascii="Times New Roman" w:hAnsi="Times New Roman"/>
          <w:color w:val="000000"/>
          <w:sz w:val="24"/>
          <w:szCs w:val="24"/>
        </w:rPr>
        <w:t>. Shaved paper, peanut or rice hulls, straw, sawdust, and wood shavings are some of the materials used as litter. At the conclusion of the production cycle, both the accumulated manure and litter are removed together</w:t>
      </w:r>
      <w:r>
        <w:rPr>
          <w:rFonts w:ascii="Times New Roman" w:hAnsi="Times New Roman"/>
          <w:color w:val="000000"/>
          <w:sz w:val="24"/>
          <w:szCs w:val="24"/>
          <w:vertAlign w:val="superscript"/>
        </w:rPr>
        <w:t>30</w:t>
      </w:r>
      <w:r>
        <w:rPr>
          <w:rFonts w:ascii="Times New Roman" w:hAnsi="Times New Roman"/>
          <w:color w:val="000000"/>
          <w:sz w:val="24"/>
          <w:szCs w:val="24"/>
        </w:rPr>
        <w:t>. This waste's litter and manure component is used as an organic fertilizer and has a high nutritional value, recycling nutrients like nitrogen, phosphorus, and potassium. Traditionally, these components of poultry litter have been applied to the soil as an amendment. However, applying too much of this material can increase the amount of nutrients in the water, which can result in eutrophication of water bodies, the spread of pathogens, the production of phytotoxic substances, air pollution, and the release of greenhouse gases</w:t>
      </w:r>
      <w:r>
        <w:rPr>
          <w:rFonts w:ascii="Times New Roman" w:hAnsi="Times New Roman"/>
          <w:color w:val="000000"/>
          <w:sz w:val="24"/>
          <w:szCs w:val="24"/>
          <w:vertAlign w:val="superscript"/>
        </w:rPr>
        <w:t>31</w:t>
      </w:r>
      <w:r>
        <w:rPr>
          <w:rFonts w:ascii="Times New Roman" w:hAnsi="Times New Roman"/>
          <w:color w:val="000000"/>
          <w:sz w:val="24"/>
          <w:szCs w:val="24"/>
        </w:rPr>
        <w:t>. According to the US Environmental Protection Agency (EPA), eutrophication has been proposed as the primary factor that contributes to the depletion of surface water resources. Excessive poultry litter application in cropping systems can result in the formation of nitrate (N), phosphorous (P), chlorine (Cl), calcium (Ca), magnesium (Mg), sodium (Na), manganese (Mn), iron (Fe), copper (Cu), zinc (Zn), and arsenic (As).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Microbial activity, as well as changes in temperature, pH, moisture, and oxygen concentration, constantly alter nitrogen's various forms. Due to the high concentrations of protein and amino acids, poultry manure contains significant concentrations of organic nitrogen, 60–80% of the nitrogen in fresh manure, and is usually in the form of organic compounds like urea and protein. Within a year, 40–90 percent of this organic nitrogen is transformed into ammonia, depending on the conditions of the environment</w:t>
      </w:r>
      <w:r>
        <w:rPr>
          <w:rFonts w:ascii="Times New Roman" w:hAnsi="Times New Roman"/>
          <w:color w:val="000000"/>
          <w:sz w:val="24"/>
          <w:szCs w:val="24"/>
          <w:vertAlign w:val="superscript"/>
        </w:rPr>
        <w:t>32</w:t>
      </w:r>
      <w:r>
        <w:rPr>
          <w:rFonts w:ascii="Times New Roman" w:hAnsi="Times New Roman"/>
          <w:color w:val="000000"/>
          <w:sz w:val="24"/>
          <w:szCs w:val="24"/>
        </w:rPr>
        <w:t>. Ammonia can be found as a gas (NH</w:t>
      </w:r>
      <w:r>
        <w:rPr>
          <w:rFonts w:ascii="Times New Roman" w:hAnsi="Times New Roman"/>
          <w:color w:val="000000"/>
          <w:sz w:val="24"/>
          <w:szCs w:val="24"/>
          <w:vertAlign w:val="subscript"/>
        </w:rPr>
        <w:t>3</w:t>
      </w:r>
      <w:r>
        <w:rPr>
          <w:rFonts w:ascii="Times New Roman" w:hAnsi="Times New Roman"/>
          <w:color w:val="000000"/>
          <w:sz w:val="24"/>
          <w:szCs w:val="24"/>
        </w:rPr>
        <w:t>) or as an ionized form (NH</w:t>
      </w:r>
      <w:r>
        <w:rPr>
          <w:rFonts w:ascii="Times New Roman" w:hAnsi="Times New Roman"/>
          <w:color w:val="000000"/>
          <w:sz w:val="24"/>
          <w:szCs w:val="24"/>
          <w:vertAlign w:val="subscript"/>
        </w:rPr>
        <w:t>4</w:t>
      </w:r>
      <w:r>
        <w:rPr>
          <w:rFonts w:ascii="Times New Roman" w:hAnsi="Times New Roman"/>
          <w:color w:val="000000"/>
          <w:sz w:val="24"/>
          <w:szCs w:val="24"/>
        </w:rPr>
        <w:t>) that is water-soluble. While NH</w:t>
      </w:r>
      <w:r>
        <w:rPr>
          <w:rFonts w:ascii="Times New Roman" w:hAnsi="Times New Roman"/>
          <w:color w:val="000000"/>
          <w:sz w:val="24"/>
          <w:szCs w:val="24"/>
          <w:vertAlign w:val="subscript"/>
        </w:rPr>
        <w:t>4</w:t>
      </w:r>
      <w:r>
        <w:rPr>
          <w:rFonts w:ascii="Times New Roman" w:hAnsi="Times New Roman"/>
          <w:color w:val="000000"/>
          <w:sz w:val="24"/>
          <w:szCs w:val="24"/>
        </w:rPr>
        <w:t xml:space="preserve"> gas can </w:t>
      </w:r>
    </w:p>
    <w:p>
      <w:pPr>
        <w:spacing w:after="240" w:line="240" w:lineRule="auto"/>
        <w:jc w:val="both"/>
        <w:rPr>
          <w:rFonts w:ascii="Times New Roman" w:hAnsi="Times New Roman"/>
          <w:sz w:val="24"/>
          <w:szCs w:val="24"/>
        </w:rPr>
      </w:pPr>
      <w:r>
        <w:rPr>
          <w:rFonts w:ascii="Times New Roman" w:hAnsi="Times New Roman"/>
          <w:sz w:val="24"/>
          <w:szCs w:val="24"/>
        </w:rPr>
        <w:drawing>
          <wp:inline distT="0" distB="0" distL="0" distR="0">
            <wp:extent cx="5943600" cy="6663055"/>
            <wp:effectExtent l="0" t="0" r="0" b="4445"/>
            <wp:docPr id="5" name="Picture 5" descr="https://www.biocycle.net/wp-content/uploads/2017/0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https://www.biocycle.net/wp-content/uploads/2017/09/5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943600" cy="6663428"/>
                    </a:xfrm>
                    <a:prstGeom prst="rect">
                      <a:avLst/>
                    </a:prstGeom>
                    <a:noFill/>
                    <a:ln>
                      <a:noFill/>
                    </a:ln>
                  </pic:spPr>
                </pic:pic>
              </a:graphicData>
            </a:graphic>
          </wp:inline>
        </w:drawing>
      </w:r>
    </w:p>
    <w:p>
      <w:pPr>
        <w:spacing w:after="240" w:line="240" w:lineRule="auto"/>
        <w:jc w:val="both"/>
        <w:rPr>
          <w:rFonts w:ascii="Times New Roman" w:hAnsi="Times New Roman"/>
          <w:b/>
          <w:bCs/>
          <w:sz w:val="24"/>
          <w:szCs w:val="24"/>
        </w:rPr>
      </w:pPr>
      <w:r>
        <w:rPr>
          <w:rFonts w:ascii="Times New Roman" w:hAnsi="Times New Roman"/>
          <w:b/>
          <w:bCs/>
          <w:sz w:val="24"/>
          <w:szCs w:val="24"/>
        </w:rPr>
        <w:t>Figure 2.1: Picture showing a poultry litter dumping site</w:t>
      </w:r>
    </w:p>
    <w:p>
      <w:pPr>
        <w:spacing w:after="240" w:line="240" w:lineRule="auto"/>
        <w:jc w:val="both"/>
        <w:rPr>
          <w:rFonts w:ascii="Times New Roman" w:hAnsi="Times New Roman"/>
          <w:sz w:val="24"/>
          <w:szCs w:val="24"/>
          <w:vertAlign w:val="superscript"/>
        </w:rPr>
      </w:pPr>
      <w:r>
        <w:rPr>
          <w:rFonts w:ascii="Times New Roman" w:hAnsi="Times New Roman"/>
          <w:b/>
          <w:bCs/>
          <w:sz w:val="24"/>
          <w:szCs w:val="24"/>
        </w:rPr>
        <w:t>Source</w:t>
      </w:r>
      <w:r>
        <w:rPr>
          <w:rFonts w:ascii="Times New Roman" w:hAnsi="Times New Roman"/>
          <w:sz w:val="24"/>
          <w:szCs w:val="24"/>
        </w:rPr>
        <w:t xml:space="preserve">: </w:t>
      </w:r>
      <w:r>
        <w:rPr>
          <w:rFonts w:ascii="Times New Roman" w:hAnsi="Times New Roman"/>
          <w:sz w:val="24"/>
          <w:szCs w:val="24"/>
          <w:vertAlign w:val="superscript"/>
        </w:rPr>
        <w:t>160</w:t>
      </w:r>
    </w:p>
    <w:p>
      <w:pPr>
        <w:spacing w:after="240" w:line="240" w:lineRule="auto"/>
        <w:jc w:val="both"/>
        <w:rPr>
          <w:rFonts w:ascii="Times New Roman" w:hAnsi="Times New Roman"/>
          <w:sz w:val="24"/>
          <w:szCs w:val="24"/>
        </w:rPr>
      </w:pPr>
    </w:p>
    <w:p>
      <w:pPr>
        <w:spacing w:after="240" w:line="240" w:lineRule="auto"/>
        <w:jc w:val="both"/>
        <w:rPr>
          <w:rFonts w:ascii="Times New Roman" w:hAnsi="Times New Roman"/>
          <w:sz w:val="24"/>
          <w:szCs w:val="24"/>
        </w:rPr>
      </w:pPr>
    </w:p>
    <w:p>
      <w:pPr>
        <w:spacing w:after="240" w:line="240" w:lineRule="auto"/>
        <w:jc w:val="both"/>
        <w:rPr>
          <w:rFonts w:ascii="Times New Roman" w:hAnsi="Times New Roman"/>
          <w:sz w:val="24"/>
          <w:szCs w:val="24"/>
        </w:rPr>
      </w:pPr>
      <w:r>
        <w:rPr>
          <w:rFonts w:ascii="Times New Roman" w:hAnsi="Times New Roman"/>
          <w:sz w:val="24"/>
          <w:szCs w:val="24"/>
        </w:rPr>
        <w:drawing>
          <wp:inline distT="0" distB="0" distL="0" distR="0">
            <wp:extent cx="5827395" cy="7061200"/>
            <wp:effectExtent l="0" t="0" r="1905" b="6350"/>
            <wp:docPr id="81" name="Picture 81" descr="Wheelbarrow and dunghill wheelbarrow near a dunghill. Fertilizer for the garden. heap of cow dung stock pictures, royalty-free photos &amp;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descr="Wheelbarrow and dunghill wheelbarrow near a dunghill. Fertilizer for the garden. heap of cow dung stock pictures, royalty-free photos &amp; image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833110" cy="7068097"/>
                    </a:xfrm>
                    <a:prstGeom prst="rect">
                      <a:avLst/>
                    </a:prstGeom>
                    <a:noFill/>
                    <a:ln>
                      <a:noFill/>
                    </a:ln>
                  </pic:spPr>
                </pic:pic>
              </a:graphicData>
            </a:graphic>
          </wp:inline>
        </w:drawing>
      </w:r>
    </w:p>
    <w:p>
      <w:pPr>
        <w:spacing w:after="240" w:line="240" w:lineRule="auto"/>
        <w:jc w:val="both"/>
        <w:rPr>
          <w:rFonts w:ascii="Times New Roman" w:hAnsi="Times New Roman"/>
          <w:b/>
          <w:bCs/>
          <w:sz w:val="24"/>
          <w:szCs w:val="24"/>
        </w:rPr>
      </w:pPr>
      <w:r>
        <w:rPr>
          <w:rFonts w:ascii="Times New Roman" w:hAnsi="Times New Roman"/>
          <w:b/>
          <w:bCs/>
          <w:sz w:val="24"/>
          <w:szCs w:val="24"/>
        </w:rPr>
        <w:t>Figure 2.2: Picture showing a cattle dung dumping site</w:t>
      </w:r>
    </w:p>
    <w:p>
      <w:pPr>
        <w:spacing w:after="240" w:line="240" w:lineRule="auto"/>
        <w:jc w:val="both"/>
        <w:rPr>
          <w:rFonts w:ascii="Times New Roman" w:hAnsi="Times New Roman"/>
          <w:sz w:val="24"/>
          <w:szCs w:val="24"/>
        </w:rPr>
      </w:pPr>
      <w:r>
        <w:rPr>
          <w:rFonts w:ascii="Times New Roman" w:hAnsi="Times New Roman"/>
          <w:b/>
          <w:bCs/>
          <w:sz w:val="24"/>
          <w:szCs w:val="24"/>
        </w:rPr>
        <w:t>Source</w:t>
      </w:r>
      <w:r>
        <w:rPr>
          <w:rFonts w:ascii="Times New Roman" w:hAnsi="Times New Roman"/>
          <w:sz w:val="24"/>
          <w:szCs w:val="24"/>
        </w:rPr>
        <w:t xml:space="preserve">: </w:t>
      </w:r>
      <w:r>
        <w:fldChar w:fldCharType="begin"/>
      </w:r>
      <w:r>
        <w:instrText xml:space="preserve"> HYPERLINK "https://www.istockphoto.com/photo/wheelbarrow-and-dunghill-gm1402266588-455222917" </w:instrText>
      </w:r>
      <w:r>
        <w:fldChar w:fldCharType="separate"/>
      </w:r>
      <w:r>
        <w:rPr>
          <w:rStyle w:val="13"/>
          <w:rFonts w:ascii="Times New Roman" w:hAnsi="Times New Roman"/>
          <w:color w:val="auto"/>
          <w:sz w:val="24"/>
          <w:szCs w:val="24"/>
          <w:u w:val="none"/>
        </w:rPr>
        <w:t>https://www.istockphoto.com/photo/wheelbarrow-and-dunghill-gm1402266588-455222917</w:t>
      </w:r>
      <w:r>
        <w:rPr>
          <w:rStyle w:val="13"/>
          <w:rFonts w:ascii="Times New Roman" w:hAnsi="Times New Roman"/>
          <w:color w:val="auto"/>
          <w:sz w:val="24"/>
          <w:szCs w:val="24"/>
          <w:u w:val="none"/>
        </w:rPr>
        <w:fldChar w:fldCharType="end"/>
      </w:r>
    </w:p>
    <w:p>
      <w:pPr>
        <w:spacing w:after="240" w:line="240" w:lineRule="auto"/>
        <w:jc w:val="both"/>
        <w:rPr>
          <w:rFonts w:ascii="Times New Roman" w:hAnsi="Times New Roman"/>
          <w:sz w:val="24"/>
          <w:szCs w:val="24"/>
        </w:rPr>
      </w:pPr>
    </w:p>
    <w:p>
      <w:pPr>
        <w:spacing w:after="240" w:line="240" w:lineRule="auto"/>
        <w:jc w:val="both"/>
        <w:rPr>
          <w:rFonts w:ascii="Times New Roman" w:hAnsi="Times New Roman"/>
          <w:sz w:val="24"/>
          <w:szCs w:val="24"/>
        </w:rPr>
      </w:pP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drawing>
          <wp:inline distT="0" distB="0" distL="0" distR="0">
            <wp:extent cx="5717540" cy="6797040"/>
            <wp:effectExtent l="0" t="0" r="0" b="3810"/>
            <wp:docPr id="84" name="Picture 84" descr="C:\Users\TAOFEEQ\Desktop\Screenshot_20230816-162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Users\TAOFEEQ\Desktop\Screenshot_20230816-162337.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731510" cy="6813760"/>
                    </a:xfrm>
                    <a:prstGeom prst="rect">
                      <a:avLst/>
                    </a:prstGeom>
                    <a:noFill/>
                    <a:ln>
                      <a:noFill/>
                    </a:ln>
                  </pic:spPr>
                </pic:pic>
              </a:graphicData>
            </a:graphic>
          </wp:inline>
        </w:drawing>
      </w:r>
    </w:p>
    <w:p>
      <w:pPr>
        <w:spacing w:after="240" w:line="240" w:lineRule="auto"/>
        <w:jc w:val="both"/>
        <w:rPr>
          <w:rFonts w:ascii="Times New Roman" w:hAnsi="Times New Roman"/>
          <w:b/>
          <w:bCs/>
          <w:sz w:val="24"/>
          <w:szCs w:val="24"/>
        </w:rPr>
      </w:pPr>
      <w:r>
        <w:rPr>
          <w:rFonts w:ascii="Times New Roman" w:hAnsi="Times New Roman"/>
          <w:b/>
          <w:bCs/>
          <w:sz w:val="24"/>
          <w:szCs w:val="24"/>
        </w:rPr>
        <w:t>Figure 2.3: Picture showing a pig dung litter dumping site</w:t>
      </w:r>
    </w:p>
    <w:p>
      <w:pPr>
        <w:spacing w:after="240" w:line="240" w:lineRule="auto"/>
        <w:jc w:val="both"/>
        <w:rPr>
          <w:rFonts w:ascii="Times New Roman" w:hAnsi="Times New Roman"/>
          <w:sz w:val="24"/>
          <w:szCs w:val="24"/>
        </w:rPr>
      </w:pPr>
      <w:r>
        <w:rPr>
          <w:rFonts w:ascii="Times New Roman" w:hAnsi="Times New Roman"/>
          <w:b/>
          <w:bCs/>
          <w:sz w:val="24"/>
          <w:szCs w:val="24"/>
        </w:rPr>
        <w:t>Source</w:t>
      </w:r>
      <w:r>
        <w:rPr>
          <w:rFonts w:ascii="Times New Roman" w:hAnsi="Times New Roman"/>
          <w:sz w:val="24"/>
          <w:szCs w:val="24"/>
        </w:rPr>
        <w:t>: https://compost-turner.net/composting-technologies/pig-manure-composting-</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technology.html</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be transformed into nitrate by microorganisms (a process known as nitrification), NH</w:t>
      </w:r>
      <w:r>
        <w:rPr>
          <w:rFonts w:ascii="Times New Roman" w:hAnsi="Times New Roman"/>
          <w:color w:val="000000"/>
          <w:sz w:val="24"/>
          <w:szCs w:val="24"/>
          <w:vertAlign w:val="subscript"/>
        </w:rPr>
        <w:t>3</w:t>
      </w:r>
      <w:r>
        <w:rPr>
          <w:rFonts w:ascii="Times New Roman" w:hAnsi="Times New Roman"/>
          <w:color w:val="000000"/>
          <w:sz w:val="24"/>
          <w:szCs w:val="24"/>
        </w:rPr>
        <w:t xml:space="preserve"> gas can be released into the atmosphere. Nitrate is highly mobile in water and can be found in run-off. Endogenous ammonia and nitrogen concentration significantly increases during the anaerobic digestion of poultry manure</w:t>
      </w:r>
      <w:r>
        <w:rPr>
          <w:rFonts w:ascii="Times New Roman" w:hAnsi="Times New Roman"/>
          <w:color w:val="000000"/>
          <w:sz w:val="24"/>
          <w:szCs w:val="24"/>
          <w:vertAlign w:val="superscript"/>
        </w:rPr>
        <w:t>33</w:t>
      </w:r>
      <w:r>
        <w:rPr>
          <w:rFonts w:ascii="Times New Roman" w:hAnsi="Times New Roman"/>
          <w:color w:val="000000"/>
          <w:sz w:val="24"/>
          <w:szCs w:val="24"/>
        </w:rPr>
        <w:t>. While some members of an anaerobic microorganism population can use ammonium ions, an excess of ammonium can prevent organic compounds from being destroyed, volatile fatty acids from being produced, and methanogenesis from occurring</w:t>
      </w:r>
      <w:r>
        <w:rPr>
          <w:rFonts w:ascii="Times New Roman" w:hAnsi="Times New Roman"/>
          <w:color w:val="000000"/>
          <w:sz w:val="24"/>
          <w:szCs w:val="24"/>
          <w:vertAlign w:val="superscript"/>
        </w:rPr>
        <w:t>34</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Additionally, the presence of ammonium ions contributes to the acidic pH and causes issues with handling, storage, and disposal. For any treatment of poultry litter, it is desirable to reduce its ammonia content to a minimum</w:t>
      </w:r>
      <w:r>
        <w:rPr>
          <w:rFonts w:ascii="Times New Roman" w:hAnsi="Times New Roman"/>
          <w:color w:val="000000"/>
          <w:sz w:val="24"/>
          <w:szCs w:val="24"/>
          <w:vertAlign w:val="superscript"/>
        </w:rPr>
        <w:t>35</w:t>
      </w:r>
      <w:bookmarkStart w:id="14" w:name="_Toc132200931"/>
      <w:r>
        <w:rPr>
          <w:rFonts w:ascii="Times New Roman" w:hAnsi="Times New Roman"/>
          <w:color w:val="000000"/>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sz w:val="24"/>
          <w:szCs w:val="24"/>
        </w:rPr>
        <w:t>2.5</w:t>
      </w:r>
      <w:r>
        <w:rPr>
          <w:rFonts w:ascii="Times New Roman" w:hAnsi="Times New Roman"/>
          <w:b/>
          <w:sz w:val="24"/>
          <w:szCs w:val="24"/>
        </w:rPr>
        <w:tab/>
      </w:r>
      <w:r>
        <w:rPr>
          <w:rFonts w:ascii="Times New Roman" w:hAnsi="Times New Roman"/>
          <w:b/>
          <w:sz w:val="24"/>
          <w:szCs w:val="24"/>
        </w:rPr>
        <w:t>Effects on Organic Manure on the Environment</w:t>
      </w:r>
      <w:bookmarkEnd w:id="14"/>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Although applying manure to soils is beneficial in many ways, it can also have unfavorable effects on the surrounding environment. Numerous studies have shown that applying manure increases the transfer of dissolved N and P to run-off water. Runoff containing nutrients from croplands fertilised with manure can add to increased concentrations of phosphorus (P) and nitrogen (N) in nearby lakes and streams, leading to detrimental effects such as harmful eutrophication, algal blooms, and other negative impacts. Applying manure either too frequently or too infrequently at reduced rates may surpass the system's capability to absorb nutrients, resulting in the release of excess nitrogen and phosphorus. Nitrate present in runoff originating from manured fields can lead to hypoxia, causing oxygen deficiency in lakes and rivers</w:t>
      </w:r>
      <w:r>
        <w:rPr>
          <w:rFonts w:ascii="Times New Roman" w:hAnsi="Times New Roman"/>
          <w:color w:val="000000"/>
          <w:sz w:val="24"/>
          <w:szCs w:val="24"/>
          <w:vertAlign w:val="superscript"/>
        </w:rPr>
        <w:t>36</w:t>
      </w:r>
      <w:r>
        <w:rPr>
          <w:rFonts w:ascii="Times New Roman" w:hAnsi="Times New Roman"/>
          <w:color w:val="000000"/>
          <w:sz w:val="24"/>
          <w:szCs w:val="24"/>
        </w:rPr>
        <w:t>. Moreover, ammonium loss from manure-amended soils, into surface waters can prove toxic to aquatic organisms at very high concentrations (&gt; 2.5 mg/L).</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 careful application and timing of manure amendments can reduce, if not eliminate, these effects. First, manure can be incorporated into the soil rather than left on the surface to reduce runoff and leaching. Second, crop phosphorus needs should be met with manure, not nitrogen, to avoid overburdening systems with phosphorus. Manure application may also have an impact on air pollution and climate change</w:t>
      </w:r>
      <w:r>
        <w:rPr>
          <w:rFonts w:ascii="Times New Roman" w:hAnsi="Times New Roman"/>
          <w:color w:val="000000"/>
          <w:sz w:val="24"/>
          <w:szCs w:val="24"/>
          <w:vertAlign w:val="superscript"/>
        </w:rPr>
        <w:t>37</w:t>
      </w:r>
      <w:r>
        <w:rPr>
          <w:rFonts w:ascii="Times New Roman" w:hAnsi="Times New Roman"/>
          <w:color w:val="000000"/>
          <w:sz w:val="24"/>
          <w:szCs w:val="24"/>
        </w:rPr>
        <w:t>. Organically amended soils may increase emissions of the potent greenhouse gas nitrous oxide (N</w:t>
      </w:r>
      <w:r>
        <w:rPr>
          <w:rFonts w:ascii="Times New Roman" w:hAnsi="Times New Roman"/>
          <w:color w:val="000000"/>
          <w:sz w:val="24"/>
          <w:szCs w:val="24"/>
          <w:vertAlign w:val="subscript"/>
        </w:rPr>
        <w:t>2</w:t>
      </w:r>
      <w:r>
        <w:rPr>
          <w:rFonts w:ascii="Times New Roman" w:hAnsi="Times New Roman"/>
          <w:color w:val="000000"/>
          <w:sz w:val="24"/>
          <w:szCs w:val="24"/>
        </w:rPr>
        <w:t>O), which is a major source in arable soils. However, applying nutrients in quantities that are appropriate for the crop's needs can also prevent these negative effects</w:t>
      </w:r>
      <w:r>
        <w:rPr>
          <w:rFonts w:ascii="Times New Roman" w:hAnsi="Times New Roman"/>
          <w:color w:val="000000"/>
          <w:sz w:val="24"/>
          <w:szCs w:val="24"/>
          <w:vertAlign w:val="superscript"/>
        </w:rPr>
        <w:t>38</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When deciding whether or not to use organic amendments, there are a few things to keep in mind. The first thing to think about is that manures vary depending on where they come from. Nutrient content is the primary distinction between manure types. For instance, swine manure possesses the highest carbon-to-nitrogen ratio and the highest proportions of total organic matter, while cattle manure contains the highest proportion of organic phosphorus, and the highest proportion of nitrogen was found in poultry manure. As a result, the effectiveness of each type of manure may vary depending on the soil's current nutrient concentrations and the nutrient requirements of the intended crop.</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decision regarding whether to compost the manure or not before application is another major issue with organic amendments. The process of composting alters the chemical and physical structure of manure which has positive and negative effects. Composting causes the following physical changes: diminished volume, increased bulk density, and decreased dry matter content. Because of their lower mass-to-volume ratios, these changes are generally regarded as advantageous</w:t>
      </w:r>
      <w:r>
        <w:rPr>
          <w:rFonts w:ascii="Times New Roman" w:hAnsi="Times New Roman"/>
          <w:color w:val="000000"/>
          <w:sz w:val="24"/>
          <w:szCs w:val="24"/>
          <w:vertAlign w:val="superscript"/>
        </w:rPr>
        <w:t>39</w:t>
      </w:r>
      <w:r>
        <w:rPr>
          <w:rFonts w:ascii="Times New Roman" w:hAnsi="Times New Roman"/>
          <w:color w:val="000000"/>
          <w:sz w:val="24"/>
          <w:szCs w:val="24"/>
        </w:rPr>
        <w:t>. Additionally, it has been demonstrated that composting manure enhances the effects of disease suppression and helps to get rid of pathogens, parasites, weed seeds, and odors. In addition, crop yields have been increased as effectively by composted cattle manure as by raw manure</w:t>
      </w:r>
      <w:r>
        <w:rPr>
          <w:rFonts w:ascii="Times New Roman" w:hAnsi="Times New Roman"/>
          <w:color w:val="000000"/>
          <w:sz w:val="24"/>
          <w:szCs w:val="24"/>
          <w:vertAlign w:val="superscript"/>
        </w:rPr>
        <w:t>40.</w:t>
      </w:r>
      <w:r>
        <w:rPr>
          <w:rFonts w:ascii="Times New Roman" w:hAnsi="Times New Roman"/>
          <w:color w:val="000000"/>
          <w:sz w:val="24"/>
          <w:szCs w:val="24"/>
        </w:rPr>
        <w:t xml:space="preserve"> However, composting may cause a greater loss of nutrients. Ammonia volatilization, denitrification, and leaching all result in the loss of nitrogen from manure during the composting process. Additionally, a significant amount of the available nitrogen from plants is incapacitated in organic forms. Compost may have higher concentrations of NO</w:t>
      </w:r>
      <w:r>
        <w:rPr>
          <w:rFonts w:ascii="Times New Roman" w:hAnsi="Times New Roman"/>
          <w:color w:val="000000"/>
          <w:sz w:val="24"/>
          <w:szCs w:val="24"/>
          <w:vertAlign w:val="superscript"/>
        </w:rPr>
        <w:t>3-</w:t>
      </w:r>
      <w:r>
        <w:rPr>
          <w:rFonts w:ascii="Times New Roman" w:hAnsi="Times New Roman"/>
          <w:color w:val="000000"/>
          <w:sz w:val="24"/>
          <w:szCs w:val="24"/>
        </w:rPr>
        <w:t xml:space="preserve"> and lower concentrations of NH</w:t>
      </w:r>
      <w:r>
        <w:rPr>
          <w:rFonts w:ascii="Times New Roman" w:hAnsi="Times New Roman"/>
          <w:color w:val="000000"/>
          <w:sz w:val="24"/>
          <w:szCs w:val="24"/>
          <w:vertAlign w:val="subscript"/>
        </w:rPr>
        <w:t>4</w:t>
      </w:r>
      <w:r>
        <w:rPr>
          <w:rFonts w:ascii="Times New Roman" w:hAnsi="Times New Roman"/>
          <w:color w:val="000000"/>
          <w:sz w:val="24"/>
          <w:szCs w:val="24"/>
          <w:vertAlign w:val="superscript"/>
        </w:rPr>
        <w:t>+</w:t>
      </w:r>
      <w:r>
        <w:rPr>
          <w:rFonts w:ascii="Times New Roman" w:hAnsi="Times New Roman"/>
          <w:color w:val="000000"/>
          <w:sz w:val="24"/>
          <w:szCs w:val="24"/>
        </w:rPr>
        <w:t xml:space="preserve"> than fresh manure due to nitrification. However, compost has a lower overall availability of inorganic nitrogen than fresh manure and composting might be beneficial to the environment because organic nutrients are unlikely to leak into groundwater or run off into surface waters</w:t>
      </w:r>
      <w:r>
        <w:rPr>
          <w:rFonts w:ascii="Times New Roman" w:hAnsi="Times New Roman"/>
          <w:color w:val="000000"/>
          <w:sz w:val="24"/>
          <w:szCs w:val="24"/>
          <w:vertAlign w:val="superscript"/>
        </w:rPr>
        <w:t>41</w:t>
      </w:r>
      <w:r>
        <w:rPr>
          <w:rFonts w:ascii="Times New Roman" w:hAnsi="Times New Roman"/>
          <w:color w:val="000000"/>
          <w:sz w:val="24"/>
          <w:szCs w:val="24"/>
        </w:rPr>
        <w:t>.</w:t>
      </w:r>
      <w:bookmarkStart w:id="15" w:name="_Toc132200932"/>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quantity and timing of application of manure applications play a significant role. As mentioned earlier applying manure excessively or too often, even at a low rate, can overwhelm the soil system. In order to prevent nutrient runoff, it is advisable to avoid applying manure to frozen ground and instead apply amendments around known periods when plants absorb nutrients, thus minimizing losses from the farm. Incorporating manure thoroughly into the soil instead of leaving it on the surface can help decrease runoff and leaching, leading to more efficient utilization of manure nutrients by crops</w:t>
      </w:r>
      <w:r>
        <w:rPr>
          <w:rFonts w:ascii="Times New Roman" w:hAnsi="Times New Roman"/>
          <w:color w:val="000000"/>
          <w:sz w:val="24"/>
          <w:szCs w:val="24"/>
          <w:vertAlign w:val="superscript"/>
        </w:rPr>
        <w:t>42</w:t>
      </w:r>
      <w:r>
        <w:rPr>
          <w:rFonts w:ascii="Times New Roman" w:hAnsi="Times New Roman"/>
          <w:color w:val="000000"/>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sz w:val="24"/>
          <w:szCs w:val="24"/>
        </w:rPr>
        <w:t>2.6</w:t>
      </w:r>
      <w:r>
        <w:rPr>
          <w:rFonts w:ascii="Times New Roman" w:hAnsi="Times New Roman"/>
          <w:b/>
          <w:sz w:val="24"/>
          <w:szCs w:val="24"/>
        </w:rPr>
        <w:tab/>
      </w:r>
      <w:r>
        <w:rPr>
          <w:rFonts w:ascii="Times New Roman" w:hAnsi="Times New Roman"/>
          <w:b/>
          <w:sz w:val="24"/>
          <w:szCs w:val="24"/>
        </w:rPr>
        <w:t>Effects of Manure on Soil Communities, Microbes, and Enzymes</w:t>
      </w:r>
      <w:bookmarkEnd w:id="15"/>
    </w:p>
    <w:p>
      <w:pPr>
        <w:spacing w:after="120" w:line="480" w:lineRule="auto"/>
        <w:jc w:val="both"/>
        <w:rPr>
          <w:rFonts w:ascii="Times New Roman" w:hAnsi="Times New Roman"/>
          <w:color w:val="000000"/>
          <w:sz w:val="24"/>
          <w:szCs w:val="24"/>
        </w:rPr>
      </w:pPr>
      <w:bookmarkStart w:id="16" w:name="_Hlk124418196"/>
      <w:r>
        <w:rPr>
          <w:rFonts w:ascii="Times New Roman" w:hAnsi="Times New Roman"/>
          <w:color w:val="000000"/>
          <w:sz w:val="24"/>
          <w:szCs w:val="24"/>
        </w:rPr>
        <w:t>When researchers discuss management's effect on quality of soil, they typically focus first on physical and chemical responses. This is in part due to the difficulty of studying soil organisms, particularly the microscopic bacteria and fungi. Our ability to observe the diversity of underground life has been enhanced by new techniques. Because these serve as the base for the various ways in which soils react to the addition of manure, we begin by making alterations to the living components of the soil</w:t>
      </w:r>
      <w:r>
        <w:rPr>
          <w:rFonts w:ascii="Times New Roman" w:hAnsi="Times New Roman"/>
          <w:color w:val="000000"/>
          <w:sz w:val="24"/>
          <w:szCs w:val="24"/>
          <w:vertAlign w:val="superscript"/>
        </w:rPr>
        <w:t>43</w:t>
      </w:r>
      <w:r>
        <w:rPr>
          <w:rFonts w:ascii="Times New Roman" w:hAnsi="Times New Roman"/>
          <w:color w:val="000000"/>
          <w:sz w:val="24"/>
          <w:szCs w:val="24"/>
        </w:rPr>
        <w:t>. Organic amendments like manure have been shown to boost microbial activity and microbial biomass (soil bacteria and fungi) in studies. Manure's carbon and other nutrients have the potential to double or triple microbial biomass and soil respiration rates. Increasing bacterial populations are to blame for a significant portion of the rise in microbial activity</w:t>
      </w:r>
      <w:r>
        <w:rPr>
          <w:rFonts w:ascii="Times New Roman" w:hAnsi="Times New Roman"/>
          <w:color w:val="000000"/>
          <w:sz w:val="24"/>
          <w:szCs w:val="24"/>
          <w:vertAlign w:val="superscript"/>
        </w:rPr>
        <w:t>44</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evidence that is currently available suggests that fungi may respond less to the addition of manure. In addition to increasing microbial biomass, the addition of manure has been connected to alterations in structure of microbial community and increased functional diversity as well as to the accumulation of organic carbon.  Some researchers found that soils amended with poultry litter had greater bacterial diversity, both in terms of species evenness and richness, than soils treated with inorganic fertilizers</w:t>
      </w:r>
      <w:r>
        <w:rPr>
          <w:rFonts w:ascii="Times New Roman" w:hAnsi="Times New Roman"/>
          <w:color w:val="000000"/>
          <w:sz w:val="24"/>
          <w:szCs w:val="24"/>
          <w:vertAlign w:val="superscript"/>
        </w:rPr>
        <w:t>45</w:t>
      </w:r>
      <w:r>
        <w:rPr>
          <w:rFonts w:ascii="Times New Roman" w:hAnsi="Times New Roman"/>
          <w:color w:val="000000"/>
          <w:sz w:val="24"/>
          <w:szCs w:val="24"/>
        </w:rPr>
        <w:t>. Additionally, a positive linear regression relating microbial diversity to soil organic carbon has been demonstrated</w:t>
      </w:r>
      <w:r>
        <w:rPr>
          <w:rFonts w:ascii="Times New Roman" w:hAnsi="Times New Roman"/>
          <w:color w:val="000000"/>
          <w:sz w:val="24"/>
          <w:szCs w:val="24"/>
          <w:vertAlign w:val="superscript"/>
        </w:rPr>
        <w:t>46</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This suggests that an increase in the availability of carbon as a result of manure amendments may be the cause of an increase in functional diversity. Because soil microbes play a crucial role in the process of nutrient cycling, increase in microbial biomass and diversity are advantageous to soil quality. They mineralize the organic phosphorus (P) and nitrogen (N) in manures into forms that are plant-available and accelerate the breakdown of organic substances</w:t>
      </w:r>
      <w:r>
        <w:rPr>
          <w:rFonts w:ascii="Times New Roman" w:hAnsi="Times New Roman"/>
          <w:color w:val="000000"/>
          <w:sz w:val="24"/>
          <w:szCs w:val="24"/>
          <w:vertAlign w:val="superscript"/>
        </w:rPr>
        <w:t>47</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Enzymes in the soil are also necessary for the nutrient cycle and the breakdown of organic matter in the soil. Soil quality and functionality are controlled by microbes and enzymes working together to control nutrient availability, organic matter quality and quantity, and soil decomposition potential. The majority of enzymes found in soil are extracellular enzymes that soil microbes produce. Enzymes, like microbial biomass, are extremely responsive to the application of manure. In fact, two- to four fold increases in enzyme activities have been reported, suggesting that they may be even more responsive to the application of manure than microbial biomass or soil community structure. Manure's </w:t>
      </w:r>
      <w:bookmarkEnd w:id="16"/>
      <w:bookmarkStart w:id="17" w:name="_Hlk124418228"/>
      <w:r>
        <w:rPr>
          <w:rFonts w:ascii="Times New Roman" w:hAnsi="Times New Roman"/>
          <w:color w:val="000000"/>
          <w:sz w:val="24"/>
          <w:szCs w:val="24"/>
        </w:rPr>
        <w:t>carbon may not be the only thing that increases enzyme activities. The competitive interaction of soil microorganisms and, as a result, the relative production of various soil enzymes are regulated by the availability of soil nitrogen. When manure is added to the soil, it typically increases the amount of available nitrogen in the soil, increasing the enzymatic activities that degrades carbohydrates and decreasing the enzymatic activities that degrades aromatic compounds like lignin</w:t>
      </w:r>
      <w:r>
        <w:rPr>
          <w:rFonts w:ascii="Times New Roman" w:hAnsi="Times New Roman"/>
          <w:color w:val="000000"/>
          <w:sz w:val="24"/>
          <w:szCs w:val="24"/>
          <w:vertAlign w:val="superscript"/>
        </w:rPr>
        <w:t>4</w:t>
      </w:r>
      <w:bookmarkEnd w:id="17"/>
      <w:r>
        <w:rPr>
          <w:rFonts w:ascii="Times New Roman" w:hAnsi="Times New Roman"/>
          <w:color w:val="000000"/>
          <w:sz w:val="24"/>
          <w:szCs w:val="24"/>
          <w:vertAlign w:val="superscript"/>
        </w:rPr>
        <w:t>6</w:t>
      </w:r>
      <w:bookmarkStart w:id="18" w:name="_Toc132200933"/>
      <w:r>
        <w:rPr>
          <w:rFonts w:ascii="Times New Roman" w:hAnsi="Times New Roman"/>
          <w:color w:val="000000"/>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sz w:val="24"/>
          <w:szCs w:val="24"/>
        </w:rPr>
        <w:t>2.7</w:t>
      </w:r>
      <w:r>
        <w:rPr>
          <w:rFonts w:ascii="Times New Roman" w:hAnsi="Times New Roman"/>
          <w:b/>
          <w:sz w:val="24"/>
          <w:szCs w:val="24"/>
        </w:rPr>
        <w:tab/>
      </w:r>
      <w:r>
        <w:rPr>
          <w:rFonts w:ascii="Times New Roman" w:hAnsi="Times New Roman"/>
          <w:b/>
          <w:sz w:val="24"/>
          <w:szCs w:val="24"/>
        </w:rPr>
        <w:t>The Role and Functions of Soil Microorganisms</w:t>
      </w:r>
      <w:bookmarkEnd w:id="18"/>
      <w:r>
        <w:rPr>
          <w:rFonts w:ascii="Times New Roman" w:hAnsi="Times New Roman"/>
          <w:b/>
          <w:sz w:val="24"/>
          <w:szCs w:val="24"/>
        </w:rPr>
        <w:t xml:space="preserve"> in the Production of Soil Organic Matter</w:t>
      </w:r>
    </w:p>
    <w:p>
      <w:pPr>
        <w:spacing w:after="120" w:line="480" w:lineRule="auto"/>
        <w:jc w:val="both"/>
        <w:rPr>
          <w:rFonts w:ascii="Times New Roman" w:hAnsi="Times New Roman"/>
          <w:color w:val="000000"/>
          <w:sz w:val="24"/>
          <w:szCs w:val="24"/>
        </w:rPr>
      </w:pPr>
      <w:bookmarkStart w:id="19" w:name="_Hlk124419331"/>
      <w:r>
        <w:rPr>
          <w:rFonts w:ascii="Times New Roman" w:hAnsi="Times New Roman"/>
          <w:color w:val="000000"/>
          <w:sz w:val="24"/>
          <w:szCs w:val="24"/>
        </w:rPr>
        <w:t>The primary function of soil biota is to recycle organic material in the soil. SOM, also known as "soil organic matter," is the straightforward outcome of the collective biological activity of numerous abiotic components, plants, animals, and microorganisms. Many soil functions, like aeration and fertility, the production of soil organic matter with extracellular polysaccharides, and the synthesis of cellular debris, are dependent on soil microorganisms</w:t>
      </w:r>
      <w:r>
        <w:rPr>
          <w:rFonts w:ascii="Times New Roman" w:hAnsi="Times New Roman"/>
          <w:color w:val="000000"/>
          <w:sz w:val="24"/>
          <w:szCs w:val="24"/>
          <w:vertAlign w:val="superscript"/>
        </w:rPr>
        <w:t>35</w:t>
      </w:r>
      <w:r>
        <w:rPr>
          <w:rFonts w:ascii="Times New Roman" w:hAnsi="Times New Roman"/>
          <w:color w:val="000000"/>
          <w:sz w:val="24"/>
          <w:szCs w:val="24"/>
        </w:rPr>
        <w:t>. In addition, it enhances soil's capacity to maintain its structure after it has formed. Sludge from sewers and fertilizer; The exogenous organic matter, which is very different from SOM, may only contribute to its content after being processed by organisms in the soil. These wastes contained a high concentration of organisms that interfere with the local soil organisms and could cause shifts in the soil community</w:t>
      </w:r>
      <w:r>
        <w:rPr>
          <w:rFonts w:ascii="Times New Roman" w:hAnsi="Times New Roman"/>
          <w:color w:val="000000"/>
          <w:sz w:val="24"/>
          <w:szCs w:val="24"/>
          <w:vertAlign w:val="superscript"/>
        </w:rPr>
        <w:t>48</w:t>
      </w:r>
      <w:r>
        <w:rPr>
          <w:rFonts w:ascii="Times New Roman" w:hAnsi="Times New Roman"/>
          <w:color w:val="000000"/>
          <w:sz w:val="24"/>
          <w:szCs w:val="24"/>
        </w:rPr>
        <w:t>. The wide range of activities that microorganisms in soil carry out includes the breakdown of organic matter, the release of nutrients into plant-available forms, and the degradation of toxic residues</w:t>
      </w:r>
      <w:r>
        <w:rPr>
          <w:rFonts w:ascii="Times New Roman" w:hAnsi="Times New Roman"/>
          <w:color w:val="000000"/>
          <w:sz w:val="24"/>
          <w:szCs w:val="24"/>
          <w:vertAlign w:val="superscript"/>
        </w:rPr>
        <w:t>37</w:t>
      </w:r>
      <w:r>
        <w:rPr>
          <w:rFonts w:ascii="Times New Roman" w:hAnsi="Times New Roman"/>
          <w:color w:val="000000"/>
          <w:sz w:val="24"/>
          <w:szCs w:val="24"/>
        </w:rPr>
        <w:t>. Symbiotic relationships with plant roots, acting as a pathogen antagonist, participating in mineral solubilization, and effectively contributing to soil structure and aggregation are just a few of the additional functions. Arbuscular mycorrhizae fungi collaborate with vascular plants to extract nutrients, particularly Rhizosphere</w:t>
      </w:r>
      <w:r>
        <w:rPr>
          <w:rFonts w:ascii="Times New Roman" w:hAnsi="Times New Roman"/>
          <w:color w:val="000000"/>
          <w:sz w:val="24"/>
          <w:szCs w:val="24"/>
          <w:vertAlign w:val="superscript"/>
        </w:rPr>
        <w:t>38</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Numerous studies have emphasized the rhizosphere's significance to soil biodiversity. “Soil-borne bacteria and fungi can be found in the rhizosphere, which is a biologically active region of soil around plant roots”</w:t>
      </w:r>
      <w:r>
        <w:rPr>
          <w:rFonts w:ascii="Times New Roman" w:hAnsi="Times New Roman"/>
          <w:color w:val="000000"/>
          <w:sz w:val="24"/>
          <w:szCs w:val="24"/>
          <w:vertAlign w:val="superscript"/>
        </w:rPr>
        <w:t>39</w:t>
      </w:r>
      <w:r>
        <w:rPr>
          <w:rFonts w:ascii="Times New Roman" w:hAnsi="Times New Roman"/>
          <w:color w:val="000000"/>
          <w:sz w:val="24"/>
          <w:szCs w:val="24"/>
        </w:rPr>
        <w:t>. In the rhizosphere, microbial interactions with plants may be beneficial to either the plant or the microorganisms. Plant biologists and microbiologists frequently encounter difficulties in studying interactions between microbes and plants</w:t>
      </w:r>
      <w:r>
        <w:rPr>
          <w:rFonts w:ascii="Times New Roman" w:hAnsi="Times New Roman"/>
          <w:color w:val="000000"/>
          <w:sz w:val="24"/>
          <w:szCs w:val="24"/>
          <w:vertAlign w:val="superscript"/>
        </w:rPr>
        <w:t>39</w:t>
      </w:r>
      <w:r>
        <w:rPr>
          <w:rFonts w:ascii="Times New Roman" w:hAnsi="Times New Roman"/>
          <w:color w:val="000000"/>
          <w:sz w:val="24"/>
          <w:szCs w:val="24"/>
        </w:rPr>
        <w:t>. One major obstacle to studying these interactions is the difficulty of cultivating and isolating many microorganisms in the rhizosphere. The study of microbial diversity in the rhizosphere can benefit greatly from the most recent developments in molecular biology techniques</w:t>
      </w:r>
      <w:r>
        <w:rPr>
          <w:rFonts w:ascii="Times New Roman" w:hAnsi="Times New Roman"/>
          <w:color w:val="000000"/>
          <w:sz w:val="24"/>
          <w:szCs w:val="24"/>
          <w:vertAlign w:val="superscript"/>
        </w:rPr>
        <w:t>40</w:t>
      </w:r>
      <w:r>
        <w:rPr>
          <w:rFonts w:ascii="Times New Roman" w:hAnsi="Times New Roman"/>
          <w:color w:val="000000"/>
          <w:sz w:val="24"/>
          <w:szCs w:val="24"/>
        </w:rPr>
        <w:t>.</w:t>
      </w:r>
      <w:bookmarkEnd w:id="19"/>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Understanding the fundamental processes of "nutrient cycling, carbon sequestration, and ecosystem functioning" relies heavily on the interactions that take place between plants and soil microbes</w:t>
      </w:r>
      <w:r>
        <w:rPr>
          <w:rFonts w:ascii="Times New Roman" w:hAnsi="Times New Roman"/>
          <w:color w:val="000000"/>
          <w:sz w:val="24"/>
          <w:szCs w:val="24"/>
          <w:vertAlign w:val="superscript"/>
        </w:rPr>
        <w:t>41</w:t>
      </w:r>
      <w:r>
        <w:rPr>
          <w:rFonts w:ascii="Times New Roman" w:hAnsi="Times New Roman"/>
          <w:color w:val="000000"/>
          <w:sz w:val="24"/>
          <w:szCs w:val="24"/>
        </w:rPr>
        <w:t>.There are three types of interactions between plants and microbes: positive interactions, pathogenic negative interactions, and neutral interactions</w:t>
      </w:r>
      <w:r>
        <w:rPr>
          <w:rFonts w:ascii="Times New Roman" w:hAnsi="Times New Roman"/>
          <w:color w:val="000000"/>
          <w:sz w:val="24"/>
          <w:szCs w:val="24"/>
          <w:vertAlign w:val="superscript"/>
        </w:rPr>
        <w:t>42</w:t>
      </w:r>
      <w:r>
        <w:rPr>
          <w:rFonts w:ascii="Times New Roman" w:hAnsi="Times New Roman"/>
          <w:color w:val="000000"/>
          <w:sz w:val="24"/>
          <w:szCs w:val="24"/>
        </w:rPr>
        <w:t>. In symbiosis, the association benefits both the plant and the microbe; One partner gains from the association in associative interactions without causing harm to the other. The third type of classification is the neutral interaction, in which neither the plant nor the microbe gains or loses from the interaction. Symbiotic and pathogenic interactions have received more scientific attention and have been extensively studied, whereas studies of associative interactions are limited due to methodological approaches</w:t>
      </w:r>
      <w:r>
        <w:rPr>
          <w:rFonts w:ascii="Times New Roman" w:hAnsi="Times New Roman"/>
          <w:color w:val="000000"/>
          <w:sz w:val="24"/>
          <w:szCs w:val="24"/>
          <w:vertAlign w:val="superscript"/>
        </w:rPr>
        <w:t>42</w:t>
      </w:r>
      <w:r>
        <w:rPr>
          <w:rFonts w:ascii="Times New Roman" w:hAnsi="Times New Roman"/>
          <w:color w:val="000000"/>
          <w:sz w:val="24"/>
          <w:szCs w:val="24"/>
        </w:rPr>
        <w:t>.The role of rhizosphere interactions in plant diversity, nutrient cycling, and carbon sinks in high-CO</w:t>
      </w:r>
      <w:r>
        <w:rPr>
          <w:rFonts w:ascii="Times New Roman" w:hAnsi="Times New Roman"/>
          <w:color w:val="000000"/>
          <w:sz w:val="24"/>
          <w:szCs w:val="24"/>
          <w:vertAlign w:val="subscript"/>
        </w:rPr>
        <w:t>2</w:t>
      </w:r>
      <w:r>
        <w:rPr>
          <w:rFonts w:ascii="Times New Roman" w:hAnsi="Times New Roman"/>
          <w:color w:val="000000"/>
          <w:sz w:val="24"/>
          <w:szCs w:val="24"/>
        </w:rPr>
        <w:t xml:space="preserve"> environments has been the subject of numerous recent studies. Plant-microbe interactions have sparked a lot of interest, which has accelerated more advanced research in this area. Ecologists faced numerous difficulties in determining the function of microbes in the rhizosphere and natural environment. The rhizosphere's processes and structural diversity can now be studied in new ways thanks to molecular methods</w:t>
      </w:r>
      <w:r>
        <w:rPr>
          <w:rFonts w:ascii="Times New Roman" w:hAnsi="Times New Roman"/>
          <w:color w:val="000000"/>
          <w:sz w:val="24"/>
          <w:szCs w:val="24"/>
          <w:vertAlign w:val="superscript"/>
        </w:rPr>
        <w:t xml:space="preserve"> 49</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process of demonstrating complete carbon transfer from plant roots to soil is known as rhizodeposition. “Exudates containing small molecules such as sugars, amino acids, and organic acids," as well as "secretions such as enzymes, mucilage, and lysates from dead cells", are the components of this</w:t>
      </w:r>
      <w:r>
        <w:rPr>
          <w:rFonts w:ascii="Times New Roman" w:hAnsi="Times New Roman"/>
          <w:color w:val="000000"/>
          <w:sz w:val="24"/>
          <w:szCs w:val="24"/>
          <w:vertAlign w:val="superscript"/>
        </w:rPr>
        <w:t>50</w:t>
      </w:r>
      <w:r>
        <w:rPr>
          <w:rFonts w:ascii="Times New Roman" w:hAnsi="Times New Roman"/>
          <w:color w:val="000000"/>
          <w:sz w:val="24"/>
          <w:szCs w:val="24"/>
        </w:rPr>
        <w:t>. Rhizodeposition, or the net loss of carbon assimilation by plants, can range anywhere from 10% to 40%, with nutrient-stressed plants exuding up to 44% of their net loss. In defensive associations, rhizodeposits regulate the symbiotic relationship between plants and soil microorganisms. Rhizodeposits have been shown in a number of studies to control the microbial environment around roots by encouraging defensive associations and symbioses</w:t>
      </w:r>
      <w:r>
        <w:rPr>
          <w:rFonts w:ascii="Times New Roman" w:hAnsi="Times New Roman"/>
          <w:color w:val="000000"/>
          <w:sz w:val="24"/>
          <w:szCs w:val="24"/>
          <w:vertAlign w:val="superscript"/>
        </w:rPr>
        <w:t>50</w:t>
      </w:r>
      <w:r>
        <w:rPr>
          <w:rFonts w:ascii="Times New Roman" w:hAnsi="Times New Roman"/>
          <w:color w:val="000000"/>
          <w:sz w:val="24"/>
          <w:szCs w:val="24"/>
        </w:rPr>
        <w:t>. The beneficial protective relationship would enhance the soil's physical and chemical properties while also ensuring the availability of essential nutrients</w:t>
      </w:r>
      <w:r>
        <w:rPr>
          <w:rFonts w:ascii="Times New Roman" w:hAnsi="Times New Roman"/>
          <w:color w:val="000000"/>
          <w:sz w:val="24"/>
          <w:szCs w:val="24"/>
          <w:vertAlign w:val="superscript"/>
        </w:rPr>
        <w:t>51</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In the rhizosphere, a crucial process known as "Root exudation" involves the transfer of carbon to the soil. Soil microbial communities may be influenced to participate in nutrient cycling and organic matter decomposition by this carbon transfer mechanism</w:t>
      </w:r>
      <w:r>
        <w:rPr>
          <w:rFonts w:ascii="Times New Roman" w:hAnsi="Times New Roman"/>
          <w:color w:val="000000"/>
          <w:sz w:val="24"/>
          <w:szCs w:val="24"/>
          <w:vertAlign w:val="superscript"/>
        </w:rPr>
        <w:t>37</w:t>
      </w:r>
      <w:r>
        <w:rPr>
          <w:rFonts w:ascii="Times New Roman" w:hAnsi="Times New Roman"/>
          <w:color w:val="000000"/>
          <w:sz w:val="24"/>
          <w:szCs w:val="24"/>
        </w:rPr>
        <w:t>. Although root exudation is a laborious process, it increases the number of microbial communities that exist in the rhizosphere between plants and soil. The soil's microorganisms rely heavily on plant carbon. Plants receive nitrogen, potassium, and phosphorous from soil microorganisms</w:t>
      </w:r>
      <w:r>
        <w:rPr>
          <w:rFonts w:ascii="Times New Roman" w:hAnsi="Times New Roman"/>
          <w:color w:val="000000"/>
          <w:sz w:val="24"/>
          <w:szCs w:val="24"/>
          <w:vertAlign w:val="superscript"/>
        </w:rPr>
        <w:t>50</w:t>
      </w:r>
      <w:r>
        <w:rPr>
          <w:rFonts w:ascii="Times New Roman" w:hAnsi="Times New Roman"/>
          <w:color w:val="000000"/>
          <w:sz w:val="24"/>
          <w:szCs w:val="24"/>
        </w:rPr>
        <w:t>. In addition, they decompose organic matter in the soil to provide plants with additional beneficial minerals. "Root production and turnover have immediate effects on biogeochemical cycling by providing carbon and energy to microorganisms present in soil and fauna microbial interactions play a significant role in carbon sequestration," according to a number of studies. The interactions between "rhizodeposition, root turnover, and microbial activity require additional investigation</w:t>
      </w:r>
      <w:r>
        <w:rPr>
          <w:rFonts w:ascii="Times New Roman" w:hAnsi="Times New Roman"/>
          <w:color w:val="000000"/>
          <w:sz w:val="24"/>
          <w:szCs w:val="24"/>
          <w:vertAlign w:val="superscript"/>
        </w:rPr>
        <w:t>49,52</w:t>
      </w:r>
      <w:r>
        <w:rPr>
          <w:rFonts w:ascii="Times New Roman" w:hAnsi="Times New Roman"/>
          <w:color w:val="000000"/>
          <w:sz w:val="24"/>
          <w:szCs w:val="24"/>
        </w:rPr>
        <w:t>. Imprecise calculation makes it difficult to accurately quantify ecosystems' below-ground carbon distribution and net primary production. Over the years, various ammonia-oxidizing bacteria have been shown to play a role in the rhizosphere in a number of studies. These studies also talked about how nitrogen-fixing genes work in the rhizosphere.</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Other ecosystem functions, such as "decomposition of organic matter, maintenance of soil structure and water relationships," require microbial interactions with plant roots</w:t>
      </w:r>
      <w:r>
        <w:rPr>
          <w:rFonts w:ascii="Times New Roman" w:hAnsi="Times New Roman"/>
          <w:color w:val="000000"/>
          <w:sz w:val="24"/>
          <w:szCs w:val="24"/>
          <w:vertAlign w:val="superscript"/>
        </w:rPr>
        <w:t>52</w:t>
      </w:r>
      <w:r>
        <w:rPr>
          <w:rFonts w:ascii="Times New Roman" w:hAnsi="Times New Roman"/>
          <w:color w:val="000000"/>
          <w:sz w:val="24"/>
          <w:szCs w:val="24"/>
        </w:rPr>
        <w:t>. The significance of root-associated soil microorganisms in sustaining soil aggregate and stability has been documented by a number of studies. In well-structured field and native forest soils, microorganisms that produce glycoprotein and glomalin have been found</w:t>
      </w:r>
      <w:r>
        <w:rPr>
          <w:rFonts w:ascii="Times New Roman" w:hAnsi="Times New Roman"/>
          <w:color w:val="000000"/>
          <w:sz w:val="24"/>
          <w:szCs w:val="24"/>
          <w:vertAlign w:val="superscript"/>
        </w:rPr>
        <w:t>53</w:t>
      </w:r>
      <w:r>
        <w:rPr>
          <w:rFonts w:ascii="Times New Roman" w:hAnsi="Times New Roman"/>
          <w:color w:val="000000"/>
          <w:sz w:val="24"/>
          <w:szCs w:val="24"/>
        </w:rPr>
        <w:t>. Stabilization of soil aggregates requires glomalin. Establishing plant diversity above ground through direct feedback on host growth and indirect effects on competing plants according to evidence, is important for biotic interactions below ground</w:t>
      </w:r>
      <w:r>
        <w:rPr>
          <w:rFonts w:ascii="Times New Roman" w:hAnsi="Times New Roman"/>
          <w:color w:val="000000"/>
          <w:sz w:val="24"/>
          <w:szCs w:val="24"/>
          <w:vertAlign w:val="superscript"/>
        </w:rPr>
        <w:t>49</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vertAlign w:val="superscript"/>
        </w:rPr>
      </w:pPr>
      <w:r>
        <w:rPr>
          <w:rFonts w:ascii="Times New Roman" w:hAnsi="Times New Roman"/>
          <w:color w:val="000000"/>
          <w:sz w:val="24"/>
          <w:szCs w:val="24"/>
        </w:rPr>
        <w:t>Many important ecological functions are performed by microorganisms, which can be found all over the environment. Microorganisms that are associated with processes like nutrient cycling and sustaining the health of an ecosystem in soil perform important functions. According to a number of studies, the soil contains nearly one hundred and nine prokaryotes. Additionally, "per gram of soil," approximately two thousand genome-containing species are present in the soil. The genome type represents 0.05% of the soil's microbial population</w:t>
      </w:r>
      <w:r>
        <w:rPr>
          <w:rFonts w:ascii="Times New Roman" w:hAnsi="Times New Roman"/>
          <w:color w:val="000000"/>
          <w:sz w:val="24"/>
          <w:szCs w:val="24"/>
          <w:vertAlign w:val="superscript"/>
        </w:rPr>
        <w:t>54</w:t>
      </w:r>
      <w:r>
        <w:rPr>
          <w:rFonts w:ascii="Times New Roman" w:hAnsi="Times New Roman"/>
          <w:color w:val="000000"/>
          <w:sz w:val="24"/>
          <w:szCs w:val="24"/>
        </w:rPr>
        <w:t>. A few years ago, conventional methods could be used to study soil microbes on a small scale (their structure, characteristics, and ecological significance). The study of soil microbial communities has been remarkably successful thanks to recent advances in molecular biology. The analogy of nucleic acid sequences serves as the primary foundation for the molecular approach to soil microbial diversity research. The information about the nucleic acid sequence is crucial and provides information about the cell. Furthermore, the classification of the microbial biota and the investigation of their ecological relationships depend on sequence details. For revealing specifics about soil bacterial and fungal species, molecular-based methods have been extremely successful</w:t>
      </w:r>
      <w:r>
        <w:rPr>
          <w:rFonts w:ascii="Times New Roman" w:hAnsi="Times New Roman"/>
          <w:color w:val="000000"/>
          <w:sz w:val="24"/>
          <w:szCs w:val="24"/>
          <w:vertAlign w:val="superscript"/>
        </w:rPr>
        <w:t>54.</w:t>
      </w:r>
    </w:p>
    <w:p>
      <w:pPr>
        <w:spacing w:line="480" w:lineRule="auto"/>
        <w:jc w:val="both"/>
        <w:rPr>
          <w:rFonts w:ascii="Times New Roman" w:hAnsi="Times New Roman"/>
          <w:b/>
          <w:bCs/>
          <w:sz w:val="24"/>
          <w:szCs w:val="24"/>
        </w:rPr>
      </w:pPr>
      <w:r>
        <w:rPr>
          <w:rFonts w:ascii="Times New Roman" w:hAnsi="Times New Roman"/>
          <w:b/>
          <w:bCs/>
          <w:sz w:val="24"/>
          <w:szCs w:val="24"/>
        </w:rPr>
        <w:t>2.8</w:t>
      </w:r>
      <w:r>
        <w:rPr>
          <w:rFonts w:ascii="Times New Roman" w:hAnsi="Times New Roman"/>
          <w:b/>
          <w:bCs/>
          <w:sz w:val="24"/>
          <w:szCs w:val="24"/>
        </w:rPr>
        <w:tab/>
      </w:r>
      <w:r>
        <w:rPr>
          <w:rFonts w:ascii="Times New Roman" w:hAnsi="Times New Roman"/>
          <w:b/>
          <w:bCs/>
          <w:sz w:val="24"/>
          <w:szCs w:val="24"/>
        </w:rPr>
        <w:t>Soil Acidification</w:t>
      </w:r>
    </w:p>
    <w:p>
      <w:pPr>
        <w:spacing w:line="480" w:lineRule="auto"/>
        <w:jc w:val="both"/>
        <w:rPr>
          <w:rFonts w:ascii="Times New Roman" w:hAnsi="Times New Roman"/>
          <w:sz w:val="24"/>
          <w:szCs w:val="24"/>
        </w:rPr>
      </w:pPr>
      <w:r>
        <w:rPr>
          <w:rFonts w:ascii="Times New Roman" w:hAnsi="Times New Roman"/>
          <w:sz w:val="24"/>
          <w:szCs w:val="24"/>
        </w:rPr>
        <w:t>Soil acidification is a major pedogenetic process that occurs in climates where precipitation exceeds evapotranspiration. The vast majority of soils are naturally acidic due to leaching over long periods; however, accelerated acidification due to acidic deposition and intensive agriculture has also been reported. The interaction between natural processes and human impact must be carefully evaluated to understand ongoing soil processes in relation to acidification. Soil acidification can be caused by several proton sources, including acidic deposition, dissociation of carbonic and organic acids, nitrification, and excess cation uptake by plants</w:t>
      </w:r>
      <w:r>
        <w:rPr>
          <w:rFonts w:ascii="Times New Roman" w:hAnsi="Times New Roman"/>
          <w:sz w:val="24"/>
          <w:szCs w:val="24"/>
          <w:vertAlign w:val="superscript"/>
        </w:rPr>
        <w:t>55,56,57</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In an ecosystem, both external and internal proton sources are responsible for soil acidification. Soil acidification is controlled by the balance of proton generation and proton consumption, such as the dissociation and decomposition of organic acids, nitrification, and nitrate uptake by vegetation, in the biogeochemical cycle. Although many studies on soil acidification have focused on the effects of acidic deposition, it is also important to understand pedogenetic acidification induced by internal proton sources</w:t>
      </w:r>
      <w:r>
        <w:rPr>
          <w:rFonts w:ascii="Times New Roman" w:hAnsi="Times New Roman"/>
          <w:sz w:val="24"/>
          <w:szCs w:val="24"/>
          <w:vertAlign w:val="superscript"/>
        </w:rPr>
        <w:t>58,59</w:t>
      </w:r>
      <w:r>
        <w:rPr>
          <w:rFonts w:ascii="Times New Roman" w:hAnsi="Times New Roman"/>
          <w:sz w:val="24"/>
          <w:szCs w:val="24"/>
        </w:rPr>
        <w:t>. Some authors suggested that sensitivity to acidic deposition varies with the extent of pedogenetic acidification</w:t>
      </w:r>
      <w:r>
        <w:rPr>
          <w:rFonts w:ascii="Times New Roman" w:hAnsi="Times New Roman"/>
          <w:sz w:val="24"/>
          <w:szCs w:val="24"/>
          <w:vertAlign w:val="superscript"/>
        </w:rPr>
        <w:t>58</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Furthermore, disturbances such as N fertilization and clearcutting have had a drastic impact on soil C and N cycles and also on the proton transfer in their cycles. A quantitative analysis of external and internal proton sources is therefore required to evaluate the interaction of natural processes and human impact. Calculation of the proton budget in soils enables evaluation of the contribution of different proton sources to soil acidification</w:t>
      </w:r>
      <w:r>
        <w:rPr>
          <w:rFonts w:ascii="Times New Roman" w:hAnsi="Times New Roman"/>
          <w:sz w:val="24"/>
          <w:szCs w:val="24"/>
          <w:vertAlign w:val="superscript"/>
        </w:rPr>
        <w:t>60</w:t>
      </w:r>
      <w:r>
        <w:rPr>
          <w:rFonts w:ascii="Times New Roman" w:hAnsi="Times New Roman"/>
          <w:sz w:val="24"/>
          <w:szCs w:val="24"/>
        </w:rPr>
        <w:t>. In particular, the contribution of acidic deposition to soil acidification has been successfully quantified in the whole soil compartment</w:t>
      </w:r>
      <w:r>
        <w:rPr>
          <w:rFonts w:ascii="Times New Roman" w:hAnsi="Times New Roman"/>
          <w:sz w:val="24"/>
          <w:szCs w:val="24"/>
          <w:vertAlign w:val="superscript"/>
        </w:rPr>
        <w:t>55,61</w:t>
      </w:r>
      <w:r>
        <w:rPr>
          <w:rFonts w:ascii="Times New Roman" w:hAnsi="Times New Roman"/>
          <w:sz w:val="24"/>
          <w:szCs w:val="24"/>
        </w:rPr>
        <w:t>. On the other hand, analysis and interpretation of soil solutions, an approach termed “dynamic pedology”, suggest that the predominant proton-generating and proton-consuming processes that might be responsible for pedogenetic acidification must surely be unique to different soil horizons</w:t>
      </w:r>
      <w:r>
        <w:rPr>
          <w:rFonts w:ascii="Times New Roman" w:hAnsi="Times New Roman"/>
          <w:sz w:val="24"/>
          <w:szCs w:val="24"/>
          <w:vertAlign w:val="superscript"/>
        </w:rPr>
        <w:t>62</w:t>
      </w:r>
      <w:r>
        <w:rPr>
          <w:rFonts w:ascii="Times New Roman" w:hAnsi="Times New Roman"/>
          <w:sz w:val="24"/>
          <w:szCs w:val="24"/>
        </w:rPr>
        <w:t>. For example, production of organic acids in the organic horizon and dissociation of carbonic acid in deeper soil horizons appear to play a role in podzolization</w:t>
      </w:r>
      <w:r>
        <w:rPr>
          <w:rFonts w:ascii="Times New Roman" w:hAnsi="Times New Roman"/>
          <w:sz w:val="24"/>
          <w:szCs w:val="24"/>
          <w:vertAlign w:val="superscript"/>
        </w:rPr>
        <w:t>63</w:t>
      </w:r>
      <w:r>
        <w:rPr>
          <w:rFonts w:ascii="Times New Roman" w:hAnsi="Times New Roman"/>
          <w:sz w:val="24"/>
          <w:szCs w:val="24"/>
        </w:rPr>
        <w:t>. Therefore, we applied proton budget concepts to the analysis of the dominant proton-generating and proton-consuming processes at the soil horizon scale, as well as at the soil profile and watershed scales, and we evaluated the human impact on soil acidification.</w:t>
      </w:r>
    </w:p>
    <w:p>
      <w:pPr>
        <w:spacing w:line="480" w:lineRule="auto"/>
        <w:jc w:val="both"/>
        <w:rPr>
          <w:rFonts w:ascii="Times New Roman" w:hAnsi="Times New Roman"/>
          <w:sz w:val="24"/>
          <w:szCs w:val="24"/>
        </w:rPr>
      </w:pPr>
    </w:p>
    <w:p>
      <w:pPr>
        <w:spacing w:line="480" w:lineRule="auto"/>
        <w:jc w:val="both"/>
        <w:rPr>
          <w:rFonts w:ascii="Times New Roman" w:hAnsi="Times New Roman"/>
          <w:b/>
          <w:bCs/>
          <w:sz w:val="24"/>
          <w:szCs w:val="24"/>
        </w:rPr>
      </w:pPr>
      <w:r>
        <w:rPr>
          <w:rFonts w:ascii="Times New Roman" w:hAnsi="Times New Roman"/>
          <w:b/>
          <w:bCs/>
          <w:sz w:val="24"/>
          <w:szCs w:val="24"/>
        </w:rPr>
        <w:t xml:space="preserve">2.9 Human impact on soil acidification </w:t>
      </w:r>
    </w:p>
    <w:p>
      <w:pPr>
        <w:spacing w:line="480" w:lineRule="auto"/>
        <w:jc w:val="both"/>
        <w:rPr>
          <w:rFonts w:ascii="Times New Roman" w:hAnsi="Times New Roman"/>
          <w:b/>
          <w:bCs/>
          <w:sz w:val="24"/>
          <w:szCs w:val="24"/>
        </w:rPr>
      </w:pPr>
      <w:r>
        <w:rPr>
          <w:rFonts w:ascii="Times New Roman" w:hAnsi="Times New Roman"/>
          <w:b/>
          <w:bCs/>
          <w:sz w:val="24"/>
          <w:szCs w:val="24"/>
        </w:rPr>
        <w:t>2.9.1</w:t>
      </w:r>
      <w:r>
        <w:rPr>
          <w:rFonts w:ascii="Times New Roman" w:hAnsi="Times New Roman"/>
          <w:b/>
          <w:bCs/>
          <w:sz w:val="24"/>
          <w:szCs w:val="24"/>
        </w:rPr>
        <w:tab/>
      </w:r>
      <w:r>
        <w:rPr>
          <w:rFonts w:ascii="Times New Roman" w:hAnsi="Times New Roman"/>
          <w:b/>
          <w:bCs/>
          <w:sz w:val="24"/>
          <w:szCs w:val="24"/>
        </w:rPr>
        <w:t xml:space="preserve">Acidic deposition </w:t>
      </w:r>
    </w:p>
    <w:p>
      <w:pPr>
        <w:spacing w:line="480" w:lineRule="auto"/>
        <w:jc w:val="both"/>
        <w:rPr>
          <w:rFonts w:ascii="Times New Roman" w:hAnsi="Times New Roman"/>
          <w:sz w:val="24"/>
          <w:szCs w:val="24"/>
        </w:rPr>
      </w:pPr>
      <w:r>
        <w:rPr>
          <w:rFonts w:ascii="Times New Roman" w:hAnsi="Times New Roman"/>
          <w:sz w:val="24"/>
          <w:szCs w:val="24"/>
        </w:rPr>
        <w:t>The release of cationic components is the principal mechanism of acid neutralization in soils</w:t>
      </w:r>
      <w:r>
        <w:rPr>
          <w:rFonts w:ascii="Times New Roman" w:hAnsi="Times New Roman"/>
          <w:sz w:val="24"/>
          <w:szCs w:val="24"/>
          <w:vertAlign w:val="superscript"/>
        </w:rPr>
        <w:t>55,60</w:t>
      </w:r>
      <w:r>
        <w:rPr>
          <w:rFonts w:ascii="Times New Roman" w:hAnsi="Times New Roman"/>
          <w:sz w:val="24"/>
          <w:szCs w:val="24"/>
        </w:rPr>
        <w:t>. Acid neutralization by cation release results in a decrease in the acid neutralizing capacity (ANC) and pH of soils. A decrease in soil ANC corresponds to a decrease in soil pH</w:t>
      </w:r>
      <w:r>
        <w:rPr>
          <w:rFonts w:ascii="Times New Roman" w:hAnsi="Times New Roman"/>
          <w:sz w:val="24"/>
          <w:szCs w:val="24"/>
          <w:vertAlign w:val="superscript"/>
        </w:rPr>
        <w:t>64</w:t>
      </w:r>
      <w:r>
        <w:rPr>
          <w:rFonts w:ascii="Times New Roman" w:hAnsi="Times New Roman"/>
          <w:sz w:val="24"/>
          <w:szCs w:val="24"/>
        </w:rPr>
        <w:t>. However, the relationship between soil ANC and pH is variable. Soil ANC depends on the intrinsic ANC of parent materials and the extent of soil acidification or weathering and clay migration</w:t>
      </w:r>
      <w:r>
        <w:rPr>
          <w:rFonts w:ascii="Times New Roman" w:hAnsi="Times New Roman"/>
          <w:sz w:val="24"/>
          <w:szCs w:val="24"/>
          <w:vertAlign w:val="superscript"/>
        </w:rPr>
        <w:t>55,64</w:t>
      </w:r>
      <w:r>
        <w:rPr>
          <w:rFonts w:ascii="Times New Roman" w:hAnsi="Times New Roman"/>
          <w:sz w:val="24"/>
          <w:szCs w:val="24"/>
        </w:rPr>
        <w:t>. The ANCs of soils from loess and glacial till are higher than those from other mafic or clayey soils</w:t>
      </w:r>
      <w:r>
        <w:rPr>
          <w:rFonts w:ascii="Times New Roman" w:hAnsi="Times New Roman"/>
          <w:sz w:val="24"/>
          <w:szCs w:val="24"/>
          <w:vertAlign w:val="superscript"/>
        </w:rPr>
        <w:t>65</w:t>
      </w:r>
      <w:r>
        <w:rPr>
          <w:rFonts w:ascii="Times New Roman" w:hAnsi="Times New Roman"/>
          <w:sz w:val="24"/>
          <w:szCs w:val="24"/>
        </w:rPr>
        <w:t>. The ANCs required for a 1-unit decrease in the pH of soils from glacial till and loess are smaller than those from sedimentary and andesitic rocks and volcanic ash. Thus, a decline in soil pH caused by a given rate of ANC decline is greater in Swedish Spodosol from glacial till than in Japanese Spodosol from sedimentary rock. In Europe and northern North America, the low soil ANC and the high fluxes of acidic deposition (~3.7 kmolc ha−1 yr−1 ) cause severe acidification of the naturally acidic soils from glacial till and loess, resulting in forest damage</w:t>
      </w:r>
      <w:r>
        <w:rPr>
          <w:rFonts w:ascii="Times New Roman" w:hAnsi="Times New Roman"/>
          <w:sz w:val="24"/>
          <w:szCs w:val="24"/>
          <w:vertAlign w:val="superscript"/>
        </w:rPr>
        <w:t>61,64</w:t>
      </w:r>
      <w:r>
        <w:rPr>
          <w:rFonts w:ascii="Times New Roman" w:hAnsi="Times New Roman"/>
          <w:sz w:val="24"/>
          <w:szCs w:val="24"/>
        </w:rPr>
        <w:t>. As reported by some authors, soil vulnerability to acidic deposition is related to low soil ANC and to the extent of natural acidification or weathering (e.g., podzolization)</w:t>
      </w:r>
      <w:r>
        <w:rPr>
          <w:rFonts w:ascii="Times New Roman" w:hAnsi="Times New Roman"/>
          <w:sz w:val="24"/>
          <w:szCs w:val="24"/>
          <w:vertAlign w:val="superscript"/>
        </w:rPr>
        <w:t>58</w:t>
      </w:r>
      <w:r>
        <w:rPr>
          <w:rFonts w:ascii="Times New Roman" w:hAnsi="Times New Roman"/>
          <w:sz w:val="24"/>
          <w:szCs w:val="24"/>
        </w:rPr>
        <w:t xml:space="preserve">. Conversely, the change in soil pH could be buffered by the higher ANC in soils from “high ANC” parent materials. In Japanese Andisols and Spodosols exhibiting high ANC, no effects of acidic deposition on soil acidification are apparent because of the higher buffering capacities of these soils. </w:t>
      </w:r>
    </w:p>
    <w:p>
      <w:pPr>
        <w:spacing w:line="480" w:lineRule="auto"/>
        <w:jc w:val="both"/>
        <w:rPr>
          <w:rFonts w:ascii="Times New Roman" w:hAnsi="Times New Roman"/>
          <w:b/>
          <w:bCs/>
          <w:sz w:val="24"/>
          <w:szCs w:val="24"/>
        </w:rPr>
      </w:pPr>
      <w:r>
        <w:rPr>
          <w:rFonts w:ascii="Times New Roman" w:hAnsi="Times New Roman"/>
          <w:b/>
          <w:bCs/>
          <w:sz w:val="24"/>
          <w:szCs w:val="24"/>
        </w:rPr>
        <w:t>2.9.2</w:t>
      </w:r>
      <w:r>
        <w:rPr>
          <w:rFonts w:ascii="Times New Roman" w:hAnsi="Times New Roman"/>
          <w:b/>
          <w:bCs/>
          <w:sz w:val="24"/>
          <w:szCs w:val="24"/>
        </w:rPr>
        <w:tab/>
      </w:r>
      <w:r>
        <w:rPr>
          <w:rFonts w:ascii="Times New Roman" w:hAnsi="Times New Roman"/>
          <w:b/>
          <w:bCs/>
          <w:sz w:val="24"/>
          <w:szCs w:val="24"/>
        </w:rPr>
        <w:t>Clear-cutting and Timber Harvesting</w:t>
      </w:r>
    </w:p>
    <w:p>
      <w:pPr>
        <w:spacing w:line="480" w:lineRule="auto"/>
        <w:jc w:val="both"/>
        <w:rPr>
          <w:rFonts w:ascii="Times New Roman" w:hAnsi="Times New Roman"/>
          <w:sz w:val="24"/>
          <w:szCs w:val="24"/>
        </w:rPr>
      </w:pPr>
      <w:r>
        <w:rPr>
          <w:rFonts w:ascii="Times New Roman" w:hAnsi="Times New Roman"/>
          <w:sz w:val="24"/>
          <w:szCs w:val="24"/>
        </w:rPr>
        <w:t xml:space="preserve"> In forest ecosystems, clear-cutting and timber harvesting result in the removal of cations from soils. The absence of above ground biomass by deforestation results in; increased decomposition of SOM (esp., the O horizon) and nitrification; increased fluxes of percolating water and decreased uptake of nitrates by plants. An analysis of the proton budget in clearcut temperate forests in the United States demonstrated that soil acidification was accelerated by proton production by nitrification (NPGNtr) and cation removal through timber harvesting (NPGBio) (11 and 21 kmolc ha−1 yr−1 , respectively)</w:t>
      </w:r>
      <w:r>
        <w:rPr>
          <w:rFonts w:ascii="Times New Roman" w:hAnsi="Times New Roman"/>
          <w:sz w:val="24"/>
          <w:szCs w:val="24"/>
          <w:vertAlign w:val="superscript"/>
        </w:rPr>
        <w:t>66</w:t>
      </w:r>
      <w:r>
        <w:rPr>
          <w:rFonts w:ascii="Times New Roman" w:hAnsi="Times New Roman"/>
          <w:sz w:val="24"/>
          <w:szCs w:val="24"/>
        </w:rPr>
        <w:t>. There are apparent differences between the responses of temperate and tropical forests to clear-cutting</w:t>
      </w:r>
      <w:r>
        <w:rPr>
          <w:rFonts w:ascii="Times New Roman" w:hAnsi="Times New Roman"/>
          <w:sz w:val="24"/>
          <w:szCs w:val="24"/>
          <w:vertAlign w:val="superscript"/>
        </w:rPr>
        <w:t>67</w:t>
      </w:r>
      <w:r>
        <w:rPr>
          <w:rFonts w:ascii="Times New Roman" w:hAnsi="Times New Roman"/>
          <w:sz w:val="24"/>
          <w:szCs w:val="24"/>
        </w:rPr>
        <w:t>. Greater rates of proton production by nitrification and cation removal have been reported in deforested Amazonian tropical forest</w:t>
      </w:r>
      <w:r>
        <w:rPr>
          <w:rFonts w:ascii="Times New Roman" w:hAnsi="Times New Roman"/>
          <w:sz w:val="24"/>
          <w:szCs w:val="24"/>
          <w:vertAlign w:val="superscript"/>
        </w:rPr>
        <w:t>68</w:t>
      </w:r>
      <w:r>
        <w:rPr>
          <w:rFonts w:ascii="Times New Roman" w:hAnsi="Times New Roman"/>
          <w:sz w:val="24"/>
          <w:szCs w:val="24"/>
        </w:rPr>
        <w:t>. The aboveground biomass is larger in tropical forests than in temperate forests, but the pool size of bases or ANC is small in highly weathered tropical soils and Spodosols from glacial till. Thus, the impact of timber harvesting is greater in tropical forest soils, which exhibit smaller base pools, than in the Inceptisols of temperate forests</w:t>
      </w:r>
      <w:r>
        <w:rPr>
          <w:rFonts w:ascii="Times New Roman" w:hAnsi="Times New Roman"/>
          <w:sz w:val="24"/>
          <w:szCs w:val="24"/>
          <w:vertAlign w:val="superscript"/>
        </w:rPr>
        <w:t>67</w:t>
      </w:r>
      <w:r>
        <w:rPr>
          <w:rFonts w:ascii="Times New Roman" w:hAnsi="Times New Roman"/>
          <w:sz w:val="24"/>
          <w:szCs w:val="24"/>
        </w:rPr>
        <w:t>.</w:t>
      </w:r>
    </w:p>
    <w:p>
      <w:pPr>
        <w:spacing w:line="480" w:lineRule="auto"/>
        <w:jc w:val="both"/>
        <w:rPr>
          <w:rFonts w:ascii="Times New Roman" w:hAnsi="Times New Roman"/>
          <w:sz w:val="24"/>
          <w:szCs w:val="24"/>
        </w:rPr>
      </w:pPr>
      <w:r>
        <w:rPr>
          <w:rFonts w:ascii="Times New Roman" w:hAnsi="Times New Roman"/>
          <w:sz w:val="24"/>
          <w:szCs w:val="24"/>
        </w:rPr>
        <w:t>In particular, some authors summarized data from 26 studies on the effects of forest clearing on soil properties in the tropics and in the United States and concluded that the loss of bases was as high as 50% more in the highly weathered tropical soils than in temperate and tropical soils developed from younger parent materials</w:t>
      </w:r>
      <w:r>
        <w:rPr>
          <w:rFonts w:ascii="Times New Roman" w:hAnsi="Times New Roman"/>
          <w:sz w:val="24"/>
          <w:szCs w:val="24"/>
          <w:vertAlign w:val="superscript"/>
        </w:rPr>
        <w:t>67</w:t>
      </w:r>
      <w:r>
        <w:rPr>
          <w:rFonts w:ascii="Times New Roman" w:hAnsi="Times New Roman"/>
          <w:sz w:val="24"/>
          <w:szCs w:val="24"/>
        </w:rPr>
        <w:t>. On the other hand, the larger stocks of SOM in temperate forests suggest that proton production though nitrification lasts for longer periods (4−5 years) than in tropical forests</w:t>
      </w:r>
      <w:r>
        <w:rPr>
          <w:rFonts w:ascii="Times New Roman" w:hAnsi="Times New Roman"/>
          <w:sz w:val="24"/>
          <w:szCs w:val="24"/>
          <w:vertAlign w:val="superscript"/>
        </w:rPr>
        <w:t>69</w:t>
      </w:r>
      <w:r>
        <w:rPr>
          <w:rFonts w:ascii="Times New Roman" w:hAnsi="Times New Roman"/>
          <w:sz w:val="24"/>
          <w:szCs w:val="24"/>
        </w:rPr>
        <w:t>. For example, in East Kalimantan, depletion of organic N resulted in lower net mineralization and nitrification (NPGNtr: 1.5 kmolc ha−1 yr−1 ) 2 years after deforestation</w:t>
      </w:r>
      <w:r>
        <w:rPr>
          <w:rFonts w:ascii="Times New Roman" w:hAnsi="Times New Roman"/>
          <w:sz w:val="24"/>
          <w:szCs w:val="24"/>
          <w:vertAlign w:val="superscript"/>
        </w:rPr>
        <w:t>70</w:t>
      </w:r>
      <w:r>
        <w:rPr>
          <w:rFonts w:ascii="Times New Roman" w:hAnsi="Times New Roman"/>
          <w:sz w:val="24"/>
          <w:szCs w:val="24"/>
        </w:rPr>
        <w:t>.</w:t>
      </w:r>
    </w:p>
    <w:p>
      <w:pPr>
        <w:spacing w:line="480" w:lineRule="auto"/>
        <w:jc w:val="both"/>
        <w:rPr>
          <w:rFonts w:ascii="Times New Roman" w:hAnsi="Times New Roman"/>
          <w:b/>
          <w:bCs/>
          <w:sz w:val="24"/>
          <w:szCs w:val="24"/>
        </w:rPr>
      </w:pPr>
      <w:r>
        <w:rPr>
          <w:rFonts w:ascii="Times New Roman" w:hAnsi="Times New Roman"/>
          <w:b/>
          <w:bCs/>
          <w:sz w:val="24"/>
          <w:szCs w:val="24"/>
        </w:rPr>
        <w:t>2.9.3</w:t>
      </w:r>
      <w:r>
        <w:rPr>
          <w:rFonts w:ascii="Times New Roman" w:hAnsi="Times New Roman"/>
          <w:b/>
          <w:bCs/>
          <w:sz w:val="24"/>
          <w:szCs w:val="24"/>
        </w:rPr>
        <w:tab/>
      </w:r>
      <w:r>
        <w:rPr>
          <w:rFonts w:ascii="Times New Roman" w:hAnsi="Times New Roman"/>
          <w:b/>
          <w:bCs/>
          <w:sz w:val="24"/>
          <w:szCs w:val="24"/>
        </w:rPr>
        <w:t>Continuous Cropping</w:t>
      </w:r>
    </w:p>
    <w:p>
      <w:pPr>
        <w:spacing w:line="480" w:lineRule="auto"/>
        <w:jc w:val="both"/>
        <w:rPr>
          <w:rFonts w:ascii="Times New Roman" w:hAnsi="Times New Roman"/>
          <w:sz w:val="24"/>
          <w:szCs w:val="24"/>
        </w:rPr>
      </w:pPr>
      <w:r>
        <w:rPr>
          <w:rFonts w:ascii="Times New Roman" w:hAnsi="Times New Roman"/>
          <w:sz w:val="24"/>
          <w:szCs w:val="24"/>
        </w:rPr>
        <w:t xml:space="preserve"> In the humid tropics, traditional shifting cultivation (slash-and-burn agriculture) has been replaced with continuous cropping systems and the resulting conversion of forests to croplands can have a drastic impact on the dynamics of SOM and proton budgets in soils</w:t>
      </w:r>
      <w:r>
        <w:rPr>
          <w:rFonts w:ascii="Times New Roman" w:hAnsi="Times New Roman"/>
          <w:sz w:val="24"/>
          <w:szCs w:val="24"/>
          <w:vertAlign w:val="superscript"/>
        </w:rPr>
        <w:t>71,72</w:t>
      </w:r>
      <w:r>
        <w:rPr>
          <w:rFonts w:ascii="Times New Roman" w:hAnsi="Times New Roman"/>
          <w:sz w:val="24"/>
          <w:szCs w:val="24"/>
        </w:rPr>
        <w:t>. The C budget in cropland soil in northern Thailand suggests that the enhanced decomposition of SOM results in a decrease in SOM stock</w:t>
      </w:r>
      <w:r>
        <w:rPr>
          <w:rFonts w:ascii="Times New Roman" w:hAnsi="Times New Roman"/>
          <w:sz w:val="24"/>
          <w:szCs w:val="24"/>
          <w:vertAlign w:val="superscript"/>
        </w:rPr>
        <w:t>70</w:t>
      </w:r>
      <w:r>
        <w:rPr>
          <w:rFonts w:ascii="Times New Roman" w:hAnsi="Times New Roman"/>
          <w:sz w:val="24"/>
          <w:szCs w:val="24"/>
        </w:rPr>
        <w:t xml:space="preserve">. The loss of SOM results in the large fluxes of nitrate leaching from soil profile. The loss of SOM appeared to promote mineralization of organic nitrogen and nitrification and result in proton generation in the Ap horizon. Concurrently, the loss of SOM enhances proton consumption because of the mineralization of organic anions in croplands. This contrasts with the case of forests, where excess cation accumulation in organic matter (biomass and humus) contributes to soil acidification. </w:t>
      </w:r>
    </w:p>
    <w:p>
      <w:pPr>
        <w:spacing w:line="480" w:lineRule="auto"/>
        <w:jc w:val="both"/>
        <w:rPr>
          <w:rFonts w:ascii="Times New Roman" w:hAnsi="Times New Roman"/>
          <w:sz w:val="24"/>
          <w:szCs w:val="24"/>
        </w:rPr>
      </w:pPr>
      <w:r>
        <w:rPr>
          <w:rFonts w:ascii="Times New Roman" w:hAnsi="Times New Roman"/>
          <w:sz w:val="24"/>
          <w:szCs w:val="24"/>
        </w:rPr>
        <w:t>In cropland soil, loss of SOM enhances proton generation due to nitrification and proton consumption due to the mineralization of organic anions at rates ranging from 0.008–0.015 and 0.019–0.026 molc for the loss of 1 mol soil organic carbon, respectively</w:t>
      </w:r>
      <w:r>
        <w:rPr>
          <w:rFonts w:ascii="Times New Roman" w:hAnsi="Times New Roman"/>
          <w:sz w:val="24"/>
          <w:szCs w:val="24"/>
          <w:vertAlign w:val="superscript"/>
        </w:rPr>
        <w:t>70</w:t>
      </w:r>
      <w:r>
        <w:rPr>
          <w:rFonts w:ascii="Times New Roman" w:hAnsi="Times New Roman"/>
          <w:sz w:val="24"/>
          <w:szCs w:val="24"/>
        </w:rPr>
        <w:t>. Proton budget analysis showed that intensive acid load by nitrification could be neutralized by proton consumption associated with the loss of SOM in cropland soil in the initial stages of cropping following deforestation. The effect of continuous cropping on soil acidification, namely, whether or not soil acidification is accelerated, depends on the balance between proton generation by nitrification and proton consumption by SOM mineralization. NPGNtr depends on the balance of organic matter production and decomposition, whereas, proton consumption from organic anion mineralization increases with increasing soil pH and SOM content</w:t>
      </w:r>
      <w:r>
        <w:rPr>
          <w:rFonts w:ascii="Times New Roman" w:hAnsi="Times New Roman"/>
          <w:sz w:val="24"/>
          <w:szCs w:val="24"/>
          <w:vertAlign w:val="superscript"/>
        </w:rPr>
        <w:t>73</w:t>
      </w:r>
      <w:r>
        <w:rPr>
          <w:rFonts w:ascii="Times New Roman" w:hAnsi="Times New Roman"/>
          <w:sz w:val="24"/>
          <w:szCs w:val="24"/>
        </w:rPr>
        <w:t>. Thus, the impact of continuous cropping on soil acidification varies according to the balance of organic matter and soil type</w:t>
      </w:r>
      <w:r>
        <w:rPr>
          <w:rFonts w:ascii="Times New Roman" w:hAnsi="Times New Roman"/>
          <w:sz w:val="24"/>
          <w:szCs w:val="24"/>
          <w:vertAlign w:val="superscript"/>
        </w:rPr>
        <w:t>70</w:t>
      </w:r>
      <w:r>
        <w:rPr>
          <w:rFonts w:ascii="Times New Roman" w:hAnsi="Times New Roman"/>
          <w:sz w:val="24"/>
          <w:szCs w:val="24"/>
        </w:rPr>
        <w:t>.</w:t>
      </w:r>
    </w:p>
    <w:p>
      <w:pPr>
        <w:spacing w:line="480" w:lineRule="auto"/>
        <w:jc w:val="both"/>
        <w:rPr>
          <w:rFonts w:ascii="Times New Roman" w:hAnsi="Times New Roman"/>
          <w:b/>
          <w:bCs/>
          <w:sz w:val="24"/>
          <w:szCs w:val="24"/>
        </w:rPr>
      </w:pPr>
      <w:r>
        <w:rPr>
          <w:rFonts w:ascii="Times New Roman" w:hAnsi="Times New Roman"/>
          <w:b/>
          <w:bCs/>
          <w:sz w:val="24"/>
          <w:szCs w:val="24"/>
        </w:rPr>
        <w:t>2.9.4</w:t>
      </w:r>
      <w:r>
        <w:rPr>
          <w:rFonts w:ascii="Times New Roman" w:hAnsi="Times New Roman"/>
          <w:b/>
          <w:bCs/>
          <w:sz w:val="24"/>
          <w:szCs w:val="24"/>
        </w:rPr>
        <w:tab/>
      </w:r>
      <w:r>
        <w:rPr>
          <w:rFonts w:ascii="Times New Roman" w:hAnsi="Times New Roman"/>
          <w:b/>
          <w:bCs/>
          <w:sz w:val="24"/>
          <w:szCs w:val="24"/>
        </w:rPr>
        <w:t>Intensive Agriculture</w:t>
      </w:r>
    </w:p>
    <w:p>
      <w:pPr>
        <w:spacing w:line="480" w:lineRule="auto"/>
        <w:jc w:val="both"/>
        <w:rPr>
          <w:rFonts w:ascii="Times New Roman" w:hAnsi="Times New Roman"/>
          <w:sz w:val="24"/>
          <w:szCs w:val="24"/>
        </w:rPr>
      </w:pPr>
      <w:r>
        <w:rPr>
          <w:rFonts w:ascii="Times New Roman" w:hAnsi="Times New Roman"/>
          <w:sz w:val="24"/>
          <w:szCs w:val="24"/>
        </w:rPr>
        <w:t>Soil acidification is a natural process accelerated by agriculture in humid regions</w:t>
      </w:r>
      <w:r>
        <w:rPr>
          <w:rFonts w:ascii="Times New Roman" w:hAnsi="Times New Roman"/>
          <w:sz w:val="24"/>
          <w:szCs w:val="24"/>
          <w:vertAlign w:val="superscript"/>
        </w:rPr>
        <w:t>74,75</w:t>
      </w:r>
      <w:r>
        <w:rPr>
          <w:rFonts w:ascii="Times New Roman" w:hAnsi="Times New Roman"/>
          <w:sz w:val="24"/>
          <w:szCs w:val="24"/>
        </w:rPr>
        <w:t>. In croplands, proton generation associated with nitrification has been reported to accelerate soil acidification due to large fluxes of nitrogen leaching at the beginning of the cropping season and the application of fertilizer nitrogen (esp., ammonium sulfate)</w:t>
      </w:r>
      <w:r>
        <w:rPr>
          <w:rFonts w:ascii="Times New Roman" w:hAnsi="Times New Roman"/>
          <w:sz w:val="24"/>
          <w:szCs w:val="24"/>
          <w:vertAlign w:val="superscript"/>
        </w:rPr>
        <w:t>73,76,77</w:t>
      </w:r>
      <w:r>
        <w:rPr>
          <w:rFonts w:ascii="Times New Roman" w:hAnsi="Times New Roman"/>
          <w:sz w:val="24"/>
          <w:szCs w:val="24"/>
        </w:rPr>
        <w:t>. In Asia in particular, soil pH has decreased by 0.3 to 1.1 units within the last few decades</w:t>
      </w:r>
      <w:r>
        <w:rPr>
          <w:rFonts w:ascii="Times New Roman" w:hAnsi="Times New Roman"/>
          <w:sz w:val="24"/>
          <w:szCs w:val="24"/>
          <w:vertAlign w:val="superscript"/>
        </w:rPr>
        <w:t>78,79,80</w:t>
      </w:r>
      <w:r>
        <w:rPr>
          <w:rFonts w:ascii="Times New Roman" w:hAnsi="Times New Roman"/>
          <w:sz w:val="24"/>
          <w:szCs w:val="24"/>
        </w:rPr>
        <w:t>. In Bangladesh and Indonesia (Java), the use of high-yielding varieties of rice and chemical fertilizers following the green revolution has not only increased rice production but has also accelerated soil acidification</w:t>
      </w:r>
      <w:r>
        <w:rPr>
          <w:rFonts w:ascii="Times New Roman" w:hAnsi="Times New Roman"/>
          <w:sz w:val="24"/>
          <w:szCs w:val="24"/>
          <w:vertAlign w:val="superscript"/>
        </w:rPr>
        <w:t>78,79</w:t>
      </w:r>
      <w:r>
        <w:rPr>
          <w:rFonts w:ascii="Times New Roman" w:hAnsi="Times New Roman"/>
          <w:sz w:val="24"/>
          <w:szCs w:val="24"/>
        </w:rPr>
        <w:t>. The increased input of nitrogen fertilizer without sufficient application of lime and organic matter results in a low to moderate rate of soil acidification (~2 kmol c ha−1 yr−1) in these regions</w:t>
      </w:r>
      <w:r>
        <w:rPr>
          <w:rFonts w:ascii="Times New Roman" w:hAnsi="Times New Roman"/>
          <w:sz w:val="24"/>
          <w:szCs w:val="24"/>
          <w:vertAlign w:val="superscript"/>
        </w:rPr>
        <w:t>78,79</w:t>
      </w:r>
      <w:r>
        <w:rPr>
          <w:rFonts w:ascii="Times New Roman" w:hAnsi="Times New Roman"/>
          <w:sz w:val="24"/>
          <w:szCs w:val="24"/>
        </w:rPr>
        <w:t>. In China, the conversion of crop production systems to cash crop production (e.g., vegetables) has resulted in rapid acidification through nitrification of excessive fertilizer nitrogen (500–4000 kg N ha−1 yr−1 ) and product removal</w:t>
      </w:r>
      <w:r>
        <w:rPr>
          <w:rFonts w:ascii="Times New Roman" w:hAnsi="Times New Roman"/>
          <w:sz w:val="24"/>
          <w:szCs w:val="24"/>
          <w:vertAlign w:val="superscript"/>
        </w:rPr>
        <w:t>80</w:t>
      </w:r>
      <w:r>
        <w:rPr>
          <w:rFonts w:ascii="Times New Roman" w:hAnsi="Times New Roman"/>
          <w:sz w:val="24"/>
          <w:szCs w:val="24"/>
        </w:rPr>
        <w:t>. Proton generation due to N cycling (20 to 221 kmolc ha−1 yr−1 of NPGNtr) in China is extremely high compared with the lower N fertilizer rates in other regions (1.4–11.5 kmolc ha−1 yr−1 )</w:t>
      </w:r>
      <w:r>
        <w:rPr>
          <w:rFonts w:ascii="Times New Roman" w:hAnsi="Times New Roman"/>
          <w:sz w:val="24"/>
          <w:szCs w:val="24"/>
          <w:vertAlign w:val="superscript"/>
        </w:rPr>
        <w:t>81,77,73,82,83,70,80</w:t>
      </w:r>
      <w:r>
        <w:rPr>
          <w:rFonts w:ascii="Times New Roman" w:hAnsi="Times New Roman"/>
          <w:sz w:val="24"/>
          <w:szCs w:val="24"/>
        </w:rPr>
        <w:t>.</w:t>
      </w:r>
    </w:p>
    <w:p>
      <w:pPr>
        <w:spacing w:line="480" w:lineRule="auto"/>
        <w:jc w:val="both"/>
        <w:rPr>
          <w:rFonts w:ascii="Times New Roman" w:hAnsi="Times New Roman"/>
          <w:sz w:val="24"/>
          <w:szCs w:val="24"/>
        </w:rPr>
      </w:pPr>
      <w:r>
        <w:rPr>
          <w:rFonts w:ascii="Times New Roman" w:hAnsi="Times New Roman"/>
          <w:sz w:val="24"/>
          <w:szCs w:val="24"/>
        </w:rPr>
        <w:t>The impact of agriculture on soil acidification may be ameliorated by improving nitrogen fertilization strategies and the maintenance of SOM levels. For example, strategies to improve nitrogen use efficiency and reduce excessive nitrogen fertilization have been proposed in China</w:t>
      </w:r>
      <w:r>
        <w:rPr>
          <w:rFonts w:ascii="Times New Roman" w:hAnsi="Times New Roman"/>
          <w:sz w:val="24"/>
          <w:szCs w:val="24"/>
          <w:vertAlign w:val="superscript"/>
        </w:rPr>
        <w:t>75</w:t>
      </w:r>
      <w:r>
        <w:rPr>
          <w:rFonts w:ascii="Times New Roman" w:hAnsi="Times New Roman"/>
          <w:sz w:val="24"/>
          <w:szCs w:val="24"/>
        </w:rPr>
        <w:t>. Proton transfer associated with organic matter cycles in cropland soils suggests that the maintenance of SOM levels will neutralize protons produced by nitrification</w:t>
      </w:r>
      <w:r>
        <w:rPr>
          <w:rFonts w:ascii="Times New Roman" w:hAnsi="Times New Roman"/>
          <w:sz w:val="24"/>
          <w:szCs w:val="24"/>
          <w:vertAlign w:val="superscript"/>
        </w:rPr>
        <w:t>70</w:t>
      </w:r>
      <w:r>
        <w:rPr>
          <w:rFonts w:ascii="Times New Roman" w:hAnsi="Times New Roman"/>
          <w:sz w:val="24"/>
          <w:szCs w:val="24"/>
        </w:rPr>
        <w:t>. Proton budget analysis is a promising approach for identifying the dominant acidifying processes and for proposing site-specific and feasible countermeasures against soil acidification.</w:t>
      </w:r>
    </w:p>
    <w:p>
      <w:pPr>
        <w:spacing w:line="480" w:lineRule="auto"/>
        <w:jc w:val="both"/>
        <w:rPr>
          <w:rFonts w:ascii="Times New Roman" w:hAnsi="Times New Roman"/>
          <w:b/>
          <w:bCs/>
          <w:sz w:val="24"/>
          <w:szCs w:val="24"/>
        </w:rPr>
      </w:pPr>
      <w:r>
        <w:rPr>
          <w:rFonts w:ascii="Times New Roman" w:hAnsi="Times New Roman"/>
          <w:b/>
          <w:bCs/>
          <w:sz w:val="24"/>
          <w:szCs w:val="24"/>
        </w:rPr>
        <w:t>2.10</w:t>
      </w:r>
      <w:r>
        <w:rPr>
          <w:rFonts w:ascii="Times New Roman" w:hAnsi="Times New Roman"/>
          <w:b/>
          <w:bCs/>
          <w:sz w:val="24"/>
          <w:szCs w:val="24"/>
        </w:rPr>
        <w:tab/>
      </w:r>
      <w:r>
        <w:rPr>
          <w:rFonts w:ascii="Times New Roman" w:hAnsi="Times New Roman"/>
          <w:b/>
          <w:bCs/>
          <w:sz w:val="24"/>
          <w:szCs w:val="24"/>
        </w:rPr>
        <w:t xml:space="preserve">Soil Acidity and its Management </w:t>
      </w:r>
    </w:p>
    <w:p>
      <w:pPr>
        <w:spacing w:line="480" w:lineRule="auto"/>
        <w:jc w:val="both"/>
        <w:rPr>
          <w:rFonts w:ascii="Times New Roman" w:hAnsi="Times New Roman"/>
          <w:sz w:val="24"/>
          <w:szCs w:val="24"/>
        </w:rPr>
      </w:pPr>
      <w:r>
        <w:rPr>
          <w:rFonts w:ascii="Times New Roman" w:hAnsi="Times New Roman"/>
          <w:b/>
          <w:bCs/>
          <w:sz w:val="24"/>
          <w:szCs w:val="24"/>
        </w:rPr>
        <w:t>2.10.1</w:t>
      </w:r>
      <w:r>
        <w:rPr>
          <w:rFonts w:ascii="Times New Roman" w:hAnsi="Times New Roman"/>
          <w:b/>
          <w:bCs/>
          <w:sz w:val="24"/>
          <w:szCs w:val="24"/>
        </w:rPr>
        <w:tab/>
      </w:r>
      <w:r>
        <w:rPr>
          <w:rFonts w:ascii="Times New Roman" w:hAnsi="Times New Roman"/>
          <w:b/>
          <w:bCs/>
          <w:sz w:val="24"/>
          <w:szCs w:val="24"/>
        </w:rPr>
        <w:t>Soil Acidity</w:t>
      </w:r>
    </w:p>
    <w:p>
      <w:pPr>
        <w:spacing w:line="480" w:lineRule="auto"/>
        <w:jc w:val="both"/>
        <w:rPr>
          <w:rFonts w:ascii="Times New Roman" w:hAnsi="Times New Roman"/>
          <w:sz w:val="24"/>
          <w:szCs w:val="24"/>
        </w:rPr>
      </w:pPr>
      <w:r>
        <w:rPr>
          <w:rFonts w:ascii="Times New Roman" w:hAnsi="Times New Roman"/>
          <w:sz w:val="24"/>
          <w:szCs w:val="24"/>
        </w:rPr>
        <w:t>Soil acidification is a gradual process resulting from intensive crop production over a long period of time. By management, the soil acidification rate can be that. Adjusting applied nitrogen and sulfur to crop needs may reduce the cost of input while reducing acidification</w:t>
      </w:r>
      <w:r>
        <w:rPr>
          <w:rFonts w:ascii="Times New Roman" w:hAnsi="Times New Roman"/>
          <w:sz w:val="24"/>
          <w:szCs w:val="24"/>
          <w:vertAlign w:val="superscript"/>
        </w:rPr>
        <w:t>84</w:t>
      </w:r>
      <w:r>
        <w:rPr>
          <w:rFonts w:ascii="Times New Roman" w:hAnsi="Times New Roman"/>
          <w:sz w:val="24"/>
          <w:szCs w:val="24"/>
        </w:rPr>
        <w:t xml:space="preserve">. In Ethiopia, soil acidity is a problem that has not been addressed in depth. It is found that most of these soils have high rainfall in the highlands. The Ethiopian highlands are one of the hotspots on the African continent with regard to food production and in the struggle to preserve the natural resource base. </w:t>
      </w:r>
    </w:p>
    <w:p>
      <w:pPr>
        <w:spacing w:line="480" w:lineRule="auto"/>
        <w:jc w:val="both"/>
        <w:rPr>
          <w:rFonts w:ascii="Times New Roman" w:hAnsi="Times New Roman"/>
          <w:sz w:val="24"/>
          <w:szCs w:val="24"/>
        </w:rPr>
      </w:pPr>
      <w:r>
        <w:rPr>
          <w:rFonts w:ascii="Times New Roman" w:hAnsi="Times New Roman"/>
          <w:b/>
          <w:bCs/>
          <w:sz w:val="24"/>
          <w:szCs w:val="24"/>
        </w:rPr>
        <w:t>2.10.2</w:t>
      </w:r>
      <w:r>
        <w:rPr>
          <w:rFonts w:ascii="Times New Roman" w:hAnsi="Times New Roman"/>
          <w:b/>
          <w:bCs/>
          <w:sz w:val="24"/>
          <w:szCs w:val="24"/>
        </w:rPr>
        <w:tab/>
      </w:r>
      <w:r>
        <w:rPr>
          <w:rFonts w:ascii="Times New Roman" w:hAnsi="Times New Roman"/>
          <w:b/>
          <w:bCs/>
          <w:sz w:val="24"/>
          <w:szCs w:val="24"/>
        </w:rPr>
        <w:t>Characteristics of Acid Soils</w:t>
      </w:r>
    </w:p>
    <w:p>
      <w:pPr>
        <w:spacing w:line="480" w:lineRule="auto"/>
        <w:jc w:val="both"/>
        <w:rPr>
          <w:rFonts w:ascii="Times New Roman" w:hAnsi="Times New Roman"/>
          <w:sz w:val="24"/>
          <w:szCs w:val="24"/>
        </w:rPr>
      </w:pPr>
      <w:r>
        <w:rPr>
          <w:rFonts w:ascii="Times New Roman" w:hAnsi="Times New Roman"/>
          <w:sz w:val="24"/>
          <w:szCs w:val="24"/>
        </w:rPr>
        <w:t xml:space="preserve"> The pH is low, highly exchangeable H and Al, the characteristics of acid soils are low CEC and high base unsaturated; adverse effects are caused by toxic Al, Mn and Fe accumulation and Ca and Mg deficiency; acid soils in usable P are weak and have a high capacity for fixing P; Except for molybdenum, the available micronutrient status is adequate; Population of bacteria and actinomycetes is lower and those of fungi higher</w:t>
      </w:r>
      <w:r>
        <w:rPr>
          <w:rFonts w:ascii="Times New Roman" w:hAnsi="Times New Roman"/>
          <w:sz w:val="24"/>
          <w:szCs w:val="24"/>
          <w:vertAlign w:val="superscript"/>
        </w:rPr>
        <w:t>85</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b/>
          <w:bCs/>
          <w:sz w:val="24"/>
          <w:szCs w:val="24"/>
        </w:rPr>
        <w:t>2.10.3</w:t>
      </w:r>
      <w:r>
        <w:rPr>
          <w:rFonts w:ascii="Times New Roman" w:hAnsi="Times New Roman"/>
          <w:b/>
          <w:bCs/>
          <w:sz w:val="24"/>
          <w:szCs w:val="24"/>
        </w:rPr>
        <w:tab/>
      </w:r>
      <w:r>
        <w:rPr>
          <w:rFonts w:ascii="Times New Roman" w:hAnsi="Times New Roman"/>
          <w:b/>
          <w:bCs/>
          <w:sz w:val="24"/>
          <w:szCs w:val="24"/>
        </w:rPr>
        <w:t>Class of Soil Acidity</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Soil acidity is estimated by pH measurement. Soil pH is an index of active acidity. Active acidity is the concentration of hydrogen ions in the soil solution and is measured in a soil and water mixture. Soil pH is a general indicator of nutrient availability, the presence of free lime (calcium carbonate), and excessive availability of some ions, including sodium, hydrogen, aluminum, and manganese</w:t>
      </w:r>
      <w:r>
        <w:rPr>
          <w:rFonts w:ascii="Times New Roman" w:hAnsi="Times New Roman"/>
          <w:sz w:val="24"/>
          <w:szCs w:val="24"/>
          <w:vertAlign w:val="superscript"/>
        </w:rPr>
        <w:t>85</w:t>
      </w:r>
      <w:r>
        <w:rPr>
          <w:rFonts w:ascii="Times New Roman" w:hAnsi="Times New Roman"/>
          <w:sz w:val="24"/>
          <w:szCs w:val="24"/>
        </w:rPr>
        <w:t>.</w:t>
      </w:r>
    </w:p>
    <w:p>
      <w:pPr>
        <w:spacing w:line="480" w:lineRule="auto"/>
        <w:jc w:val="both"/>
        <w:rPr>
          <w:rFonts w:ascii="Times New Roman" w:hAnsi="Times New Roman"/>
          <w:sz w:val="24"/>
          <w:szCs w:val="24"/>
        </w:rPr>
      </w:pPr>
      <w:r>
        <w:rPr>
          <w:rFonts w:ascii="Times New Roman" w:hAnsi="Times New Roman"/>
          <w:b/>
          <w:sz w:val="24"/>
          <w:szCs w:val="24"/>
        </w:rPr>
        <w:t>2.10.3.1</w:t>
      </w:r>
      <w:r>
        <w:rPr>
          <w:rFonts w:ascii="Times New Roman" w:hAnsi="Times New Roman"/>
          <w:b/>
          <w:sz w:val="24"/>
          <w:szCs w:val="24"/>
        </w:rPr>
        <w:tab/>
      </w:r>
      <w:r>
        <w:rPr>
          <w:rFonts w:ascii="Times New Roman" w:hAnsi="Times New Roman"/>
          <w:b/>
          <w:bCs/>
          <w:sz w:val="24"/>
          <w:szCs w:val="24"/>
        </w:rPr>
        <w:t>Active Acidity</w:t>
      </w:r>
    </w:p>
    <w:p>
      <w:pPr>
        <w:spacing w:line="480" w:lineRule="auto"/>
        <w:jc w:val="both"/>
        <w:rPr>
          <w:rFonts w:ascii="Times New Roman" w:hAnsi="Times New Roman"/>
          <w:sz w:val="24"/>
          <w:szCs w:val="24"/>
        </w:rPr>
      </w:pPr>
      <w:r>
        <w:rPr>
          <w:rFonts w:ascii="Times New Roman" w:hAnsi="Times New Roman"/>
          <w:sz w:val="24"/>
          <w:szCs w:val="24"/>
        </w:rPr>
        <w:t xml:space="preserve"> Active acidity measured as in soil pH; it is the concentration of hydrogen ions in the soil solution. This occurs because of H+ ion concentration of the soil solution that is attributable to carbonic acid (H2CO3), water soluble organic acids and hydrolytically acid salts. It can be determined by measuring the pH value of a water suspension or extract from a soil. It bears directly on the development of plants and soil microorganisms</w:t>
      </w:r>
      <w:r>
        <w:rPr>
          <w:rFonts w:ascii="Times New Roman" w:hAnsi="Times New Roman"/>
          <w:sz w:val="24"/>
          <w:szCs w:val="24"/>
          <w:vertAlign w:val="superscript"/>
        </w:rPr>
        <w:t>86</w:t>
      </w:r>
      <w:r>
        <w:rPr>
          <w:rFonts w:ascii="Times New Roman" w:hAnsi="Times New Roman"/>
          <w:sz w:val="24"/>
          <w:szCs w:val="24"/>
        </w:rPr>
        <w:t>.</w:t>
      </w:r>
    </w:p>
    <w:p>
      <w:pPr>
        <w:spacing w:line="480" w:lineRule="auto"/>
        <w:jc w:val="both"/>
        <w:rPr>
          <w:rFonts w:ascii="Times New Roman" w:hAnsi="Times New Roman"/>
          <w:sz w:val="24"/>
          <w:szCs w:val="24"/>
        </w:rPr>
      </w:pPr>
    </w:p>
    <w:p>
      <w:pPr>
        <w:spacing w:line="480" w:lineRule="auto"/>
        <w:jc w:val="both"/>
        <w:rPr>
          <w:rFonts w:ascii="Times New Roman" w:hAnsi="Times New Roman"/>
          <w:sz w:val="24"/>
          <w:szCs w:val="24"/>
        </w:rPr>
      </w:pPr>
    </w:p>
    <w:p>
      <w:pPr>
        <w:spacing w:line="480" w:lineRule="auto"/>
        <w:jc w:val="both"/>
        <w:rPr>
          <w:rFonts w:ascii="Times New Roman" w:hAnsi="Times New Roman"/>
          <w:sz w:val="24"/>
          <w:szCs w:val="24"/>
        </w:rPr>
      </w:pPr>
    </w:p>
    <w:p>
      <w:pPr>
        <w:spacing w:line="480" w:lineRule="auto"/>
        <w:jc w:val="both"/>
        <w:rPr>
          <w:rFonts w:ascii="Times New Roman" w:hAnsi="Times New Roman"/>
          <w:sz w:val="24"/>
          <w:szCs w:val="24"/>
        </w:rPr>
      </w:pPr>
      <w:r>
        <w:rPr>
          <w:rFonts w:ascii="Times New Roman" w:hAnsi="Times New Roman"/>
          <w:b/>
          <w:sz w:val="24"/>
          <w:szCs w:val="24"/>
        </w:rPr>
        <w:t>2.10.3.2</w:t>
      </w:r>
      <w:r>
        <w:rPr>
          <w:rFonts w:ascii="Times New Roman" w:hAnsi="Times New Roman"/>
          <w:b/>
          <w:sz w:val="24"/>
          <w:szCs w:val="24"/>
        </w:rPr>
        <w:tab/>
      </w:r>
      <w:r>
        <w:rPr>
          <w:rFonts w:ascii="Times New Roman" w:hAnsi="Times New Roman"/>
          <w:b/>
          <w:bCs/>
          <w:sz w:val="24"/>
          <w:szCs w:val="24"/>
        </w:rPr>
        <w:t xml:space="preserve">Exchange Acidity </w:t>
      </w:r>
    </w:p>
    <w:p>
      <w:pPr>
        <w:spacing w:line="480" w:lineRule="auto"/>
        <w:jc w:val="both"/>
        <w:rPr>
          <w:rFonts w:ascii="Times New Roman" w:hAnsi="Times New Roman"/>
          <w:sz w:val="24"/>
          <w:szCs w:val="24"/>
        </w:rPr>
      </w:pPr>
      <w:r>
        <w:rPr>
          <w:rFonts w:ascii="Times New Roman" w:hAnsi="Times New Roman"/>
          <w:sz w:val="24"/>
          <w:szCs w:val="24"/>
        </w:rPr>
        <w:t>The H and Al ions adsorbed on soil colloids. There exists an equilibrium between the adsorbed and soil solution ions (i.e. active and exchange acidity), permitting the ready movement from one form to another form. It is the acidity caused by hydrogen and aluminum that are easily exchangeable in a simple salt solution such as KCl</w:t>
      </w:r>
      <w:r>
        <w:rPr>
          <w:rFonts w:ascii="Times New Roman" w:hAnsi="Times New Roman"/>
          <w:sz w:val="24"/>
          <w:szCs w:val="24"/>
          <w:vertAlign w:val="superscript"/>
        </w:rPr>
        <w:t>85</w:t>
      </w:r>
      <w:r>
        <w:rPr>
          <w:rFonts w:ascii="Times New Roman" w:hAnsi="Times New Roman"/>
          <w:sz w:val="24"/>
          <w:szCs w:val="24"/>
        </w:rPr>
        <w:t>.</w:t>
      </w:r>
    </w:p>
    <w:p>
      <w:pPr>
        <w:spacing w:line="480" w:lineRule="auto"/>
        <w:jc w:val="both"/>
        <w:rPr>
          <w:rFonts w:ascii="Times New Roman" w:hAnsi="Times New Roman"/>
          <w:sz w:val="24"/>
          <w:szCs w:val="24"/>
        </w:rPr>
      </w:pPr>
      <w:r>
        <w:rPr>
          <w:rFonts w:ascii="Times New Roman" w:hAnsi="Times New Roman"/>
          <w:b/>
          <w:bCs/>
          <w:sz w:val="24"/>
          <w:szCs w:val="24"/>
        </w:rPr>
        <w:t>2.10.3.3</w:t>
      </w:r>
      <w:r>
        <w:rPr>
          <w:rFonts w:ascii="Times New Roman" w:hAnsi="Times New Roman"/>
          <w:b/>
          <w:bCs/>
          <w:sz w:val="24"/>
          <w:szCs w:val="24"/>
        </w:rPr>
        <w:tab/>
      </w:r>
      <w:r>
        <w:rPr>
          <w:rFonts w:ascii="Times New Roman" w:hAnsi="Times New Roman"/>
          <w:b/>
          <w:bCs/>
          <w:sz w:val="24"/>
          <w:szCs w:val="24"/>
        </w:rPr>
        <w:t xml:space="preserve">Reserve Acidity </w:t>
      </w:r>
    </w:p>
    <w:p>
      <w:pPr>
        <w:spacing w:line="480" w:lineRule="auto"/>
        <w:jc w:val="both"/>
        <w:rPr>
          <w:rFonts w:ascii="Times New Roman" w:hAnsi="Times New Roman"/>
          <w:sz w:val="24"/>
          <w:szCs w:val="24"/>
        </w:rPr>
      </w:pPr>
      <w:r>
        <w:rPr>
          <w:rFonts w:ascii="Times New Roman" w:hAnsi="Times New Roman"/>
          <w:sz w:val="24"/>
          <w:szCs w:val="24"/>
        </w:rPr>
        <w:t>It is the concentration of hydrogen ions attached to clay and organic matter and is measured as buffer pH in a buffer solution the adsorbed H and Al ions pass into the soil solution and its acidity is also known as potential or adsorbed or reserve acidity. In an acid soil, most of the H+ present is absorbed by the soil (reserve acidity)</w:t>
      </w:r>
      <w:r>
        <w:rPr>
          <w:rFonts w:ascii="Times New Roman" w:hAnsi="Times New Roman"/>
          <w:sz w:val="24"/>
          <w:szCs w:val="24"/>
          <w:vertAlign w:val="superscript"/>
        </w:rPr>
        <w:t>87</w:t>
      </w:r>
      <w:r>
        <w:rPr>
          <w:rFonts w:ascii="Times New Roman" w:hAnsi="Times New Roman"/>
          <w:sz w:val="24"/>
          <w:szCs w:val="24"/>
        </w:rPr>
        <w:t>. There is the relationship between the acidity of the active and reserve. But the relationship between the soils is not constant. The type and quantity of clay and the amount of organic matter and free lime in the soil determined it. The reserve-to-active acidity ratio refers to the soil's buffer potential or the soil's ability to resist pH change as the soil's clay and organic matter content increases. Thus, a sandy soil's buffer capacity, or reserve acidity, is much lower than that of a soil that contains more clay, like a silt loam. When the soil pH is 6.3 or lower, the pH buffer is measured to determine the amount of lime needed to neutralize a substantial part of the reserve acidity</w:t>
      </w:r>
      <w:r>
        <w:rPr>
          <w:rFonts w:ascii="Times New Roman" w:hAnsi="Times New Roman"/>
          <w:sz w:val="24"/>
          <w:szCs w:val="24"/>
          <w:vertAlign w:val="superscript"/>
        </w:rPr>
        <w:t>88</w:t>
      </w:r>
      <w:r>
        <w:rPr>
          <w:rFonts w:ascii="Times New Roman" w:hAnsi="Times New Roman"/>
          <w:sz w:val="24"/>
          <w:szCs w:val="24"/>
        </w:rPr>
        <w:t>.</w:t>
      </w:r>
    </w:p>
    <w:p>
      <w:pPr>
        <w:spacing w:line="480" w:lineRule="auto"/>
        <w:jc w:val="both"/>
        <w:rPr>
          <w:rFonts w:ascii="Times New Roman" w:hAnsi="Times New Roman"/>
          <w:b/>
          <w:bCs/>
          <w:sz w:val="24"/>
          <w:szCs w:val="24"/>
        </w:rPr>
      </w:pPr>
      <w:r>
        <w:rPr>
          <w:rFonts w:ascii="Times New Roman" w:hAnsi="Times New Roman"/>
          <w:b/>
          <w:bCs/>
          <w:sz w:val="24"/>
          <w:szCs w:val="24"/>
        </w:rPr>
        <w:t>2.10.4</w:t>
      </w:r>
      <w:r>
        <w:rPr>
          <w:rFonts w:ascii="Times New Roman" w:hAnsi="Times New Roman"/>
          <w:b/>
          <w:bCs/>
          <w:sz w:val="24"/>
          <w:szCs w:val="24"/>
        </w:rPr>
        <w:tab/>
      </w:r>
      <w:r>
        <w:rPr>
          <w:rFonts w:ascii="Times New Roman" w:hAnsi="Times New Roman"/>
          <w:b/>
          <w:bCs/>
          <w:sz w:val="24"/>
          <w:szCs w:val="24"/>
        </w:rPr>
        <w:t>Management of Soil Acidity</w:t>
      </w:r>
    </w:p>
    <w:p>
      <w:pPr>
        <w:spacing w:line="480" w:lineRule="auto"/>
        <w:jc w:val="both"/>
        <w:rPr>
          <w:rFonts w:ascii="Times New Roman" w:hAnsi="Times New Roman"/>
          <w:sz w:val="24"/>
          <w:szCs w:val="24"/>
        </w:rPr>
      </w:pPr>
      <w:r>
        <w:rPr>
          <w:rFonts w:ascii="Times New Roman" w:hAnsi="Times New Roman"/>
          <w:sz w:val="24"/>
          <w:szCs w:val="24"/>
        </w:rPr>
        <w:t xml:space="preserve"> The management of acid soils should aim at improving the production potential by the addition of amendments to correct the acidity and manipulate the agricultural practices to obtain optimum crop yields</w:t>
      </w:r>
      <w:r>
        <w:rPr>
          <w:rFonts w:ascii="Times New Roman" w:hAnsi="Times New Roman"/>
          <w:sz w:val="24"/>
          <w:szCs w:val="24"/>
          <w:vertAlign w:val="superscript"/>
        </w:rPr>
        <w:t>85</w:t>
      </w:r>
      <w:r>
        <w:rPr>
          <w:rFonts w:ascii="Times New Roman" w:hAnsi="Times New Roman"/>
          <w:sz w:val="24"/>
          <w:szCs w:val="24"/>
        </w:rPr>
        <w:t>.</w:t>
      </w:r>
    </w:p>
    <w:p>
      <w:pPr>
        <w:spacing w:line="480" w:lineRule="auto"/>
        <w:jc w:val="both"/>
        <w:rPr>
          <w:rFonts w:ascii="Times New Roman" w:hAnsi="Times New Roman"/>
          <w:sz w:val="24"/>
          <w:szCs w:val="24"/>
        </w:rPr>
      </w:pPr>
      <w:r>
        <w:rPr>
          <w:rFonts w:ascii="Times New Roman" w:hAnsi="Times New Roman"/>
          <w:sz w:val="24"/>
          <w:szCs w:val="24"/>
        </w:rPr>
        <w:t xml:space="preserve"> </w:t>
      </w:r>
    </w:p>
    <w:p>
      <w:pPr>
        <w:spacing w:line="480" w:lineRule="auto"/>
        <w:jc w:val="both"/>
        <w:rPr>
          <w:rFonts w:ascii="Times New Roman" w:hAnsi="Times New Roman"/>
          <w:sz w:val="24"/>
          <w:szCs w:val="24"/>
        </w:rPr>
      </w:pPr>
    </w:p>
    <w:p>
      <w:pPr>
        <w:pStyle w:val="28"/>
        <w:numPr>
          <w:ilvl w:val="3"/>
          <w:numId w:val="4"/>
        </w:numPr>
        <w:spacing w:line="480" w:lineRule="auto"/>
        <w:jc w:val="both"/>
        <w:rPr>
          <w:rFonts w:ascii="Times New Roman" w:hAnsi="Times New Roman"/>
          <w:sz w:val="24"/>
          <w:szCs w:val="24"/>
        </w:rPr>
      </w:pPr>
      <w:r>
        <w:rPr>
          <w:rFonts w:ascii="Times New Roman" w:hAnsi="Times New Roman"/>
          <w:b/>
          <w:bCs/>
          <w:sz w:val="24"/>
          <w:szCs w:val="24"/>
        </w:rPr>
        <w:tab/>
      </w:r>
      <w:r>
        <w:rPr>
          <w:rFonts w:ascii="Times New Roman" w:hAnsi="Times New Roman"/>
          <w:b/>
          <w:bCs/>
          <w:sz w:val="24"/>
          <w:szCs w:val="24"/>
        </w:rPr>
        <w:t xml:space="preserve">Using Lime </w:t>
      </w:r>
    </w:p>
    <w:p>
      <w:pPr>
        <w:spacing w:line="480" w:lineRule="auto"/>
        <w:jc w:val="both"/>
        <w:rPr>
          <w:rFonts w:ascii="Times New Roman" w:hAnsi="Times New Roman"/>
          <w:sz w:val="24"/>
          <w:szCs w:val="24"/>
        </w:rPr>
      </w:pPr>
      <w:r>
        <w:rPr>
          <w:rFonts w:ascii="Times New Roman" w:hAnsi="Times New Roman"/>
          <w:sz w:val="24"/>
          <w:szCs w:val="24"/>
        </w:rPr>
        <w:t>Liming is a major and effective practice to overcome soil acidity constraints and improve crop production on acid soils. The foundation of crop production or ‘‘workhorse’’ in acid soil is called lime</w:t>
      </w:r>
      <w:r>
        <w:rPr>
          <w:rFonts w:ascii="Times New Roman" w:hAnsi="Times New Roman"/>
          <w:sz w:val="24"/>
          <w:szCs w:val="24"/>
          <w:vertAlign w:val="superscript"/>
        </w:rPr>
        <w:t>89</w:t>
      </w:r>
      <w:r>
        <w:rPr>
          <w:rFonts w:ascii="Times New Roman" w:hAnsi="Times New Roman"/>
          <w:sz w:val="24"/>
          <w:szCs w:val="24"/>
        </w:rPr>
        <w:t>. Liming the soil can easily corrected soil acidity, or adding basic materials to neutralize the acid present. The most economical liming materials and relatively easy to manage are calcitic or dolomitic agricultural limestone</w:t>
      </w:r>
      <w:r>
        <w:rPr>
          <w:rFonts w:ascii="Times New Roman" w:hAnsi="Times New Roman"/>
          <w:sz w:val="24"/>
          <w:szCs w:val="24"/>
          <w:vertAlign w:val="superscript"/>
        </w:rPr>
        <w:t>90</w:t>
      </w:r>
      <w:r>
        <w:rPr>
          <w:rFonts w:ascii="Times New Roman" w:hAnsi="Times New Roman"/>
          <w:sz w:val="24"/>
          <w:szCs w:val="24"/>
        </w:rPr>
        <w:t>. Modern agriculture production requires the implementation of efficient, sustainable, and environmentally sound management practices. In order to achieve optimum yields for all crops grown on acidic soils, liming is an essential method</w:t>
      </w:r>
      <w:r>
        <w:rPr>
          <w:rFonts w:ascii="Times New Roman" w:hAnsi="Times New Roman"/>
          <w:sz w:val="24"/>
          <w:szCs w:val="24"/>
          <w:vertAlign w:val="superscript"/>
        </w:rPr>
        <w:t>91</w:t>
      </w:r>
      <w:r>
        <w:rPr>
          <w:rFonts w:ascii="Times New Roman" w:hAnsi="Times New Roman"/>
          <w:sz w:val="24"/>
          <w:szCs w:val="24"/>
        </w:rPr>
        <w:t>. Liming is the most widely used longterm method of soil acidity amelioration</w:t>
      </w:r>
      <w:r>
        <w:rPr>
          <w:rFonts w:ascii="Times New Roman" w:hAnsi="Times New Roman"/>
          <w:sz w:val="24"/>
          <w:szCs w:val="24"/>
          <w:vertAlign w:val="superscript"/>
        </w:rPr>
        <w:t>91</w:t>
      </w:r>
      <w:r>
        <w:rPr>
          <w:rFonts w:ascii="Times New Roman" w:hAnsi="Times New Roman"/>
          <w:sz w:val="24"/>
          <w:szCs w:val="24"/>
        </w:rPr>
        <w:t>. The most economical method of ameliorating soil acidity is liming. The amount of lime needed will depend on the pH profile of the soil, the nature of the lime, the type of soil, the farming method and rainfall</w:t>
      </w:r>
      <w:r>
        <w:rPr>
          <w:rFonts w:ascii="Times New Roman" w:hAnsi="Times New Roman"/>
          <w:sz w:val="24"/>
          <w:szCs w:val="24"/>
          <w:vertAlign w:val="superscript"/>
        </w:rPr>
        <w:t>92</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Lime sand, from coastal dunes, crushed limestone and dolomitic limestone are the main sources of agricultural lime. Carbonate from calcium carbonate and magnesium carbonate is the component in all of these sources that neutralizes acidic soil. The key factors of lime quality are neutralizing value and particle size. The neutralizing value of the lime is expressed as a percentage of pure calcium carbonate which is given a value of 100 %. With a higher neutralizing value, less lime can be used, or more area treated, for the same pH change. Lime with a higher proportion of small particles will react quicker to neutralize acid in the soil, which is beneficial when liming to recover acidic soil</w:t>
      </w:r>
      <w:r>
        <w:rPr>
          <w:rFonts w:ascii="Times New Roman" w:hAnsi="Times New Roman"/>
          <w:sz w:val="24"/>
          <w:szCs w:val="24"/>
          <w:vertAlign w:val="superscript"/>
        </w:rPr>
        <w:t>93</w:t>
      </w:r>
      <w:r>
        <w:rPr>
          <w:rFonts w:ascii="Times New Roman" w:hAnsi="Times New Roman"/>
          <w:sz w:val="24"/>
          <w:szCs w:val="24"/>
        </w:rPr>
        <w:t>. The advantages of liming are that it decreases the risk of toxicity of Mn2 + and Al3 + and improves microbial activity; physical condition (better structure); symbiotic legume fixation of nitrogen; forage palatability; provides an inexpensive source of Ca2+ and Mg2+ when these nutrients are deficient at lower pH; enhances the abundance of nutrients (the availability of P and Mo increases as pH increases at 6.0 – 7.0 but the availability of other micronutrients increases as pH increases).</w:t>
      </w:r>
    </w:p>
    <w:p>
      <w:pPr>
        <w:spacing w:line="480" w:lineRule="auto"/>
        <w:jc w:val="both"/>
        <w:rPr>
          <w:rFonts w:ascii="Times New Roman" w:hAnsi="Times New Roman"/>
          <w:sz w:val="24"/>
          <w:szCs w:val="24"/>
        </w:rPr>
      </w:pPr>
      <w:r>
        <w:rPr>
          <w:rFonts w:ascii="Times New Roman" w:hAnsi="Times New Roman"/>
          <w:sz w:val="24"/>
          <w:szCs w:val="24"/>
        </w:rPr>
        <w:t>The amount of lime to be added to the soil depends on; the change in the pH required; the buffer capacity of the soil (resistance of the soil for change in pH) depends upon CEC and clay content. The higher CEC and clay content, the larger lime content required. (3) The fineness of the liming material. The degree of fineness is equally important in the selection of a liming material since the speed with which the various materials will react is dependent on the surface area that is in contact with the soil. If the soil is coarse, the reaction would be slight; but if fine, the reaction will be extensive. Therefore, for materials such as calcium oxide and calcium hydroxide that are by nature powdery, no problem of fineness is involved. On the other hand, limestone is entirely a different matter since its reaction is related to particle size</w:t>
      </w:r>
      <w:r>
        <w:rPr>
          <w:rFonts w:ascii="Times New Roman" w:hAnsi="Times New Roman"/>
          <w:sz w:val="24"/>
          <w:szCs w:val="24"/>
          <w:vertAlign w:val="superscript"/>
        </w:rPr>
        <w:t>94</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In contrast, with crushing machinery now available, liming materials or limestone can be ground to any degree of fineness. Such ground marble, limestone, and dolomite found in the country could easily be made available fairly quickly and thereby make the process cheaper</w:t>
      </w:r>
      <w:r>
        <w:rPr>
          <w:rFonts w:ascii="Times New Roman" w:hAnsi="Times New Roman"/>
          <w:sz w:val="24"/>
          <w:szCs w:val="24"/>
          <w:vertAlign w:val="superscript"/>
        </w:rPr>
        <w:t>95</w:t>
      </w:r>
      <w:r>
        <w:rPr>
          <w:rFonts w:ascii="Times New Roman" w:hAnsi="Times New Roman"/>
          <w:sz w:val="24"/>
          <w:szCs w:val="24"/>
        </w:rPr>
        <w:t>. Placement: For both direct and indirect effects on soils and plants, since lime particles do not move readily in soils. Consequently, it must be placed where needed and completely mixed with the soil to ensure uniform distribution. For instance, lime applied on the surface of an acid sub- soil could lead to transitory effects since it does not readily and substantially move to effectively bring about the intended soil reaction change for fertility improvement. This means that deeper plowing would be necessary for through blending with the soil</w:t>
      </w:r>
      <w:r>
        <w:rPr>
          <w:rFonts w:ascii="Times New Roman" w:hAnsi="Times New Roman"/>
          <w:sz w:val="24"/>
          <w:szCs w:val="24"/>
          <w:vertAlign w:val="superscript"/>
        </w:rPr>
        <w:t>94</w:t>
      </w:r>
      <w:r>
        <w:rPr>
          <w:rFonts w:ascii="Times New Roman" w:hAnsi="Times New Roman"/>
          <w:sz w:val="24"/>
          <w:szCs w:val="24"/>
        </w:rPr>
        <w:t>.</w:t>
      </w:r>
    </w:p>
    <w:p>
      <w:pPr>
        <w:spacing w:line="480" w:lineRule="auto"/>
        <w:jc w:val="both"/>
        <w:rPr>
          <w:rFonts w:ascii="Times New Roman" w:hAnsi="Times New Roman"/>
          <w:sz w:val="24"/>
          <w:szCs w:val="24"/>
        </w:rPr>
      </w:pPr>
      <w:r>
        <w:rPr>
          <w:rFonts w:ascii="Times New Roman" w:hAnsi="Times New Roman"/>
          <w:b/>
          <w:bCs/>
          <w:sz w:val="24"/>
          <w:szCs w:val="24"/>
        </w:rPr>
        <w:t>2.10.4.2</w:t>
      </w:r>
      <w:r>
        <w:rPr>
          <w:rFonts w:ascii="Times New Roman" w:hAnsi="Times New Roman"/>
          <w:b/>
          <w:bCs/>
          <w:sz w:val="24"/>
          <w:szCs w:val="24"/>
        </w:rPr>
        <w:tab/>
      </w:r>
      <w:r>
        <w:rPr>
          <w:rFonts w:ascii="Times New Roman" w:hAnsi="Times New Roman"/>
          <w:b/>
          <w:bCs/>
          <w:sz w:val="24"/>
          <w:szCs w:val="24"/>
        </w:rPr>
        <w:t>Organic Matter and Crop Systems to Reduce Acid Soils</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Soil organic matter maintenance and management are central to the sustainability of soil fertility in the tropics</w:t>
      </w:r>
      <w:r>
        <w:rPr>
          <w:rFonts w:ascii="Times New Roman" w:hAnsi="Times New Roman"/>
          <w:sz w:val="24"/>
          <w:szCs w:val="24"/>
          <w:vertAlign w:val="superscript"/>
        </w:rPr>
        <w:t>96,97</w:t>
      </w:r>
      <w:r>
        <w:rPr>
          <w:rFonts w:ascii="Times New Roman" w:hAnsi="Times New Roman"/>
          <w:sz w:val="24"/>
          <w:szCs w:val="24"/>
        </w:rPr>
        <w:t>. In low input agricultural systems in the tropics, soil organic matter helps retain mineral nutrients in the soils and makes them available to plants in small amounts over many years as soil organic matter in mineralized. Soil organic matter increases the soil flora and fauna (associated with the soil aggregation, improved infiltration of water, and reduced soil erosion), complex toxic Al</w:t>
      </w:r>
      <w:r>
        <w:rPr>
          <w:rFonts w:ascii="Times New Roman" w:hAnsi="Times New Roman"/>
          <w:sz w:val="24"/>
          <w:szCs w:val="24"/>
          <w:vertAlign w:val="superscript"/>
        </w:rPr>
        <w:t>3+</w:t>
      </w:r>
      <w:r>
        <w:rPr>
          <w:rFonts w:ascii="Times New Roman" w:hAnsi="Times New Roman"/>
          <w:sz w:val="24"/>
          <w:szCs w:val="24"/>
        </w:rPr>
        <w:t xml:space="preserve"> and Mn</w:t>
      </w:r>
      <w:r>
        <w:rPr>
          <w:rFonts w:ascii="Times New Roman" w:hAnsi="Times New Roman"/>
          <w:sz w:val="24"/>
          <w:szCs w:val="24"/>
          <w:vertAlign w:val="superscript"/>
        </w:rPr>
        <w:t>2+</w:t>
      </w:r>
      <w:r>
        <w:rPr>
          <w:rFonts w:ascii="Times New Roman" w:hAnsi="Times New Roman"/>
          <w:sz w:val="24"/>
          <w:szCs w:val="24"/>
        </w:rPr>
        <w:t xml:space="preserve"> ions (leading to better rooting), increases the buffering capacity of low activity clay soils, and increases water holding capacity</w:t>
      </w:r>
      <w:r>
        <w:rPr>
          <w:rFonts w:ascii="Times New Roman" w:hAnsi="Times New Roman"/>
          <w:sz w:val="24"/>
          <w:szCs w:val="24"/>
          <w:vertAlign w:val="superscript"/>
        </w:rPr>
        <w:t>97</w:t>
      </w:r>
      <w:r>
        <w:rPr>
          <w:rFonts w:ascii="Times New Roman" w:hAnsi="Times New Roman"/>
          <w:sz w:val="24"/>
          <w:szCs w:val="24"/>
        </w:rPr>
        <w:t>. Although the use of liming materials is the most effective way of managing and correcting soil acidity, numerous studies reviewed by have shown that the application of organic matter such as compost, manure, and un decomposed plant residues can ameliorate the effect of soil acidity on crop growth</w:t>
      </w:r>
      <w:r>
        <w:rPr>
          <w:rFonts w:ascii="Times New Roman" w:hAnsi="Times New Roman"/>
          <w:sz w:val="24"/>
          <w:szCs w:val="24"/>
          <w:vertAlign w:val="superscript"/>
        </w:rPr>
        <w:t>96</w:t>
      </w:r>
      <w:r>
        <w:rPr>
          <w:rFonts w:ascii="Times New Roman" w:hAnsi="Times New Roman"/>
          <w:sz w:val="24"/>
          <w:szCs w:val="24"/>
        </w:rPr>
        <w:t xml:space="preserve">. </w:t>
      </w:r>
    </w:p>
    <w:p>
      <w:pPr>
        <w:spacing w:line="480" w:lineRule="auto"/>
        <w:jc w:val="both"/>
        <w:rPr>
          <w:rFonts w:ascii="Times New Roman" w:hAnsi="Times New Roman"/>
          <w:sz w:val="24"/>
          <w:szCs w:val="24"/>
        </w:rPr>
      </w:pPr>
      <w:r>
        <w:rPr>
          <w:rFonts w:ascii="Times New Roman" w:hAnsi="Times New Roman"/>
          <w:sz w:val="24"/>
          <w:szCs w:val="24"/>
        </w:rPr>
        <w:t>However, organic amendment in the longer term as they decompose, have an acidifying effect on soils. Nevertheless, for farmers who do not have access to agricultural liming materials either because of they are unavailable or too costly, these materials may be useful as a partial short-term solution to soil acidity</w:t>
      </w:r>
      <w:r>
        <w:rPr>
          <w:rFonts w:ascii="Times New Roman" w:hAnsi="Times New Roman"/>
          <w:sz w:val="24"/>
          <w:szCs w:val="24"/>
          <w:vertAlign w:val="superscript"/>
        </w:rPr>
        <w:t>84</w:t>
      </w:r>
      <w:r>
        <w:rPr>
          <w:rFonts w:ascii="Times New Roman" w:hAnsi="Times New Roman"/>
          <w:sz w:val="24"/>
          <w:szCs w:val="24"/>
        </w:rPr>
        <w:t>. Organic Fertilizers applying animal manure may either increase or decrease the soil acidity. Some soil acidity is generated by decomposition of organic matter in manure, resulting in the production of organic and inorganic acids. However, manure often contains enough basic cations and carbonate ions to neutralize this acidification effect as well as some existing soil acidity. Manure samples can be analyzed to determine the liming value</w:t>
      </w:r>
      <w:r>
        <w:rPr>
          <w:rFonts w:ascii="Times New Roman" w:hAnsi="Times New Roman"/>
          <w:sz w:val="24"/>
          <w:szCs w:val="24"/>
          <w:vertAlign w:val="superscript"/>
        </w:rPr>
        <w:t>84</w:t>
      </w:r>
      <w:r>
        <w:rPr>
          <w:rFonts w:ascii="Times New Roman" w:hAnsi="Times New Roman"/>
          <w:sz w:val="24"/>
          <w:szCs w:val="24"/>
        </w:rPr>
        <w:t>.</w:t>
      </w:r>
    </w:p>
    <w:p>
      <w:pPr>
        <w:spacing w:line="480" w:lineRule="auto"/>
        <w:jc w:val="both"/>
        <w:rPr>
          <w:rFonts w:ascii="Times New Roman" w:hAnsi="Times New Roman"/>
          <w:b/>
          <w:bCs/>
          <w:sz w:val="24"/>
          <w:szCs w:val="24"/>
        </w:rPr>
      </w:pPr>
      <w:r>
        <w:rPr>
          <w:rFonts w:ascii="Times New Roman" w:hAnsi="Times New Roman"/>
          <w:b/>
          <w:bCs/>
          <w:sz w:val="24"/>
          <w:szCs w:val="24"/>
        </w:rPr>
        <w:t>2.10.4.3</w:t>
      </w:r>
      <w:r>
        <w:rPr>
          <w:rFonts w:ascii="Times New Roman" w:hAnsi="Times New Roman"/>
          <w:b/>
          <w:bCs/>
          <w:sz w:val="24"/>
          <w:szCs w:val="24"/>
        </w:rPr>
        <w:tab/>
      </w:r>
      <w:r>
        <w:rPr>
          <w:rFonts w:ascii="Times New Roman" w:hAnsi="Times New Roman"/>
          <w:b/>
          <w:bCs/>
          <w:sz w:val="24"/>
          <w:szCs w:val="24"/>
        </w:rPr>
        <w:t xml:space="preserve">Use of Plant Tolerance to Soil Acidity </w:t>
      </w:r>
    </w:p>
    <w:p>
      <w:pPr>
        <w:spacing w:line="480" w:lineRule="auto"/>
        <w:jc w:val="both"/>
        <w:rPr>
          <w:rFonts w:ascii="Times New Roman" w:hAnsi="Times New Roman"/>
          <w:sz w:val="24"/>
          <w:szCs w:val="24"/>
        </w:rPr>
      </w:pPr>
      <w:r>
        <w:rPr>
          <w:rFonts w:ascii="Times New Roman" w:hAnsi="Times New Roman"/>
          <w:sz w:val="24"/>
          <w:szCs w:val="24"/>
        </w:rPr>
        <w:t>Using tolerant species or varieties of crops and pasture will decrease the impact of soil acidity if soil pH is low</w:t>
      </w:r>
      <w:r>
        <w:rPr>
          <w:rFonts w:ascii="Times New Roman" w:hAnsi="Times New Roman"/>
          <w:sz w:val="24"/>
          <w:szCs w:val="24"/>
          <w:vertAlign w:val="superscript"/>
        </w:rPr>
        <w:t>98</w:t>
      </w:r>
      <w:r>
        <w:rPr>
          <w:rFonts w:ascii="Times New Roman" w:hAnsi="Times New Roman"/>
          <w:sz w:val="24"/>
          <w:szCs w:val="24"/>
        </w:rPr>
        <w:t>. This is not a permanent solution because the soil will continue to acidify without liming treatment. The rate of soil acidification can be minimized through a variety of management activities</w:t>
      </w:r>
      <w:r>
        <w:rPr>
          <w:rFonts w:ascii="Times New Roman" w:hAnsi="Times New Roman"/>
          <w:sz w:val="24"/>
          <w:szCs w:val="24"/>
          <w:vertAlign w:val="superscript"/>
        </w:rPr>
        <w:t>92</w:t>
      </w:r>
      <w:r>
        <w:rPr>
          <w:rFonts w:ascii="Times New Roman" w:hAnsi="Times New Roman"/>
          <w:sz w:val="24"/>
          <w:szCs w:val="24"/>
        </w:rPr>
        <w:t xml:space="preserve">. Management of nitrogen fertilizer input to reduce nitrate leaching is most important in high rainfall areas. Product export can be reduced by feeding hay back onto paddocks from where it has been cut. Less acidifying selections will also aid in rotations, e.g. replace legume hay with a less acidifying crop or pasture. Cultivated crops vary in their tolerance to soil acidity. </w:t>
      </w:r>
    </w:p>
    <w:p>
      <w:pPr>
        <w:spacing w:line="480" w:lineRule="auto"/>
        <w:jc w:val="both"/>
        <w:rPr>
          <w:rFonts w:ascii="Times New Roman" w:hAnsi="Times New Roman"/>
          <w:sz w:val="24"/>
          <w:szCs w:val="24"/>
        </w:rPr>
      </w:pPr>
      <w:r>
        <w:rPr>
          <w:rFonts w:ascii="Times New Roman" w:hAnsi="Times New Roman"/>
          <w:sz w:val="24"/>
          <w:szCs w:val="24"/>
        </w:rPr>
        <w:t>Therefore, selecting and growing species and variety adaptable to acidic soils is one solution</w:t>
      </w:r>
      <w:r>
        <w:rPr>
          <w:rFonts w:ascii="Times New Roman" w:hAnsi="Times New Roman"/>
          <w:sz w:val="24"/>
          <w:szCs w:val="24"/>
          <w:vertAlign w:val="superscript"/>
        </w:rPr>
        <w:t>99</w:t>
      </w:r>
      <w:r>
        <w:rPr>
          <w:rFonts w:ascii="Times New Roman" w:hAnsi="Times New Roman"/>
          <w:sz w:val="24"/>
          <w:szCs w:val="24"/>
        </w:rPr>
        <w:t>. Perhaps more relevant as a strategy of last resort, where soil pH has fallen to values less than six, plant breeding or biotechnology to improve resistance of plants and microbes to acidity is warranted. For example, recent research indicates the existence of genes for Al tolerance in plants and bacteria such as rhizobia. Furthermore, alternative means to chelate Al to reduce its toxic effect in the rhizosphere of plants would be the selection of crop or pasture cultivars excreting organic acids, such as citrate, gluconate, malate or oxalate. Such resistance has been further described in the root apices are the target site of Al toxicity</w:t>
      </w:r>
      <w:r>
        <w:rPr>
          <w:rFonts w:ascii="Times New Roman" w:hAnsi="Times New Roman"/>
          <w:sz w:val="24"/>
          <w:szCs w:val="24"/>
          <w:vertAlign w:val="superscript"/>
        </w:rPr>
        <w:t>100</w:t>
      </w:r>
      <w:r>
        <w:rPr>
          <w:rFonts w:ascii="Times New Roman" w:hAnsi="Times New Roman"/>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2.11</w:t>
      </w:r>
      <w:r>
        <w:rPr>
          <w:rFonts w:ascii="Times New Roman" w:hAnsi="Times New Roman"/>
          <w:b/>
          <w:color w:val="000000"/>
          <w:sz w:val="24"/>
          <w:szCs w:val="24"/>
        </w:rPr>
        <w:tab/>
      </w:r>
      <w:r>
        <w:rPr>
          <w:rFonts w:ascii="Times New Roman" w:hAnsi="Times New Roman"/>
          <w:b/>
          <w:color w:val="000000"/>
          <w:sz w:val="24"/>
          <w:szCs w:val="24"/>
        </w:rPr>
        <w:t>Relationship between Soil Acidity and Soil Microbial Population</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Over the past few decades, there has been clear documentation of soil acidification</w:t>
      </w:r>
      <w:r>
        <w:rPr>
          <w:rFonts w:ascii="Times New Roman" w:hAnsi="Times New Roman"/>
          <w:color w:val="000000"/>
          <w:sz w:val="24"/>
          <w:szCs w:val="24"/>
          <w:vertAlign w:val="superscript"/>
        </w:rPr>
        <w:t>101</w:t>
      </w:r>
      <w:r>
        <w:rPr>
          <w:rFonts w:ascii="Times New Roman" w:hAnsi="Times New Roman"/>
          <w:color w:val="000000"/>
          <w:sz w:val="24"/>
          <w:szCs w:val="24"/>
        </w:rPr>
        <w:t>. Soil chemistry and biology undergo pH-driven changes, including aluminum (Al) toxicity, which can significantly influence microbial community structure and function. This, in turn, alters nutrient cycling, crop productivity, and overall ecosystem services. It is evident that any disturbance in soil microbial balance can lead to reduced soil microbial health, subsequently impacting the productivity of cropping systems.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Acidic soils tend to favor a higher proportion of fungi in soil communities since many soil bacteria are not well-tolerated in acidic conditions</w:t>
      </w:r>
      <w:r>
        <w:rPr>
          <w:rFonts w:ascii="Times New Roman" w:hAnsi="Times New Roman"/>
          <w:color w:val="000000"/>
          <w:sz w:val="24"/>
          <w:szCs w:val="24"/>
          <w:vertAlign w:val="superscript"/>
        </w:rPr>
        <w:t>102</w:t>
      </w:r>
      <w:r>
        <w:rPr>
          <w:rFonts w:ascii="Times New Roman" w:hAnsi="Times New Roman"/>
          <w:color w:val="000000"/>
          <w:sz w:val="24"/>
          <w:szCs w:val="24"/>
        </w:rPr>
        <w:t>. Fungi can make up as much as 75% of the soil microbial biomass, with hyphal length reaching nearly 176 miles per ounce of soil in agroecosystems</w:t>
      </w:r>
      <w:r>
        <w:rPr>
          <w:rFonts w:ascii="Times New Roman" w:hAnsi="Times New Roman"/>
          <w:color w:val="000000"/>
          <w:sz w:val="24"/>
          <w:szCs w:val="24"/>
          <w:vertAlign w:val="superscript"/>
        </w:rPr>
        <w:t>103</w:t>
      </w:r>
      <w:r>
        <w:rPr>
          <w:rFonts w:ascii="Times New Roman" w:hAnsi="Times New Roman"/>
          <w:color w:val="000000"/>
          <w:sz w:val="24"/>
          <w:szCs w:val="24"/>
        </w:rPr>
        <w:t>. While many of these soil fungi primarily contribute to decomposition processes and nutrient cycling, they can also aid in the remediation of metals, including Al, in acidic conditions. The binding of Al by fungi at low soil pH is one of the various ways they can contribute to improving soil and plant health</w:t>
      </w:r>
      <w:r>
        <w:rPr>
          <w:rFonts w:ascii="Times New Roman" w:hAnsi="Times New Roman"/>
          <w:color w:val="000000"/>
          <w:sz w:val="24"/>
          <w:szCs w:val="24"/>
          <w:vertAlign w:val="superscript"/>
        </w:rPr>
        <w:t>104</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2.12</w:t>
      </w:r>
      <w:r>
        <w:rPr>
          <w:rFonts w:ascii="Times New Roman" w:hAnsi="Times New Roman"/>
          <w:b/>
          <w:color w:val="000000"/>
          <w:sz w:val="24"/>
          <w:szCs w:val="24"/>
        </w:rPr>
        <w:tab/>
      </w:r>
      <w:r>
        <w:rPr>
          <w:rFonts w:ascii="Times New Roman" w:hAnsi="Times New Roman"/>
          <w:b/>
          <w:color w:val="000000"/>
          <w:sz w:val="24"/>
          <w:szCs w:val="24"/>
        </w:rPr>
        <w:t>Direct Effects of pH on Microorganisms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Most microorganisms have a distinct pH optimum for growth and can thrive within a specific pH range. Only a few species can thrive at pH 10, known as alkalinophiles. However, when trying to apply the effects of pH observed in controlled culture systems (such as flasks or agar-plate cultures with pH-regulating buffers), difficulties arise when extrapolating them to the complex and open system of a soil profile. Culture systems like chemostats provide a means to maintain a constant growth rate and biomass of microorganisms by continuously supplying growth-limiting substrate and regulating pH through automated inclusion of acid or alkali</w:t>
      </w:r>
      <w:r>
        <w:rPr>
          <w:rFonts w:ascii="Times New Roman" w:hAnsi="Times New Roman"/>
          <w:color w:val="000000"/>
          <w:sz w:val="24"/>
          <w:szCs w:val="24"/>
          <w:vertAlign w:val="superscript"/>
        </w:rPr>
        <w:t>105</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Using such culture systems, researchers can investigate the impact of pH on the maximum specific growth rate of microorganisms. Additionally, these systems allow the study of the influence of pH on the end products of metabolism, which can, in turn, affect soils and plants. For instance, in anaerobic metabolism, certain bacteria like clostridia tend to secrete neutral products at acidic pH levels, but at alkaline pH levels, they secrete organic acids that can be harmful to plants (phytotoxic)</w:t>
      </w:r>
      <w:r>
        <w:rPr>
          <w:rFonts w:ascii="Times New Roman" w:hAnsi="Times New Roman"/>
          <w:color w:val="000000"/>
          <w:sz w:val="24"/>
          <w:szCs w:val="24"/>
          <w:vertAlign w:val="superscript"/>
        </w:rPr>
        <w:t>106</w:t>
      </w:r>
      <w:r>
        <w:rPr>
          <w:rFonts w:ascii="Times New Roman" w:hAnsi="Times New Roman"/>
          <w:color w:val="000000"/>
          <w:sz w:val="24"/>
          <w:szCs w:val="24"/>
        </w:rPr>
        <w:t xml:space="preserve">.  pH can also regulate the composition of the product formed by microorganisms. For instance, streptococci and lactobacilli, under acidic conditions, predominantly produce lactic acid, while raising the pH results in the formation of phytotoxic acetic acid as well as formic acid. Fungi generally have pH optima that are lower than those of bacteria, and their metabolism is also controlled by pH. For instance, in </w:t>
      </w:r>
      <w:r>
        <w:rPr>
          <w:rFonts w:ascii="Times New Roman" w:hAnsi="Times New Roman"/>
          <w:i/>
          <w:iCs/>
          <w:color w:val="000000"/>
          <w:sz w:val="24"/>
          <w:szCs w:val="24"/>
        </w:rPr>
        <w:t>Aspergillus</w:t>
      </w:r>
      <w:r>
        <w:rPr>
          <w:rFonts w:ascii="Times New Roman" w:hAnsi="Times New Roman"/>
          <w:color w:val="000000"/>
          <w:sz w:val="24"/>
          <w:szCs w:val="24"/>
        </w:rPr>
        <w:t xml:space="preserve"> </w:t>
      </w:r>
      <w:r>
        <w:rPr>
          <w:rFonts w:ascii="Times New Roman" w:hAnsi="Times New Roman"/>
          <w:i/>
          <w:iCs/>
          <w:color w:val="000000"/>
          <w:sz w:val="24"/>
          <w:szCs w:val="24"/>
        </w:rPr>
        <w:t>nidulans</w:t>
      </w:r>
      <w:r>
        <w:rPr>
          <w:rFonts w:ascii="Times New Roman" w:hAnsi="Times New Roman"/>
          <w:color w:val="000000"/>
          <w:sz w:val="24"/>
          <w:szCs w:val="24"/>
        </w:rPr>
        <w:t>, the specific rate of melanin formation remains relatively constant at pH values ranging from 3 to 7, but it increases significantly by twenty-fold between pH 7 and 7.9</w:t>
      </w:r>
      <w:r>
        <w:rPr>
          <w:rFonts w:ascii="Times New Roman" w:hAnsi="Times New Roman"/>
          <w:color w:val="000000"/>
          <w:sz w:val="24"/>
          <w:szCs w:val="24"/>
          <w:vertAlign w:val="superscript"/>
        </w:rPr>
        <w:t>107</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The physicochemical environment of soil particles, along with the related organic fractions, </w:t>
      </w:r>
      <w:r>
        <w:rPr>
          <w:rFonts w:ascii="Times New Roman" w:hAnsi="Times New Roman"/>
          <w:color w:val="000000"/>
          <w:sz w:val="24"/>
          <w:szCs w:val="24"/>
        </w:rPr>
        <w:t>adds complexity to determining the actual pH experienced by microbial cells and their exoenzymes. Bacterial cells are typically surrounded by polysaccharides (mucilage) to which clay particles adhere, and these particles generally carry a net negative charge. As bacterial cells also have a net negative charge, they need to polarize their surface charge. The net surface charge of these cells is influenced by the pH of the environment</w:t>
      </w:r>
      <w:r>
        <w:rPr>
          <w:rFonts w:ascii="Times New Roman" w:hAnsi="Times New Roman"/>
          <w:color w:val="000000"/>
          <w:sz w:val="24"/>
          <w:szCs w:val="24"/>
          <w:vertAlign w:val="superscript"/>
        </w:rPr>
        <w:t>108</w:t>
      </w:r>
      <w:r>
        <w:rPr>
          <w:rFonts w:ascii="Times New Roman" w:hAnsi="Times New Roman"/>
          <w:color w:val="000000"/>
          <w:sz w:val="24"/>
          <w:szCs w:val="24"/>
        </w:rPr>
        <w:t xml:space="preserve">. </w:t>
      </w:r>
      <w:bookmarkStart w:id="20" w:name="_Toc132200936"/>
      <w:r>
        <w:rPr>
          <w:rFonts w:ascii="Times New Roman" w:hAnsi="Times New Roman"/>
          <w:color w:val="000000"/>
          <w:sz w:val="24"/>
          <w:szCs w:val="24"/>
        </w:rPr>
        <w:t>Additionally, numerous soil enzymes are reactive to changes in pH. For instance, acidic soils generally exhibit acid phosphatase activity, with little or no alkaline phosphatase activity</w:t>
      </w:r>
      <w:r>
        <w:rPr>
          <w:rFonts w:ascii="Times New Roman" w:hAnsi="Times New Roman"/>
          <w:color w:val="000000"/>
          <w:sz w:val="24"/>
          <w:szCs w:val="24"/>
          <w:vertAlign w:val="superscript"/>
        </w:rPr>
        <w:t>109</w:t>
      </w:r>
      <w:r>
        <w:rPr>
          <w:rFonts w:ascii="Times New Roman" w:hAnsi="Times New Roman"/>
          <w:color w:val="000000"/>
          <w:sz w:val="24"/>
          <w:szCs w:val="24"/>
        </w:rPr>
        <w:t>. Achieving a balance of acid and alkaline phosphatases is ideal, and liming acid soils might be beneficial in restoring this balance and maximizing the utilization of the soil phosphorus pool.</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Nitrification plays a crucial role among autotrophic processes in the soil, involving the successive oxidation of ammonium by bacteria like </w:t>
      </w:r>
      <w:r>
        <w:rPr>
          <w:rFonts w:ascii="Times New Roman" w:hAnsi="Times New Roman"/>
          <w:i/>
          <w:iCs/>
          <w:color w:val="000000"/>
          <w:sz w:val="24"/>
          <w:szCs w:val="24"/>
        </w:rPr>
        <w:t>Nitrosomonas</w:t>
      </w:r>
      <w:r>
        <w:rPr>
          <w:rFonts w:ascii="Times New Roman" w:hAnsi="Times New Roman"/>
          <w:color w:val="000000"/>
          <w:sz w:val="24"/>
          <w:szCs w:val="24"/>
        </w:rPr>
        <w:t xml:space="preserve"> and </w:t>
      </w:r>
      <w:r>
        <w:rPr>
          <w:rFonts w:ascii="Times New Roman" w:hAnsi="Times New Roman"/>
          <w:i/>
          <w:iCs/>
          <w:color w:val="000000"/>
          <w:sz w:val="24"/>
          <w:szCs w:val="24"/>
        </w:rPr>
        <w:t>Nitrobacter</w:t>
      </w:r>
      <w:r>
        <w:rPr>
          <w:rFonts w:ascii="Times New Roman" w:hAnsi="Times New Roman"/>
          <w:color w:val="000000"/>
          <w:sz w:val="24"/>
          <w:szCs w:val="24"/>
        </w:rPr>
        <w:t xml:space="preserve"> to nitrite and nitrate. However, this process is inhibited by pH levels below 7.5</w:t>
      </w:r>
      <w:r>
        <w:rPr>
          <w:rFonts w:ascii="Times New Roman" w:hAnsi="Times New Roman"/>
          <w:color w:val="000000"/>
          <w:sz w:val="24"/>
          <w:szCs w:val="24"/>
          <w:vertAlign w:val="superscript"/>
        </w:rPr>
        <w:t>110</w:t>
      </w:r>
      <w:r>
        <w:rPr>
          <w:rFonts w:ascii="Times New Roman" w:hAnsi="Times New Roman"/>
          <w:color w:val="000000"/>
          <w:sz w:val="24"/>
          <w:szCs w:val="24"/>
        </w:rPr>
        <w:t xml:space="preserve">. A study was conducted using a continuous-flow column filled with glass beads and inoculated with </w:t>
      </w:r>
      <w:r>
        <w:rPr>
          <w:rFonts w:ascii="Times New Roman" w:hAnsi="Times New Roman"/>
          <w:i/>
          <w:iCs/>
          <w:color w:val="000000"/>
          <w:sz w:val="24"/>
          <w:szCs w:val="24"/>
        </w:rPr>
        <w:t>Nitrobacter</w:t>
      </w:r>
      <w:r>
        <w:rPr>
          <w:rFonts w:ascii="Times New Roman" w:hAnsi="Times New Roman"/>
          <w:color w:val="000000"/>
          <w:sz w:val="24"/>
          <w:szCs w:val="24"/>
        </w:rPr>
        <w:t xml:space="preserve"> </w:t>
      </w:r>
      <w:r>
        <w:rPr>
          <w:rFonts w:ascii="Times New Roman" w:hAnsi="Times New Roman"/>
          <w:i/>
          <w:iCs/>
          <w:color w:val="000000"/>
          <w:sz w:val="24"/>
          <w:szCs w:val="24"/>
        </w:rPr>
        <w:t>agilis</w:t>
      </w:r>
      <w:r>
        <w:rPr>
          <w:rFonts w:ascii="Times New Roman" w:hAnsi="Times New Roman"/>
          <w:color w:val="000000"/>
          <w:sz w:val="24"/>
          <w:szCs w:val="24"/>
        </w:rPr>
        <w:t xml:space="preserve"> and </w:t>
      </w:r>
      <w:r>
        <w:rPr>
          <w:rFonts w:ascii="Times New Roman" w:hAnsi="Times New Roman"/>
          <w:i/>
          <w:iCs/>
          <w:color w:val="000000"/>
          <w:sz w:val="24"/>
          <w:szCs w:val="24"/>
        </w:rPr>
        <w:t>Nitrosomonas</w:t>
      </w:r>
      <w:r>
        <w:rPr>
          <w:rFonts w:ascii="Times New Roman" w:hAnsi="Times New Roman"/>
          <w:color w:val="000000"/>
          <w:sz w:val="24"/>
          <w:szCs w:val="24"/>
        </w:rPr>
        <w:t xml:space="preserve"> </w:t>
      </w:r>
      <w:r>
        <w:rPr>
          <w:rFonts w:ascii="Times New Roman" w:hAnsi="Times New Roman"/>
          <w:i/>
          <w:iCs/>
          <w:color w:val="000000"/>
          <w:sz w:val="24"/>
          <w:szCs w:val="24"/>
        </w:rPr>
        <w:t>europea</w:t>
      </w:r>
      <w:r>
        <w:rPr>
          <w:rFonts w:ascii="Times New Roman" w:hAnsi="Times New Roman"/>
          <w:iCs/>
          <w:color w:val="000000"/>
          <w:sz w:val="24"/>
          <w:szCs w:val="24"/>
          <w:vertAlign w:val="superscript"/>
        </w:rPr>
        <w:t>111</w:t>
      </w:r>
      <w:r>
        <w:rPr>
          <w:rFonts w:ascii="Times New Roman" w:hAnsi="Times New Roman"/>
          <w:color w:val="000000"/>
          <w:sz w:val="24"/>
          <w:szCs w:val="24"/>
        </w:rPr>
        <w:t>. The researchers observed a direct correlation between decreasing pH levels and transformation of ammonium to nitrate within the column. Furthermore, the investigation focused on the influence of humic acids on the nitrification process. Two sources of humic acid were examined: one gotten commercially from peat and the other gotten from fresh mushroom compost. At concentrations exceeding 100 /1g cm-3, humic acid also hindered nitrification. Nevertheless, at that particular concentration, the humic acid derived from compost, and to a lesser extent the material derived from peat, exhibited the ability to counteract the inhibitory impact of pH on nitrification. The findings suggest that for the peat-derived material, humic acid might have functioned mainly as a buffer. However, this was not the case for the compost-derived humic acid, as nitrification continued even with decreased effluent pH. These results support the need to investigate nitrification in soil concerning both pH and humic acid levels, as there is potential for regulation. This becomes especially important considering that many consider nitrate leaching as the main contributor to soil acidification.</w:t>
      </w: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480" w:lineRule="auto"/>
        <w:jc w:val="both"/>
        <w:rPr>
          <w:rFonts w:ascii="Times New Roman" w:hAnsi="Times New Roman"/>
          <w:b/>
          <w:color w:val="000000"/>
          <w:sz w:val="24"/>
          <w:szCs w:val="24"/>
        </w:rPr>
      </w:pPr>
      <w:r>
        <w:rPr>
          <w:rFonts w:ascii="Times New Roman" w:hAnsi="Times New Roman"/>
          <w:b/>
          <w:sz w:val="24"/>
          <w:szCs w:val="24"/>
        </w:rPr>
        <w:t>2.13</w:t>
      </w:r>
      <w:r>
        <w:rPr>
          <w:rFonts w:ascii="Times New Roman" w:hAnsi="Times New Roman"/>
          <w:b/>
          <w:sz w:val="24"/>
          <w:szCs w:val="24"/>
        </w:rPr>
        <w:tab/>
      </w:r>
      <w:r>
        <w:rPr>
          <w:rFonts w:ascii="Times New Roman" w:hAnsi="Times New Roman"/>
          <w:b/>
          <w:sz w:val="24"/>
          <w:szCs w:val="24"/>
        </w:rPr>
        <w:t>Soil Microorganisms and Association with Livestock Litters</w:t>
      </w:r>
      <w:bookmarkEnd w:id="20"/>
    </w:p>
    <w:p>
      <w:pPr>
        <w:spacing w:after="120" w:line="480" w:lineRule="auto"/>
        <w:jc w:val="both"/>
        <w:rPr>
          <w:rFonts w:ascii="Times New Roman" w:hAnsi="Times New Roman"/>
          <w:color w:val="000000"/>
          <w:sz w:val="24"/>
          <w:szCs w:val="24"/>
        </w:rPr>
      </w:pPr>
      <w:bookmarkStart w:id="21" w:name="_Hlk124425885"/>
      <w:r>
        <w:rPr>
          <w:rFonts w:ascii="Times New Roman" w:hAnsi="Times New Roman"/>
          <w:color w:val="000000"/>
          <w:sz w:val="24"/>
          <w:szCs w:val="24"/>
        </w:rPr>
        <w:t>Poultry litter is an optimal environment for growth of fungi. About 17 distinct kinds of fungi have been discovered in commercial poultry litte</w:t>
      </w:r>
      <w:r>
        <w:rPr>
          <w:rFonts w:ascii="Times New Roman" w:hAnsi="Times New Roman"/>
          <w:color w:val="000000"/>
          <w:sz w:val="24"/>
          <w:szCs w:val="24"/>
          <w:vertAlign w:val="superscript"/>
        </w:rPr>
        <w:t>112</w:t>
      </w:r>
      <w:r>
        <w:rPr>
          <w:rFonts w:ascii="Times New Roman" w:hAnsi="Times New Roman"/>
          <w:color w:val="000000"/>
          <w:sz w:val="24"/>
          <w:szCs w:val="24"/>
        </w:rPr>
        <w:t xml:space="preserve">. These fungi comprised of </w:t>
      </w:r>
      <w:r>
        <w:rPr>
          <w:rFonts w:ascii="Times New Roman" w:hAnsi="Times New Roman"/>
          <w:i/>
          <w:color w:val="000000"/>
          <w:sz w:val="24"/>
          <w:szCs w:val="24"/>
        </w:rPr>
        <w:t>penicillum</w:t>
      </w:r>
      <w:r>
        <w:rPr>
          <w:rFonts w:ascii="Times New Roman" w:hAnsi="Times New Roman"/>
          <w:color w:val="000000"/>
          <w:sz w:val="24"/>
          <w:szCs w:val="24"/>
        </w:rPr>
        <w:t xml:space="preserve">, </w:t>
      </w:r>
      <w:r>
        <w:rPr>
          <w:rFonts w:ascii="Times New Roman" w:hAnsi="Times New Roman"/>
          <w:i/>
          <w:color w:val="000000"/>
          <w:sz w:val="24"/>
          <w:szCs w:val="24"/>
        </w:rPr>
        <w:t>aspergillus</w:t>
      </w:r>
      <w:r>
        <w:rPr>
          <w:rFonts w:ascii="Times New Roman" w:hAnsi="Times New Roman"/>
          <w:color w:val="000000"/>
          <w:sz w:val="24"/>
          <w:szCs w:val="24"/>
        </w:rPr>
        <w:t xml:space="preserve">, </w:t>
      </w:r>
      <w:r>
        <w:rPr>
          <w:rFonts w:ascii="Times New Roman" w:hAnsi="Times New Roman"/>
          <w:i/>
          <w:color w:val="000000"/>
          <w:sz w:val="24"/>
          <w:szCs w:val="24"/>
        </w:rPr>
        <w:t>scopulariopsis</w:t>
      </w:r>
      <w:r>
        <w:rPr>
          <w:rFonts w:ascii="Times New Roman" w:hAnsi="Times New Roman"/>
          <w:color w:val="000000"/>
          <w:sz w:val="24"/>
          <w:szCs w:val="24"/>
        </w:rPr>
        <w:t xml:space="preserve">, and </w:t>
      </w:r>
      <w:r>
        <w:rPr>
          <w:rFonts w:ascii="Times New Roman" w:hAnsi="Times New Roman"/>
          <w:i/>
          <w:color w:val="000000"/>
          <w:sz w:val="24"/>
          <w:szCs w:val="24"/>
        </w:rPr>
        <w:t>candida</w:t>
      </w:r>
      <w:r>
        <w:rPr>
          <w:rFonts w:ascii="Times New Roman" w:hAnsi="Times New Roman"/>
          <w:color w:val="000000"/>
          <w:sz w:val="24"/>
          <w:szCs w:val="24"/>
        </w:rPr>
        <w:t>, which were the most common. Aspergillus species' mycotoxins are most likely to be a problem, particularly if animals are fed moist litter. Chicken livers, poultry litter samples, and poultry feed all contained aflatoxins</w:t>
      </w:r>
      <w:r>
        <w:rPr>
          <w:rFonts w:ascii="Times New Roman" w:hAnsi="Times New Roman"/>
          <w:color w:val="000000"/>
          <w:sz w:val="24"/>
          <w:szCs w:val="24"/>
          <w:vertAlign w:val="superscript"/>
        </w:rPr>
        <w:t>112</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Poultry waste may carry a number of human pathogens, making them potential carriers. Among these are the following: Chlamydia and Newcastle disease viruses, which cause conjunctivitis and pneumonia in humans, respectively; erysipelas are caused by </w:t>
      </w:r>
      <w:r>
        <w:rPr>
          <w:rFonts w:ascii="Times New Roman" w:hAnsi="Times New Roman"/>
          <w:i/>
          <w:color w:val="000000"/>
          <w:sz w:val="24"/>
          <w:szCs w:val="24"/>
        </w:rPr>
        <w:t>Erysipelothrix rhusiopathia</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The bacterium responsible for listerosis, </w:t>
      </w:r>
      <w:r>
        <w:rPr>
          <w:rFonts w:ascii="Times New Roman" w:hAnsi="Times New Roman"/>
          <w:i/>
          <w:iCs/>
          <w:color w:val="000000"/>
          <w:sz w:val="24"/>
          <w:szCs w:val="24"/>
        </w:rPr>
        <w:t>Listeria</w:t>
      </w:r>
      <w:r>
        <w:rPr>
          <w:rFonts w:ascii="Times New Roman" w:hAnsi="Times New Roman"/>
          <w:color w:val="000000"/>
          <w:sz w:val="24"/>
          <w:szCs w:val="24"/>
        </w:rPr>
        <w:t xml:space="preserve"> </w:t>
      </w:r>
      <w:r>
        <w:rPr>
          <w:rFonts w:ascii="Times New Roman" w:hAnsi="Times New Roman"/>
          <w:i/>
          <w:iCs/>
          <w:color w:val="000000"/>
          <w:sz w:val="24"/>
          <w:szCs w:val="24"/>
        </w:rPr>
        <w:t>monocytogenes</w:t>
      </w:r>
      <w:r>
        <w:rPr>
          <w:rFonts w:ascii="Times New Roman" w:hAnsi="Times New Roman"/>
          <w:color w:val="000000"/>
          <w:sz w:val="24"/>
          <w:szCs w:val="24"/>
        </w:rPr>
        <w:t xml:space="preserve">; One of the factors that sometimes causes human tuberculosis or tuberculin sensitivity without the disease is </w:t>
      </w:r>
      <w:r>
        <w:rPr>
          <w:rFonts w:ascii="Times New Roman" w:hAnsi="Times New Roman"/>
          <w:i/>
          <w:color w:val="000000"/>
          <w:sz w:val="24"/>
          <w:szCs w:val="24"/>
        </w:rPr>
        <w:t>Mycobacterium avium</w:t>
      </w:r>
      <w:r>
        <w:rPr>
          <w:rFonts w:ascii="Times New Roman" w:hAnsi="Times New Roman"/>
          <w:color w:val="000000"/>
          <w:sz w:val="24"/>
          <w:szCs w:val="24"/>
        </w:rPr>
        <w:t xml:space="preserve">. The fungus </w:t>
      </w:r>
      <w:r>
        <w:rPr>
          <w:rFonts w:ascii="Times New Roman" w:hAnsi="Times New Roman"/>
          <w:i/>
          <w:color w:val="000000"/>
          <w:sz w:val="24"/>
          <w:szCs w:val="24"/>
        </w:rPr>
        <w:t>Candida albicans</w:t>
      </w:r>
      <w:r>
        <w:rPr>
          <w:rFonts w:ascii="Times New Roman" w:hAnsi="Times New Roman"/>
          <w:color w:val="000000"/>
          <w:sz w:val="24"/>
          <w:szCs w:val="24"/>
        </w:rPr>
        <w:t xml:space="preserve">, which causes the fungal disease candidiasis, with skin lesions, oral lesions, vaginitis, and a bronchopulmonary infection; </w:t>
      </w:r>
      <w:r>
        <w:rPr>
          <w:rFonts w:ascii="Times New Roman" w:hAnsi="Times New Roman"/>
          <w:i/>
          <w:color w:val="000000"/>
          <w:sz w:val="24"/>
          <w:szCs w:val="24"/>
        </w:rPr>
        <w:t>Aspergillus fumigatus</w:t>
      </w:r>
      <w:r>
        <w:rPr>
          <w:rFonts w:ascii="Times New Roman" w:hAnsi="Times New Roman"/>
          <w:color w:val="000000"/>
          <w:sz w:val="24"/>
          <w:szCs w:val="24"/>
        </w:rPr>
        <w:t xml:space="preserve">, which is the bacteria that causes rhinitis, asthma, and chronic pulmonary disease; </w:t>
      </w:r>
      <w:r>
        <w:rPr>
          <w:rFonts w:ascii="Times New Roman" w:hAnsi="Times New Roman"/>
          <w:i/>
          <w:color w:val="000000"/>
          <w:sz w:val="24"/>
          <w:szCs w:val="24"/>
        </w:rPr>
        <w:t>Salmonella spp.</w:t>
      </w:r>
      <w:r>
        <w:rPr>
          <w:rFonts w:ascii="Times New Roman" w:hAnsi="Times New Roman"/>
          <w:color w:val="000000"/>
          <w:sz w:val="24"/>
          <w:szCs w:val="24"/>
        </w:rPr>
        <w:t xml:space="preserve">, as well as </w:t>
      </w:r>
      <w:r>
        <w:rPr>
          <w:rFonts w:ascii="Times New Roman" w:hAnsi="Times New Roman"/>
          <w:i/>
          <w:color w:val="000000"/>
          <w:sz w:val="24"/>
          <w:szCs w:val="24"/>
        </w:rPr>
        <w:t>Clostridium botulinum</w:t>
      </w:r>
      <w:r>
        <w:rPr>
          <w:rFonts w:ascii="Times New Roman" w:hAnsi="Times New Roman"/>
          <w:color w:val="000000"/>
          <w:sz w:val="24"/>
          <w:szCs w:val="24"/>
        </w:rPr>
        <w:t>, which is responsible for food poisoning, which infects humans with enteritis</w:t>
      </w:r>
      <w:bookmarkStart w:id="22" w:name="_Toc132200937"/>
      <w:r>
        <w:rPr>
          <w:rFonts w:ascii="Times New Roman" w:hAnsi="Times New Roman"/>
          <w:color w:val="000000"/>
          <w:sz w:val="24"/>
          <w:szCs w:val="24"/>
          <w:vertAlign w:val="superscript"/>
        </w:rPr>
        <w:t>113</w:t>
      </w:r>
      <w:r>
        <w:rPr>
          <w:rFonts w:ascii="Times New Roman" w:hAnsi="Times New Roman"/>
          <w:color w:val="000000"/>
          <w:sz w:val="24"/>
          <w:szCs w:val="24"/>
        </w:rPr>
        <w:t>.</w:t>
      </w:r>
    </w:p>
    <w:p>
      <w:pPr>
        <w:spacing w:after="120" w:line="480" w:lineRule="auto"/>
        <w:jc w:val="both"/>
        <w:rPr>
          <w:rFonts w:ascii="Times New Roman" w:hAnsi="Times New Roman"/>
          <w:sz w:val="24"/>
          <w:szCs w:val="24"/>
        </w:rPr>
      </w:pPr>
      <w:r>
        <w:rPr>
          <w:rFonts w:ascii="Times New Roman" w:hAnsi="Times New Roman"/>
          <w:sz w:val="24"/>
          <w:szCs w:val="24"/>
        </w:rPr>
        <w:t xml:space="preserve">Toxins that cause botulism are produced by the </w:t>
      </w:r>
      <w:r>
        <w:rPr>
          <w:rFonts w:ascii="Times New Roman" w:hAnsi="Times New Roman"/>
          <w:i/>
          <w:sz w:val="24"/>
          <w:szCs w:val="24"/>
        </w:rPr>
        <w:t>Clostridia species</w:t>
      </w:r>
      <w:r>
        <w:rPr>
          <w:rFonts w:ascii="Times New Roman" w:hAnsi="Times New Roman"/>
          <w:sz w:val="24"/>
          <w:szCs w:val="24"/>
        </w:rPr>
        <w:t>. Ruminants who consume poultry litter that has not been sterilized frequently develop botulism. Dead rodents, chicks, eggs that have only partially hatched, and so on are the sources of the Clostridia species discovered in the litter and manure</w:t>
      </w:r>
      <w:r>
        <w:rPr>
          <w:rFonts w:ascii="Times New Roman" w:hAnsi="Times New Roman"/>
          <w:sz w:val="24"/>
          <w:szCs w:val="24"/>
          <w:vertAlign w:val="superscript"/>
        </w:rPr>
        <w:t>113</w:t>
      </w:r>
      <w:r>
        <w:rPr>
          <w:rFonts w:ascii="Times New Roman" w:hAnsi="Times New Roman"/>
          <w:sz w:val="24"/>
          <w:szCs w:val="24"/>
        </w:rPr>
        <w:t xml:space="preserve">. </w:t>
      </w:r>
      <w:r>
        <w:rPr>
          <w:rFonts w:ascii="Times New Roman" w:hAnsi="Times New Roman"/>
          <w:i/>
          <w:sz w:val="24"/>
          <w:szCs w:val="24"/>
        </w:rPr>
        <w:t>Clostridia botulinum</w:t>
      </w:r>
      <w:r>
        <w:rPr>
          <w:rFonts w:ascii="Times New Roman" w:hAnsi="Times New Roman"/>
          <w:sz w:val="24"/>
          <w:szCs w:val="24"/>
        </w:rPr>
        <w:t xml:space="preserve"> synthesises a lethal toxin that easily contaminates litter. Before feeding litter, animals must be vaccinated against botulism twice, once five weeks before feeding the litter and once a week thereafter.</w:t>
      </w:r>
      <w:bookmarkEnd w:id="21"/>
      <w:bookmarkEnd w:id="22"/>
    </w:p>
    <w:p>
      <w:pPr>
        <w:spacing w:after="120" w:line="480" w:lineRule="auto"/>
        <w:jc w:val="both"/>
        <w:rPr>
          <w:rFonts w:ascii="Times New Roman" w:hAnsi="Times New Roman"/>
          <w:sz w:val="24"/>
          <w:szCs w:val="24"/>
        </w:rPr>
      </w:pPr>
    </w:p>
    <w:p>
      <w:pPr>
        <w:spacing w:after="120" w:line="480" w:lineRule="auto"/>
        <w:jc w:val="both"/>
        <w:rPr>
          <w:rFonts w:ascii="Times New Roman" w:hAnsi="Times New Roman"/>
          <w:sz w:val="24"/>
          <w:szCs w:val="24"/>
        </w:rPr>
      </w:pPr>
    </w:p>
    <w:p>
      <w:pPr>
        <w:spacing w:after="120" w:line="480" w:lineRule="auto"/>
        <w:jc w:val="both"/>
        <w:rPr>
          <w:rFonts w:ascii="Times New Roman" w:hAnsi="Times New Roman"/>
          <w:b/>
          <w:sz w:val="24"/>
          <w:szCs w:val="24"/>
        </w:rPr>
      </w:pPr>
      <w:r>
        <w:rPr>
          <w:rFonts w:ascii="Times New Roman" w:hAnsi="Times New Roman"/>
          <w:b/>
          <w:sz w:val="24"/>
          <w:szCs w:val="24"/>
        </w:rPr>
        <w:t>2.14</w:t>
      </w:r>
      <w:r>
        <w:rPr>
          <w:rFonts w:ascii="Times New Roman" w:hAnsi="Times New Roman"/>
          <w:b/>
          <w:sz w:val="24"/>
          <w:szCs w:val="24"/>
        </w:rPr>
        <w:tab/>
      </w:r>
      <w:r>
        <w:rPr>
          <w:rFonts w:ascii="Times New Roman" w:hAnsi="Times New Roman"/>
          <w:b/>
          <w:sz w:val="24"/>
          <w:szCs w:val="24"/>
        </w:rPr>
        <w:t>Soil Mineral Element Predisposed to Alteration by Organic Waste</w:t>
      </w:r>
      <w:bookmarkStart w:id="23" w:name="_Toc132200939"/>
    </w:p>
    <w:p>
      <w:pPr>
        <w:spacing w:after="120" w:line="480" w:lineRule="auto"/>
        <w:jc w:val="both"/>
        <w:rPr>
          <w:rFonts w:ascii="Times New Roman" w:hAnsi="Times New Roman"/>
          <w:b/>
          <w:color w:val="000000"/>
          <w:sz w:val="24"/>
          <w:szCs w:val="24"/>
        </w:rPr>
      </w:pPr>
      <w:r>
        <w:rPr>
          <w:rFonts w:ascii="Times New Roman" w:hAnsi="Times New Roman"/>
          <w:b/>
          <w:sz w:val="24"/>
          <w:szCs w:val="24"/>
        </w:rPr>
        <w:t>2.14.1</w:t>
      </w:r>
      <w:r>
        <w:rPr>
          <w:rFonts w:ascii="Times New Roman" w:hAnsi="Times New Roman"/>
          <w:b/>
          <w:sz w:val="24"/>
          <w:szCs w:val="24"/>
        </w:rPr>
        <w:tab/>
      </w:r>
      <w:r>
        <w:rPr>
          <w:rFonts w:ascii="Times New Roman" w:hAnsi="Times New Roman"/>
          <w:b/>
          <w:sz w:val="24"/>
          <w:szCs w:val="24"/>
        </w:rPr>
        <w:t>Phosphorus</w:t>
      </w:r>
      <w:bookmarkEnd w:id="23"/>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Poultry litter is commonly applied to crop fields based on the nitrogen requirements of the crops. However, except in soils with severely deficient phosphorus and high P fixation capacity, the application of poultry waste can lead to an increase in soluble phosphorus in the soil</w:t>
      </w:r>
      <w:r>
        <w:rPr>
          <w:rFonts w:ascii="Times New Roman" w:hAnsi="Times New Roman"/>
          <w:color w:val="000000"/>
          <w:sz w:val="24"/>
          <w:szCs w:val="24"/>
          <w:vertAlign w:val="superscript"/>
        </w:rPr>
        <w:t>70</w:t>
      </w:r>
      <w:r>
        <w:rPr>
          <w:rFonts w:ascii="Times New Roman" w:hAnsi="Times New Roman"/>
          <w:color w:val="000000"/>
          <w:sz w:val="24"/>
          <w:szCs w:val="24"/>
        </w:rPr>
        <w:t>. Soil test procedures often detect extreme phosphorus levels in cultivated fields that have been amended with poultry manure</w:t>
      </w:r>
      <w:r>
        <w:rPr>
          <w:rFonts w:ascii="Times New Roman" w:hAnsi="Times New Roman"/>
          <w:color w:val="000000"/>
          <w:sz w:val="24"/>
          <w:szCs w:val="24"/>
          <w:vertAlign w:val="superscript"/>
        </w:rPr>
        <w:t>114</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In most mineral soils, phosphorus is relatively immobile in soil and rarely leaches into groundwater.  P in poultry waste is quickly hydrolyzed and chemically precipitated or adsorbed in those soils. The chemical, physical, and biological reactions of phosphorus in soil ought to serve as the foundation for phosphorus management for high applications</w:t>
      </w:r>
      <w:r>
        <w:rPr>
          <w:rFonts w:ascii="Times New Roman" w:hAnsi="Times New Roman"/>
          <w:color w:val="000000"/>
          <w:sz w:val="24"/>
          <w:szCs w:val="24"/>
          <w:vertAlign w:val="superscript"/>
        </w:rPr>
        <w:t>115</w:t>
      </w:r>
      <w:r>
        <w:rPr>
          <w:rFonts w:ascii="Times New Roman" w:hAnsi="Times New Roman"/>
          <w:color w:val="000000"/>
          <w:sz w:val="24"/>
          <w:szCs w:val="24"/>
        </w:rPr>
        <w:t>. Mineralization rates, plant uptake, and precipitation/adsorption reactions all influence the amount of P in the soil. Recent research has shown that P transformations in soils amended with poultry waste are less well-studied than N transformations</w:t>
      </w:r>
      <w:r>
        <w:rPr>
          <w:rFonts w:ascii="Times New Roman" w:hAnsi="Times New Roman"/>
          <w:color w:val="000000"/>
          <w:sz w:val="24"/>
          <w:szCs w:val="24"/>
          <w:vertAlign w:val="superscript"/>
        </w:rPr>
        <w:t>113,114,115,116.</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Organic and inorganic, soluble and insoluble forms of phosphorus can be found in soil. Water-soluble inorganic phosphorus is quickly transformed into water-insoluble phosphorus in some soils. In loamy sand and clay loam soils, they observed that high poultry litter application increased water soluble P. Adsorption and precipitation reactions result in a decrease in P concentration over time. As a result, until the surface layer is saturated, there is little downward movement of P when applied to soil. </w:t>
      </w:r>
      <w:bookmarkStart w:id="24" w:name="_Hlk124417713"/>
      <w:r>
        <w:rPr>
          <w:rFonts w:ascii="Times New Roman" w:hAnsi="Times New Roman"/>
          <w:color w:val="000000"/>
          <w:sz w:val="24"/>
          <w:szCs w:val="24"/>
        </w:rPr>
        <w:t>The majority of the P contamination of water bodies is the result of surface runoff and erosion, so there is little P movement to groundwater via leaching.</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Inorganic phosphorus is the only form of phosphorus that plants can absorb. Therefore, the mineralization process, which converts organic to inorganic P, is essential for maintaining a sufficient amount of P in the soil for plant growth</w:t>
      </w:r>
      <w:r>
        <w:rPr>
          <w:rFonts w:ascii="Times New Roman" w:hAnsi="Times New Roman"/>
          <w:color w:val="000000"/>
          <w:sz w:val="24"/>
          <w:szCs w:val="24"/>
          <w:vertAlign w:val="superscript"/>
        </w:rPr>
        <w:t>117</w:t>
      </w:r>
      <w:r>
        <w:rPr>
          <w:rFonts w:ascii="Times New Roman" w:hAnsi="Times New Roman"/>
          <w:color w:val="000000"/>
          <w:sz w:val="24"/>
          <w:szCs w:val="24"/>
        </w:rPr>
        <w:t xml:space="preserve">. </w:t>
      </w:r>
      <w:bookmarkEnd w:id="24"/>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Phosphohumic complexes and other organic compounds containing P may also aid in plant nutrition and growth. Soils amended with manure or other wastes have been shown to significantly raise total P concentrations</w:t>
      </w:r>
      <w:r>
        <w:rPr>
          <w:rFonts w:ascii="Times New Roman" w:hAnsi="Times New Roman"/>
          <w:color w:val="000000"/>
          <w:sz w:val="24"/>
          <w:szCs w:val="24"/>
          <w:vertAlign w:val="superscript"/>
        </w:rPr>
        <w:t>118</w:t>
      </w:r>
      <w:r>
        <w:rPr>
          <w:rFonts w:ascii="Times New Roman" w:hAnsi="Times New Roman"/>
          <w:color w:val="000000"/>
          <w:sz w:val="24"/>
          <w:szCs w:val="24"/>
        </w:rPr>
        <w:t>. Organic P accounts for approximately 60% of total P in mineral soils. After applying organic P, the concentration of inorganic P increased more than the concentration of organic P, indicating that the organic material in the soil had mineralized. Following mineralization, which releases inorganic phosphorus from organic wastes, adsorption or precipitation reactions can occur, altering the availability of phosphorus and the rate at which crops absorb it</w:t>
      </w:r>
      <w:r>
        <w:rPr>
          <w:rFonts w:ascii="Times New Roman" w:hAnsi="Times New Roman"/>
          <w:color w:val="000000"/>
          <w:sz w:val="24"/>
          <w:szCs w:val="24"/>
          <w:vertAlign w:val="superscript"/>
        </w:rPr>
        <w:t>119</w:t>
      </w:r>
      <w:r>
        <w:rPr>
          <w:rFonts w:ascii="Times New Roman" w:hAnsi="Times New Roman"/>
          <w:color w:val="000000"/>
          <w:sz w:val="24"/>
          <w:szCs w:val="24"/>
        </w:rPr>
        <w:t>. Conversely, metabolites produced during mineralization, like organic acids, may impede precipitation and dissolve non-labile phosphorus in soils</w:t>
      </w:r>
      <w:r>
        <w:rPr>
          <w:rFonts w:ascii="Times New Roman" w:hAnsi="Times New Roman"/>
          <w:color w:val="000000"/>
          <w:sz w:val="24"/>
          <w:szCs w:val="24"/>
          <w:vertAlign w:val="superscript"/>
        </w:rPr>
        <w:t>120</w:t>
      </w:r>
      <w:r>
        <w:rPr>
          <w:rFonts w:ascii="Times New Roman" w:hAnsi="Times New Roman"/>
          <w:color w:val="000000"/>
          <w:sz w:val="24"/>
          <w:szCs w:val="24"/>
        </w:rPr>
        <w:t>. Plants and microorganisms both absorb P when organic matter is directly incorporated into a soil. Nucleic acids, phospholipids, and some sugar phosphates make up phosphorus in microorganisms, which is easier to mineralize than phytates do in plants</w:t>
      </w:r>
      <w:r>
        <w:rPr>
          <w:rFonts w:ascii="Times New Roman" w:hAnsi="Times New Roman"/>
          <w:color w:val="000000"/>
          <w:sz w:val="24"/>
          <w:szCs w:val="24"/>
          <w:vertAlign w:val="superscript"/>
        </w:rPr>
        <w:t>121</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inositol phosphate or, to a lesser extent, the di-, tri-, and tetra-phosphates of inositol make up the larger percentage of the organic P in the soil. Up to 60% of the total organic phosphorus in the soil is made up of inositol phosphates, most of which come from plants</w:t>
      </w:r>
      <w:r>
        <w:rPr>
          <w:rFonts w:ascii="Times New Roman" w:hAnsi="Times New Roman"/>
          <w:color w:val="000000"/>
          <w:sz w:val="24"/>
          <w:szCs w:val="24"/>
          <w:vertAlign w:val="superscript"/>
        </w:rPr>
        <w:t>122</w:t>
      </w:r>
      <w:r>
        <w:rPr>
          <w:rFonts w:ascii="Times New Roman" w:hAnsi="Times New Roman"/>
          <w:color w:val="000000"/>
          <w:sz w:val="24"/>
          <w:szCs w:val="24"/>
        </w:rPr>
        <w:t>. Inositol phosphates are insoluble salts that are less mobile than soil phospholipids and may impede mineralization</w:t>
      </w:r>
      <w:r>
        <w:rPr>
          <w:rFonts w:ascii="Times New Roman" w:hAnsi="Times New Roman"/>
          <w:color w:val="000000"/>
          <w:sz w:val="24"/>
          <w:szCs w:val="24"/>
          <w:vertAlign w:val="superscript"/>
        </w:rPr>
        <w:t>123</w:t>
      </w:r>
      <w:r>
        <w:rPr>
          <w:rFonts w:ascii="Times New Roman" w:hAnsi="Times New Roman"/>
          <w:color w:val="000000"/>
          <w:sz w:val="24"/>
          <w:szCs w:val="24"/>
        </w:rPr>
        <w:t>. The amount of phosphorus mineralized was correlated with the initial quantity of phosphorus present in soils. Organic P is depleted in cultivated soils more quickly than in virgin soils due to higher P mineralization rates</w:t>
      </w:r>
      <w:r>
        <w:rPr>
          <w:rFonts w:ascii="Times New Roman" w:hAnsi="Times New Roman"/>
          <w:color w:val="000000"/>
          <w:sz w:val="24"/>
          <w:szCs w:val="24"/>
          <w:vertAlign w:val="superscript"/>
        </w:rPr>
        <w:t>124</w:t>
      </w:r>
      <w:r>
        <w:rPr>
          <w:rFonts w:ascii="Times New Roman" w:hAnsi="Times New Roman"/>
          <w:color w:val="000000"/>
          <w:sz w:val="24"/>
          <w:szCs w:val="24"/>
        </w:rPr>
        <w:t>. Cultivating soil aggregates causes a higher degree of aeration, which promotes activity of microbes and, as a result, increases the degradation of organic matter</w:t>
      </w:r>
      <w:r>
        <w:rPr>
          <w:rFonts w:ascii="Times New Roman" w:hAnsi="Times New Roman"/>
          <w:color w:val="000000"/>
          <w:sz w:val="24"/>
          <w:szCs w:val="24"/>
          <w:vertAlign w:val="superscript"/>
        </w:rPr>
        <w:t>124</w:t>
      </w:r>
      <w:r>
        <w:rPr>
          <w:rFonts w:ascii="Times New Roman" w:hAnsi="Times New Roman"/>
          <w:color w:val="000000"/>
          <w:sz w:val="24"/>
          <w:szCs w:val="24"/>
        </w:rPr>
        <w:t>. The total N and P content of various soil types increased eightfold when beef feedlot and poultry manure was applied for a long period of time</w:t>
      </w:r>
      <w:r>
        <w:rPr>
          <w:rFonts w:ascii="Times New Roman" w:hAnsi="Times New Roman"/>
          <w:color w:val="000000"/>
          <w:sz w:val="24"/>
          <w:szCs w:val="24"/>
          <w:vertAlign w:val="superscript"/>
        </w:rPr>
        <w:t>125</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 slow P mineralization rate caused little change in the extractable P in a soil compost mixture during the early incubation period. When both are applied at roughly the same P rate, it has been demonstrated that long-term application of manure at the Rothamsted increases soluble P more than application of superphosphate</w:t>
      </w:r>
      <w:r>
        <w:rPr>
          <w:rFonts w:ascii="Times New Roman" w:hAnsi="Times New Roman"/>
          <w:color w:val="000000"/>
          <w:sz w:val="24"/>
          <w:szCs w:val="24"/>
          <w:vertAlign w:val="superscript"/>
        </w:rPr>
        <w:t>126</w:t>
      </w:r>
      <w:r>
        <w:rPr>
          <w:rFonts w:ascii="Times New Roman" w:hAnsi="Times New Roman"/>
          <w:color w:val="000000"/>
          <w:sz w:val="24"/>
          <w:szCs w:val="24"/>
        </w:rPr>
        <w:t>. According to some researchers, after the application of manure was stopped, the amount of NaHCO-3 extractable P decreased by about 9% annually</w:t>
      </w:r>
      <w:r>
        <w:rPr>
          <w:rFonts w:ascii="Times New Roman" w:hAnsi="Times New Roman"/>
          <w:color w:val="000000"/>
          <w:sz w:val="24"/>
          <w:szCs w:val="24"/>
          <w:vertAlign w:val="superscript"/>
        </w:rPr>
        <w:t>127</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measurement of a P mineralized rate for organic P may become significant in plant P nutrition. It is difficult to assess the total contribution of organic P to plant availability of soil P due to interactions between mineralized P and inorganic soil constituents like Al, Fe, and Ca. In acid soils, inorganic P is mostly found as Al- and Fe-bound P, while in neutral to calcareous soils, inorganic P precipitates as Ca phosphates</w:t>
      </w:r>
      <w:bookmarkStart w:id="25" w:name="_Toc132200940"/>
      <w:r>
        <w:rPr>
          <w:rFonts w:ascii="Times New Roman" w:hAnsi="Times New Roman"/>
          <w:color w:val="000000"/>
          <w:sz w:val="24"/>
          <w:szCs w:val="24"/>
          <w:vertAlign w:val="superscript"/>
        </w:rPr>
        <w:t>128</w:t>
      </w:r>
      <w:r>
        <w:rPr>
          <w:rFonts w:ascii="Times New Roman" w:hAnsi="Times New Roman"/>
          <w:color w:val="000000"/>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sz w:val="24"/>
          <w:szCs w:val="24"/>
        </w:rPr>
        <w:t>2.14.2</w:t>
      </w:r>
      <w:r>
        <w:rPr>
          <w:rFonts w:ascii="Times New Roman" w:hAnsi="Times New Roman"/>
          <w:b/>
          <w:sz w:val="24"/>
          <w:szCs w:val="24"/>
        </w:rPr>
        <w:tab/>
      </w:r>
      <w:r>
        <w:rPr>
          <w:rFonts w:ascii="Times New Roman" w:hAnsi="Times New Roman"/>
          <w:b/>
          <w:sz w:val="24"/>
          <w:szCs w:val="24"/>
        </w:rPr>
        <w:t>Nitrogen</w:t>
      </w:r>
      <w:bookmarkEnd w:id="25"/>
    </w:p>
    <w:p>
      <w:pPr>
        <w:spacing w:after="120" w:line="480" w:lineRule="auto"/>
        <w:jc w:val="both"/>
        <w:rPr>
          <w:rFonts w:ascii="Times New Roman" w:hAnsi="Times New Roman"/>
          <w:color w:val="000000"/>
          <w:sz w:val="24"/>
          <w:szCs w:val="24"/>
        </w:rPr>
      </w:pPr>
      <w:bookmarkStart w:id="26" w:name="_Hlk124417921"/>
      <w:r>
        <w:rPr>
          <w:rFonts w:ascii="Times New Roman" w:hAnsi="Times New Roman"/>
          <w:color w:val="000000"/>
          <w:sz w:val="24"/>
          <w:szCs w:val="24"/>
        </w:rPr>
        <w:t>One of the key processes controlling the availability of nitrogen in soils is mineralization, which involves converting organic nitrogen into inorganic nitrogen. For proper management of plant nutrition and groundwater, the rate of organic N mineralization in poultry litter has been researched on for several years. During the first year, the rate of N mineralization in PL was estimated to be 90%. The rate is influenced by the raw material, the length of the mineralization process, and environmental factors like microbial population and temperature</w:t>
      </w:r>
      <w:r>
        <w:rPr>
          <w:rFonts w:ascii="Times New Roman" w:hAnsi="Times New Roman"/>
          <w:color w:val="000000"/>
          <w:sz w:val="24"/>
          <w:szCs w:val="24"/>
          <w:vertAlign w:val="superscript"/>
        </w:rPr>
        <w:t>129</w:t>
      </w:r>
      <w:r>
        <w:rPr>
          <w:rFonts w:ascii="Times New Roman" w:hAnsi="Times New Roman"/>
          <w:color w:val="000000"/>
          <w:sz w:val="24"/>
          <w:szCs w:val="24"/>
        </w:rPr>
        <w:t>. As a direct consequence of this, it is more challenging to predict the availability of N due to the variability of environmental factors and activities of microbes. The amount of plant-available N is determined by the rate at which organic N mineralizes and the NH-N content of poultry waste. After six months of mineralization, more than 40 to 45 percent of the total N in the poultry manure was found to be in an inorganic form. They also divided organic N into groups that could be mineralized quickly, in the near future, and for a long time. Poultry litter's readily degradable uric acid mineralized quickly within days, while the near-term form took weeks and the long-term form years to mineralize</w:t>
      </w:r>
      <w:r>
        <w:rPr>
          <w:rFonts w:ascii="Times New Roman" w:hAnsi="Times New Roman"/>
          <w:color w:val="000000"/>
          <w:sz w:val="24"/>
          <w:szCs w:val="24"/>
          <w:vertAlign w:val="superscript"/>
        </w:rPr>
        <w:t>130</w:t>
      </w:r>
      <w:r>
        <w:rPr>
          <w:rFonts w:ascii="Times New Roman" w:hAnsi="Times New Roman"/>
          <w:color w:val="000000"/>
          <w:sz w:val="24"/>
          <w:szCs w:val="24"/>
        </w:rPr>
        <w:t xml:space="preserve">. </w:t>
      </w:r>
      <w:bookmarkEnd w:id="26"/>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Variations in mineralization rates and time of mineralization may have been caused by factors such as differences in bedding material in poultry litter</w:t>
      </w:r>
      <w:r>
        <w:rPr>
          <w:rFonts w:ascii="Times New Roman" w:hAnsi="Times New Roman"/>
          <w:color w:val="000000"/>
          <w:sz w:val="24"/>
          <w:szCs w:val="24"/>
          <w:vertAlign w:val="superscript"/>
        </w:rPr>
        <w:t>131</w:t>
      </w:r>
      <w:r>
        <w:rPr>
          <w:rFonts w:ascii="Times New Roman" w:hAnsi="Times New Roman"/>
          <w:color w:val="000000"/>
          <w:sz w:val="24"/>
          <w:szCs w:val="24"/>
        </w:rPr>
        <w:t>. Poultry manure experiences an organic nitrogen mineralization rate of around 90%, whereas poultry litter mineralizes at a rate of 50% during a single growing season</w:t>
      </w:r>
      <w:r>
        <w:rPr>
          <w:rFonts w:ascii="Times New Roman" w:hAnsi="Times New Roman"/>
          <w:color w:val="000000"/>
          <w:sz w:val="24"/>
          <w:szCs w:val="24"/>
          <w:vertAlign w:val="superscript"/>
        </w:rPr>
        <w:t>132</w:t>
      </w:r>
      <w:r>
        <w:rPr>
          <w:rFonts w:ascii="Times New Roman" w:hAnsi="Times New Roman"/>
          <w:color w:val="000000"/>
          <w:sz w:val="24"/>
          <w:szCs w:val="24"/>
        </w:rPr>
        <w:t>. Stable materials in compost may have a relatively lower rate of nitrogen mineralization at the end of the composting process, leading to slower mineralization rates compared to poultry litter or manure. There are numerous difficulties associated with modern agriculture</w:t>
      </w:r>
      <w:r>
        <w:rPr>
          <w:rFonts w:ascii="Times New Roman" w:hAnsi="Times New Roman"/>
          <w:color w:val="000000"/>
          <w:sz w:val="24"/>
          <w:szCs w:val="24"/>
          <w:vertAlign w:val="superscript"/>
        </w:rPr>
        <w:t>131</w:t>
      </w:r>
      <w:r>
        <w:rPr>
          <w:rFonts w:ascii="Times New Roman" w:hAnsi="Times New Roman"/>
          <w:color w:val="000000"/>
          <w:sz w:val="24"/>
          <w:szCs w:val="24"/>
        </w:rPr>
        <w:t>. In order to combat the effects of the issues that are currently being faced, agricultural researchers now need to comprehend them and come up with creative solutions. The numerous obstacles that, whether anthropogenic or natural, threaten agriculture's sustainability are the source of these difficulties</w:t>
      </w:r>
      <w:r>
        <w:rPr>
          <w:rFonts w:ascii="Times New Roman" w:hAnsi="Times New Roman"/>
          <w:color w:val="000000"/>
          <w:sz w:val="24"/>
          <w:szCs w:val="24"/>
          <w:vertAlign w:val="superscript"/>
        </w:rPr>
        <w:t>133</w:t>
      </w:r>
      <w:r>
        <w:rPr>
          <w:rFonts w:ascii="Times New Roman" w:hAnsi="Times New Roman"/>
          <w:color w:val="000000"/>
          <w:sz w:val="24"/>
          <w:szCs w:val="24"/>
        </w:rPr>
        <w:t>.</w:t>
      </w:r>
      <w:bookmarkStart w:id="27" w:name="_Toc132200941"/>
    </w:p>
    <w:p>
      <w:pPr>
        <w:spacing w:after="120" w:line="480" w:lineRule="auto"/>
        <w:jc w:val="both"/>
        <w:rPr>
          <w:rFonts w:ascii="Times New Roman" w:hAnsi="Times New Roman"/>
          <w:b/>
          <w:color w:val="000000"/>
          <w:sz w:val="24"/>
          <w:szCs w:val="24"/>
          <w:lang w:val="en-GB"/>
        </w:rPr>
      </w:pPr>
      <w:r>
        <w:rPr>
          <w:rFonts w:ascii="Times New Roman" w:hAnsi="Times New Roman"/>
          <w:b/>
          <w:sz w:val="24"/>
          <w:szCs w:val="24"/>
        </w:rPr>
        <w:t>2.15</w:t>
      </w:r>
      <w:r>
        <w:rPr>
          <w:rFonts w:ascii="Times New Roman" w:hAnsi="Times New Roman"/>
          <w:b/>
          <w:sz w:val="24"/>
          <w:szCs w:val="24"/>
        </w:rPr>
        <w:tab/>
      </w:r>
      <w:r>
        <w:rPr>
          <w:rFonts w:ascii="Times New Roman" w:hAnsi="Times New Roman"/>
          <w:b/>
          <w:sz w:val="24"/>
          <w:szCs w:val="24"/>
        </w:rPr>
        <w:t>Nutrient Cycling</w:t>
      </w:r>
      <w:bookmarkEnd w:id="27"/>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In the 1950s, farmers began simplifying their crop rotations and increasingly depended on external inputs, particularly inorganic fertilizers, to maintain and boost yields. This widespread adoption of inorganic fertilizers led to an immediate decline in soil health. Consequently, modern farmers now must depend on both organic as well as non-organic fertilizers to bridge the gap between crops' nutritional needs and the soil's supply. The introduction of manure amendments aims to provide additional organic matter that could help restore quality of soil while ensuring a balance between nutrient inputs and crop requirements. Currently, most organic amendments are determined based on phosphorus rates, as the previous approach of determining organic fertilizer application rates solely based on nitrogen requirements resulted in systems being overloaded with phosphorus</w:t>
      </w:r>
      <w:r>
        <w:rPr>
          <w:rFonts w:ascii="Times New Roman" w:hAnsi="Times New Roman"/>
          <w:color w:val="000000"/>
          <w:sz w:val="24"/>
          <w:szCs w:val="24"/>
          <w:vertAlign w:val="superscript"/>
        </w:rPr>
        <w:t>134</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Mineralization is the key process that liberates most of the nutrients, especially nitrogen, from various types of manure. It involves the transformation of nutrients from organic to inorganic forms that plants can readily use, mostly known as the "slow release" of amendment nutrients. To manage this gradual release, producers need to adjust rate of application annually to account for the nutrients released from previously applied manure, as long-term manure applications can build up the nutrient pool of potentially mineralizable nitrogen and phosphorus in the soil. This slow-release phenomenon particularly affects manures with a substantial amount of organic nitrogen, such as those derived from cattle feedlots or dairy farms with bedding, which need to undergo mineralization before plants can effectively utilize them</w:t>
      </w:r>
      <w:r>
        <w:rPr>
          <w:rFonts w:ascii="Times New Roman" w:hAnsi="Times New Roman"/>
          <w:color w:val="000000"/>
          <w:sz w:val="24"/>
          <w:szCs w:val="24"/>
          <w:vertAlign w:val="superscript"/>
        </w:rPr>
        <w:t>135</w:t>
      </w:r>
      <w:r>
        <w:rPr>
          <w:rFonts w:ascii="Times New Roman" w:hAnsi="Times New Roman"/>
          <w:color w:val="000000"/>
          <w:sz w:val="24"/>
          <w:szCs w:val="24"/>
        </w:rPr>
        <w:t>. Phosphorus in manure is primarily in an inorganic and readily available form, resulting in phosphorus availability typically exceeding 70% compared to nitrogen. However, crops usually take up phosphorus at a significantly lower rate than nitrogen, leading to a larger portion of it being retained in the soil</w:t>
      </w:r>
      <w:r>
        <w:rPr>
          <w:rFonts w:ascii="Times New Roman" w:hAnsi="Times New Roman"/>
          <w:color w:val="000000"/>
          <w:sz w:val="24"/>
          <w:szCs w:val="24"/>
          <w:vertAlign w:val="superscript"/>
        </w:rPr>
        <w:t>136</w:t>
      </w:r>
      <w:bookmarkStart w:id="28" w:name="_Hlk124419198"/>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vertAlign w:val="subscript"/>
        </w:rPr>
      </w:pPr>
      <w:r>
        <w:rPr>
          <w:rFonts w:ascii="Times New Roman" w:hAnsi="Times New Roman"/>
          <w:color w:val="000000"/>
          <w:sz w:val="24"/>
          <w:szCs w:val="24"/>
        </w:rPr>
        <w:t>In addition to other essential elements, soil contains carbon (C), a crucial component. When manure amendments are applied to the soil, they introduce organic matter, primarily in the form of organic carbon</w:t>
      </w:r>
      <w:r>
        <w:rPr>
          <w:rFonts w:ascii="Times New Roman" w:hAnsi="Times New Roman"/>
          <w:color w:val="000000"/>
          <w:sz w:val="24"/>
          <w:szCs w:val="24"/>
          <w:vertAlign w:val="superscript"/>
        </w:rPr>
        <w:t>137</w:t>
      </w:r>
      <w:r>
        <w:rPr>
          <w:rFonts w:ascii="Times New Roman" w:hAnsi="Times New Roman"/>
          <w:color w:val="000000"/>
          <w:sz w:val="24"/>
          <w:szCs w:val="24"/>
        </w:rPr>
        <w:t>. Over the long term, the interplay between organic carbon additions and losses through different processes determines the soil's organic carbon content. The climate, type of soil, and characteristics of the manure all play a role in the degree to which the addition of manure alters this equilibrium and boosts the amount of organic matter in the soil. The properties of the soil are significantly affected by this increase in organic matter. Millions of bacteria quickly colonize the soil when organic matter like manure is added. The organic matter provides these organisms with both their nutrients and energy</w:t>
      </w:r>
      <w:r>
        <w:rPr>
          <w:rFonts w:ascii="Times New Roman" w:hAnsi="Times New Roman"/>
          <w:color w:val="000000"/>
          <w:sz w:val="24"/>
          <w:szCs w:val="24"/>
          <w:vertAlign w:val="superscript"/>
        </w:rPr>
        <w:t>138</w:t>
      </w:r>
      <w:r>
        <w:rPr>
          <w:rFonts w:ascii="Times New Roman" w:hAnsi="Times New Roman"/>
          <w:color w:val="000000"/>
          <w:sz w:val="24"/>
          <w:szCs w:val="24"/>
        </w:rPr>
        <w:t>. Polysaccharides are produced in large quantities by bacteria during the decomposition of this material. These polysaccharides can actually bind soil particles together to form aggregates, acting like sticky glue in the soil. As a result, an increase in organic matter inputs typically results in an increase in bacteria, aggregates, and soil structure. Soil organic matter concentrations rise further as a result of these changes in structure</w:t>
      </w:r>
      <w:r>
        <w:rPr>
          <w:rFonts w:ascii="Times New Roman" w:hAnsi="Times New Roman"/>
          <w:color w:val="000000"/>
          <w:sz w:val="24"/>
          <w:szCs w:val="24"/>
          <w:vertAlign w:val="superscript"/>
        </w:rPr>
        <w:t>139</w:t>
      </w:r>
      <w:r>
        <w:rPr>
          <w:rFonts w:ascii="Times New Roman" w:hAnsi="Times New Roman"/>
          <w:color w:val="000000"/>
          <w:sz w:val="24"/>
          <w:szCs w:val="24"/>
          <w:vertAlign w:val="subscript"/>
        </w:rPr>
        <w:t>.</w:t>
      </w:r>
    </w:p>
    <w:p>
      <w:pPr>
        <w:spacing w:after="120" w:line="480" w:lineRule="auto"/>
        <w:jc w:val="both"/>
        <w:rPr>
          <w:rFonts w:ascii="Times New Roman" w:hAnsi="Times New Roman"/>
          <w:b/>
          <w:color w:val="000000"/>
          <w:sz w:val="24"/>
          <w:szCs w:val="24"/>
        </w:rPr>
      </w:pPr>
      <w:r>
        <w:rPr>
          <w:rFonts w:ascii="Times New Roman" w:hAnsi="Times New Roman"/>
          <w:b/>
          <w:color w:val="000000"/>
          <w:sz w:val="24"/>
          <w:szCs w:val="24"/>
        </w:rPr>
        <w:t>2.16</w:t>
      </w:r>
      <w:r>
        <w:rPr>
          <w:rFonts w:ascii="Times New Roman" w:hAnsi="Times New Roman"/>
          <w:b/>
          <w:color w:val="000000"/>
          <w:sz w:val="24"/>
          <w:szCs w:val="24"/>
        </w:rPr>
        <w:tab/>
      </w:r>
      <w:r>
        <w:rPr>
          <w:rFonts w:ascii="Times New Roman" w:hAnsi="Times New Roman"/>
          <w:b/>
          <w:color w:val="000000"/>
          <w:sz w:val="24"/>
          <w:szCs w:val="24"/>
        </w:rPr>
        <w:t>Effect of Moist</w:t>
      </w:r>
      <w:bookmarkStart w:id="29" w:name="_Toc132200942"/>
      <w:r>
        <w:rPr>
          <w:rFonts w:ascii="Times New Roman" w:hAnsi="Times New Roman"/>
          <w:b/>
          <w:color w:val="000000"/>
          <w:sz w:val="24"/>
          <w:szCs w:val="24"/>
        </w:rPr>
        <w:t>ure on Soil Microbial Community</w:t>
      </w:r>
    </w:p>
    <w:p>
      <w:pPr>
        <w:spacing w:after="120" w:line="480" w:lineRule="auto"/>
        <w:jc w:val="both"/>
        <w:rPr>
          <w:rFonts w:ascii="Times New Roman" w:hAnsi="Times New Roman"/>
          <w:b/>
          <w:color w:val="000000"/>
          <w:sz w:val="24"/>
          <w:szCs w:val="24"/>
        </w:rPr>
      </w:pPr>
      <w:r>
        <w:rPr>
          <w:rFonts w:ascii="Times New Roman" w:hAnsi="Times New Roman"/>
          <w:b/>
          <w:sz w:val="24"/>
          <w:szCs w:val="24"/>
        </w:rPr>
        <w:t>2.16.1</w:t>
      </w:r>
      <w:r>
        <w:rPr>
          <w:rFonts w:ascii="Times New Roman" w:hAnsi="Times New Roman"/>
          <w:b/>
          <w:sz w:val="24"/>
          <w:szCs w:val="24"/>
        </w:rPr>
        <w:tab/>
      </w:r>
      <w:r>
        <w:rPr>
          <w:rFonts w:ascii="Times New Roman" w:hAnsi="Times New Roman"/>
          <w:b/>
          <w:sz w:val="24"/>
          <w:szCs w:val="24"/>
        </w:rPr>
        <w:t>Seasonal Variations</w:t>
      </w:r>
      <w:bookmarkEnd w:id="29"/>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Microbial biomass could be predicted to decrease as soils become dry. Microbial survival should be reduced by stress, decreased rhizosphere inputs, and a limited supply of substrate. However, this is not always the case; during months of dry conditions, microbial biomass frequently stays the same or even increases</w:t>
      </w:r>
      <w:r>
        <w:rPr>
          <w:rFonts w:ascii="Times New Roman" w:hAnsi="Times New Roman"/>
          <w:color w:val="000000"/>
          <w:sz w:val="24"/>
          <w:szCs w:val="24"/>
          <w:vertAlign w:val="superscript"/>
        </w:rPr>
        <w:t>140,141,142</w:t>
      </w:r>
      <w:r>
        <w:rPr>
          <w:rFonts w:ascii="Times New Roman" w:hAnsi="Times New Roman"/>
          <w:color w:val="000000"/>
          <w:sz w:val="24"/>
          <w:szCs w:val="24"/>
        </w:rPr>
        <w:t>. Instead, when the wet season begins, biomass can sometimes fall, even when activity is high. It must be that death rates are even lower during the dry season, despite low growth rates. However, microbial biomass may decrease as microbial and consumer activity rise with rainfall</w:t>
      </w:r>
      <w:r>
        <w:rPr>
          <w:rFonts w:ascii="Times New Roman" w:hAnsi="Times New Roman"/>
          <w:color w:val="000000"/>
          <w:sz w:val="24"/>
          <w:szCs w:val="24"/>
          <w:vertAlign w:val="superscript"/>
        </w:rPr>
        <w:t>141</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vertAlign w:val="superscript"/>
        </w:rPr>
      </w:pPr>
      <w:r>
        <w:rPr>
          <w:rFonts w:ascii="Times New Roman" w:hAnsi="Times New Roman"/>
          <w:color w:val="000000"/>
          <w:sz w:val="24"/>
          <w:szCs w:val="24"/>
        </w:rPr>
        <w:t>However, the seasonal patterns may not always align with the results from experiments that investigate reactions to individual dry-wet events or multiple cycles. After rewetting, many researches show an instant decrease in biomass. For instance, in a silty-clay loam soil from the Rothamsted permanent pasture plots, the microbial biomass was observed to decrease by 44% following a single dry-rewet cycle</w:t>
      </w:r>
      <w:r>
        <w:rPr>
          <w:rFonts w:ascii="Times New Roman" w:hAnsi="Times New Roman"/>
          <w:color w:val="000000"/>
          <w:sz w:val="24"/>
          <w:szCs w:val="24"/>
          <w:vertAlign w:val="superscript"/>
        </w:rPr>
        <w:t>143</w:t>
      </w:r>
      <w:r>
        <w:rPr>
          <w:rFonts w:ascii="Times New Roman" w:hAnsi="Times New Roman"/>
          <w:color w:val="000000"/>
          <w:sz w:val="24"/>
          <w:szCs w:val="24"/>
        </w:rPr>
        <w:t>. Similarly, in a British grassland, microbial biomass decreased after a single dry-rewet event, even though there was a surge in microbial nitrogen immediately after rewetting</w:t>
      </w:r>
      <w:r>
        <w:rPr>
          <w:rFonts w:ascii="Times New Roman" w:hAnsi="Times New Roman"/>
          <w:color w:val="000000"/>
          <w:sz w:val="24"/>
          <w:szCs w:val="24"/>
          <w:vertAlign w:val="superscript"/>
        </w:rPr>
        <w:t>144</w:t>
      </w:r>
      <w:r>
        <w:rPr>
          <w:rFonts w:ascii="Times New Roman" w:hAnsi="Times New Roman"/>
          <w:color w:val="000000"/>
          <w:sz w:val="24"/>
          <w:szCs w:val="24"/>
        </w:rPr>
        <w:t>. Despite an initial decline that may occur following a dry-rewet cycle, populations of protozoa and microbial biomass have the potential to recover. In certain ecosystems, like California grasslands, microbial biomass increases during drought but decreases during the wet season due to overall shifts in microbial activity, growth, and food web dynamics</w:t>
      </w:r>
      <w:r>
        <w:rPr>
          <w:rFonts w:ascii="Times New Roman" w:hAnsi="Times New Roman"/>
          <w:color w:val="000000"/>
          <w:sz w:val="24"/>
          <w:szCs w:val="24"/>
          <w:vertAlign w:val="superscript"/>
        </w:rPr>
        <w:t>145</w:t>
      </w:r>
      <w:bookmarkStart w:id="30" w:name="_Toc132200943"/>
      <w:r>
        <w:rPr>
          <w:rFonts w:ascii="Times New Roman" w:hAnsi="Times New Roman"/>
          <w:color w:val="000000"/>
          <w:sz w:val="24"/>
          <w:szCs w:val="24"/>
          <w:vertAlign w:val="superscript"/>
        </w:rPr>
        <w:t>.</w:t>
      </w:r>
    </w:p>
    <w:p>
      <w:pPr>
        <w:spacing w:after="120" w:line="480" w:lineRule="auto"/>
        <w:jc w:val="both"/>
        <w:rPr>
          <w:rFonts w:ascii="Times New Roman" w:hAnsi="Times New Roman"/>
          <w:color w:val="000000"/>
          <w:sz w:val="24"/>
          <w:szCs w:val="24"/>
          <w:vertAlign w:val="superscript"/>
        </w:rPr>
      </w:pPr>
    </w:p>
    <w:p>
      <w:pPr>
        <w:spacing w:after="120" w:line="480" w:lineRule="auto"/>
        <w:jc w:val="both"/>
        <w:rPr>
          <w:rFonts w:ascii="Times New Roman" w:hAnsi="Times New Roman"/>
          <w:color w:val="000000"/>
          <w:sz w:val="24"/>
          <w:szCs w:val="24"/>
          <w:vertAlign w:val="superscript"/>
        </w:rPr>
      </w:pPr>
    </w:p>
    <w:p>
      <w:pPr>
        <w:spacing w:after="120" w:line="480" w:lineRule="auto"/>
        <w:jc w:val="both"/>
        <w:rPr>
          <w:rFonts w:ascii="Times New Roman" w:hAnsi="Times New Roman"/>
          <w:b/>
          <w:color w:val="000000"/>
          <w:sz w:val="24"/>
          <w:szCs w:val="24"/>
        </w:rPr>
      </w:pPr>
      <w:r>
        <w:rPr>
          <w:rFonts w:ascii="Times New Roman" w:hAnsi="Times New Roman"/>
          <w:b/>
          <w:sz w:val="24"/>
          <w:szCs w:val="24"/>
        </w:rPr>
        <w:t>2.16.2</w:t>
      </w:r>
      <w:r>
        <w:rPr>
          <w:rFonts w:ascii="Times New Roman" w:hAnsi="Times New Roman"/>
          <w:b/>
          <w:sz w:val="24"/>
          <w:szCs w:val="24"/>
        </w:rPr>
        <w:tab/>
      </w:r>
      <w:r>
        <w:rPr>
          <w:rFonts w:ascii="Times New Roman" w:hAnsi="Times New Roman"/>
          <w:b/>
          <w:sz w:val="24"/>
          <w:szCs w:val="24"/>
        </w:rPr>
        <w:t>Community Composition</w:t>
      </w:r>
      <w:bookmarkEnd w:id="30"/>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bacterial community's composition, as shown by membrane lipids or DNA, may change little with drought and rewetting, even in soils with very different antecedent conditions. This is similar to how the overall biomass changes</w:t>
      </w:r>
      <w:r>
        <w:rPr>
          <w:rFonts w:ascii="Times New Roman" w:hAnsi="Times New Roman"/>
          <w:color w:val="000000"/>
          <w:sz w:val="24"/>
          <w:szCs w:val="24"/>
          <w:vertAlign w:val="superscript"/>
        </w:rPr>
        <w:t>146</w:t>
      </w:r>
      <w:r>
        <w:rPr>
          <w:rFonts w:ascii="Times New Roman" w:hAnsi="Times New Roman"/>
          <w:color w:val="000000"/>
          <w:sz w:val="24"/>
          <w:szCs w:val="24"/>
        </w:rPr>
        <w:t>. However, when seasonal shifts do occur, their causes are difficult to identify. Drought affects photosynthesis, root exudation, and litter production, so climate and weather have multiple effects on microbial communities</w:t>
      </w:r>
      <w:r>
        <w:rPr>
          <w:rFonts w:ascii="Times New Roman" w:hAnsi="Times New Roman"/>
          <w:color w:val="000000"/>
          <w:sz w:val="24"/>
          <w:szCs w:val="24"/>
          <w:vertAlign w:val="superscript"/>
        </w:rPr>
        <w:t>147</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limitations of microbial community analysis methods make it challenging to analyze microbial community change during drought and rewetting. Relic DNA from long-dead organisms, for instance, may be discovered through DNA analyses</w:t>
      </w:r>
      <w:r>
        <w:rPr>
          <w:rFonts w:ascii="Times New Roman" w:hAnsi="Times New Roman"/>
          <w:color w:val="000000"/>
          <w:sz w:val="24"/>
          <w:szCs w:val="24"/>
          <w:vertAlign w:val="superscript"/>
        </w:rPr>
        <w:t>148</w:t>
      </w:r>
      <w:r>
        <w:rPr>
          <w:rFonts w:ascii="Times New Roman" w:hAnsi="Times New Roman"/>
          <w:color w:val="000000"/>
          <w:sz w:val="24"/>
          <w:szCs w:val="24"/>
        </w:rPr>
        <w:t>. Even though ribosomal RNA (rRNA) provides insights into living organisms, comparing taxa based on rRNA levels and ratios is challenging due to significant variations between different taxa. Ribosomes can be abundant even in dormant cells. Stable isotope probing, which examines DNA only from organisms that have incorporated a tracer, offers a reliable means to assess community response as it can analyze populations that have replicated after rewetting</w:t>
      </w:r>
      <w:r>
        <w:rPr>
          <w:rFonts w:ascii="Times New Roman" w:hAnsi="Times New Roman"/>
          <w:color w:val="000000"/>
          <w:sz w:val="24"/>
          <w:szCs w:val="24"/>
          <w:vertAlign w:val="superscript"/>
        </w:rPr>
        <w:t>149</w:t>
      </w:r>
      <w:r>
        <w:rPr>
          <w:rFonts w:ascii="Times New Roman" w:hAnsi="Times New Roman"/>
          <w:color w:val="000000"/>
          <w:sz w:val="24"/>
          <w:szCs w:val="24"/>
        </w:rPr>
        <w:t>. However, this method does not provide information about the events that occurred during the dry phase, such as which organisms survived and which did not</w:t>
      </w:r>
      <w:r>
        <w:rPr>
          <w:rFonts w:ascii="Times New Roman" w:hAnsi="Times New Roman"/>
          <w:color w:val="000000"/>
          <w:sz w:val="24"/>
          <w:szCs w:val="24"/>
          <w:vertAlign w:val="superscript"/>
        </w:rPr>
        <w:t>148</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observed patterns in microbial communities can be attributed to mortality, where organisms die due to physiological stress or lack of nutrients. As a result, the community becomes dominated by different organisms during periods of limited activity and growth. Necromass, the material released into the soil from dead microbial cells, can serve as a source of support for the development of other organisms when the soil is rewet. However, the straightforward logic that microbial death is the cause of community shifts is flawed—if death is the cause, then microbial biomass should decrease. This isn't always the case</w:t>
      </w:r>
      <w:r>
        <w:rPr>
          <w:rFonts w:ascii="Times New Roman" w:hAnsi="Times New Roman"/>
          <w:color w:val="000000"/>
          <w:sz w:val="24"/>
          <w:szCs w:val="24"/>
          <w:vertAlign w:val="superscript"/>
        </w:rPr>
        <w:t>149</w:t>
      </w:r>
      <w:r>
        <w:rPr>
          <w:rFonts w:ascii="Times New Roman" w:hAnsi="Times New Roman"/>
          <w:color w:val="000000"/>
          <w:sz w:val="24"/>
          <w:szCs w:val="24"/>
        </w:rPr>
        <w:t>.</w:t>
      </w:r>
    </w:p>
    <w:p>
      <w:pPr>
        <w:spacing w:after="120" w:line="480" w:lineRule="auto"/>
        <w:jc w:val="both"/>
        <w:rPr>
          <w:rFonts w:ascii="Times New Roman" w:hAnsi="Times New Roman"/>
          <w:color w:val="FF0000"/>
          <w:sz w:val="24"/>
          <w:szCs w:val="24"/>
        </w:rPr>
      </w:pPr>
      <w:r>
        <w:rPr>
          <w:rFonts w:ascii="Times New Roman" w:hAnsi="Times New Roman"/>
          <w:color w:val="000000"/>
          <w:sz w:val="24"/>
          <w:szCs w:val="24"/>
        </w:rPr>
        <w:t>Drying and rewetting events may not alter the overall composition of the microbial community, but they can impact the subset of organisms that are actively growing and performing metabolic functions, often identified using rRNA analysis</w:t>
      </w:r>
      <w:r>
        <w:rPr>
          <w:rFonts w:ascii="Times New Roman" w:hAnsi="Times New Roman"/>
          <w:color w:val="000000"/>
          <w:sz w:val="24"/>
          <w:szCs w:val="24"/>
          <w:vertAlign w:val="superscript"/>
        </w:rPr>
        <w:t>147</w:t>
      </w:r>
      <w:r>
        <w:rPr>
          <w:rFonts w:ascii="Times New Roman" w:hAnsi="Times New Roman"/>
          <w:color w:val="000000"/>
          <w:sz w:val="24"/>
          <w:szCs w:val="24"/>
        </w:rPr>
        <w:t>. In a California annual grassland soil, following rewetting, Acidobacteria and Verrucomicrobia increased in abundance, while Actinobacteria and Firmicutes reduced. Despite being the dominant phylum based on DNA analysis, Acidobacteria</w:t>
      </w:r>
      <w:r>
        <w:rPr>
          <w:rFonts w:ascii="Times New Roman" w:hAnsi="Times New Roman"/>
          <w:sz w:val="24"/>
          <w:szCs w:val="24"/>
        </w:rPr>
        <w:t xml:space="preserve"> did not exhibit a seasonal pattern in their proportion within the entire bacterial community</w:t>
      </w:r>
      <w:r>
        <w:rPr>
          <w:rFonts w:ascii="Times New Roman" w:hAnsi="Times New Roman"/>
          <w:sz w:val="24"/>
          <w:szCs w:val="24"/>
          <w:vertAlign w:val="superscript"/>
        </w:rPr>
        <w:t>148</w:t>
      </w:r>
      <w:r>
        <w:rPr>
          <w:rFonts w:ascii="Times New Roman" w:hAnsi="Times New Roman"/>
          <w:sz w:val="24"/>
          <w:szCs w:val="24"/>
        </w:rPr>
        <w:t>. However, during the dry season, the contribution of Acidobacteria to the active community, as measured by rRNA analysis, decreased. Actinobacteria's Rubrobacteridae, with over fifty percent of the rRNA reads, became the dominant class during the dry season, and this percentage continued to increase throughout that period</w:t>
      </w:r>
      <w:r>
        <w:rPr>
          <w:rFonts w:ascii="Times New Roman" w:hAnsi="Times New Roman"/>
          <w:sz w:val="24"/>
          <w:szCs w:val="24"/>
          <w:vertAlign w:val="superscript"/>
        </w:rPr>
        <w:t>149</w:t>
      </w:r>
      <w:r>
        <w:rPr>
          <w:rFonts w:ascii="Times New Roman" w:hAnsi="Times New Roman"/>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Fungi seem to endure droughts more effectively than bacteria, as evidenced by their higher survival rates during such conditions</w:t>
      </w:r>
      <w:r>
        <w:rPr>
          <w:rFonts w:ascii="Times New Roman" w:hAnsi="Times New Roman"/>
          <w:color w:val="000000"/>
          <w:sz w:val="24"/>
          <w:szCs w:val="24"/>
          <w:vertAlign w:val="superscript"/>
        </w:rPr>
        <w:t>148</w:t>
      </w:r>
      <w:r>
        <w:rPr>
          <w:rFonts w:ascii="Times New Roman" w:hAnsi="Times New Roman"/>
          <w:color w:val="000000"/>
          <w:sz w:val="24"/>
          <w:szCs w:val="24"/>
        </w:rPr>
        <w:t>. Following experimental rewetting, Actinobacteria exhibited elevated levels of rRNA shortly after, while bacilli experienced their peak many hours later, and it took many days for Proteobacteria's rRNA to significantly increase</w:t>
      </w:r>
      <w:r>
        <w:rPr>
          <w:rFonts w:ascii="Times New Roman" w:hAnsi="Times New Roman"/>
          <w:color w:val="000000"/>
          <w:sz w:val="24"/>
          <w:szCs w:val="24"/>
          <w:vertAlign w:val="superscript"/>
        </w:rPr>
        <w:t>149</w:t>
      </w:r>
      <w:r>
        <w:rPr>
          <w:rFonts w:ascii="Times New Roman" w:hAnsi="Times New Roman"/>
          <w:color w:val="000000"/>
          <w:sz w:val="24"/>
          <w:szCs w:val="24"/>
        </w:rPr>
        <w:t>. Intriguingly, the pattern of incorporation of bromodeoxyuridine (BrDU) into newly synthesized DNA in the same soil was reversed. Alphaproteobacteria, especially Sphingomonadaceae, and Bacteroidetes showed rapid responses, accounting for 31.6% and 29.4% of new DNA sequences, respectively, within 12 hours after rewetting. On the other hand, Actinobacteria exhibited a significant increase in abundance only 48 hours later</w:t>
      </w:r>
      <w:r>
        <w:rPr>
          <w:rFonts w:ascii="Times New Roman" w:hAnsi="Times New Roman"/>
          <w:color w:val="000000"/>
          <w:sz w:val="24"/>
          <w:szCs w:val="24"/>
          <w:vertAlign w:val="superscript"/>
        </w:rPr>
        <w:t>150</w:t>
      </w:r>
      <w:r>
        <w:rPr>
          <w:rFonts w:ascii="Times New Roman" w:hAnsi="Times New Roman"/>
          <w:color w:val="000000"/>
          <w:sz w:val="24"/>
          <w:szCs w:val="24"/>
        </w:rPr>
        <w:t xml:space="preserve">. A study that is comparable but more extensive used 18O-stable isotope probing to evaluate bacteria that respond quickly; The Alphaproteobacteria's </w:t>
      </w:r>
      <w:r>
        <w:rPr>
          <w:rFonts w:ascii="Times New Roman" w:hAnsi="Times New Roman"/>
          <w:i/>
          <w:color w:val="000000"/>
          <w:sz w:val="24"/>
          <w:szCs w:val="24"/>
        </w:rPr>
        <w:t xml:space="preserve">Sphingomonadaceae </w:t>
      </w:r>
      <w:r>
        <w:rPr>
          <w:rFonts w:ascii="Times New Roman" w:hAnsi="Times New Roman"/>
          <w:color w:val="000000"/>
          <w:sz w:val="24"/>
          <w:szCs w:val="24"/>
        </w:rPr>
        <w:t>were the most common fast-responding bacteria in a variety of ecosystems, accounting for 38% of 18O-labeled DNA sequences</w:t>
      </w:r>
      <w:r>
        <w:rPr>
          <w:rFonts w:ascii="Times New Roman" w:hAnsi="Times New Roman"/>
          <w:color w:val="000000"/>
          <w:sz w:val="24"/>
          <w:szCs w:val="24"/>
          <w:vertAlign w:val="superscript"/>
        </w:rPr>
        <w:t>151</w:t>
      </w:r>
      <w:r>
        <w:rPr>
          <w:rFonts w:ascii="Times New Roman" w:hAnsi="Times New Roman"/>
          <w:color w:val="000000"/>
          <w:sz w:val="24"/>
          <w:szCs w:val="24"/>
        </w:rPr>
        <w:t>. While some other groups can start replicating and growing actively at a faster pace, Actinobacteria seem to maintain a certain level of potential activity that allows them to quickly upregulate their functions after rewetting. The microbial reaction to drought as well as rewetting remains complex due to the various ways we can measure and assess activity and development in microorganisms</w:t>
      </w:r>
      <w:r>
        <w:rPr>
          <w:rFonts w:ascii="Times New Roman" w:hAnsi="Times New Roman"/>
          <w:color w:val="000000"/>
          <w:sz w:val="24"/>
          <w:szCs w:val="24"/>
          <w:vertAlign w:val="superscript"/>
        </w:rPr>
        <w:t>152</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Following rewetting, pulses of CO</w:t>
      </w:r>
      <w:r>
        <w:rPr>
          <w:rFonts w:ascii="Times New Roman" w:hAnsi="Times New Roman"/>
          <w:color w:val="000000"/>
          <w:sz w:val="24"/>
          <w:szCs w:val="24"/>
          <w:vertAlign w:val="subscript"/>
        </w:rPr>
        <w:t>2</w:t>
      </w:r>
      <w:r>
        <w:rPr>
          <w:rFonts w:ascii="Times New Roman" w:hAnsi="Times New Roman"/>
          <w:color w:val="000000"/>
          <w:sz w:val="24"/>
          <w:szCs w:val="24"/>
        </w:rPr>
        <w:t xml:space="preserve"> have been suggested to be driven by microbial community dynamics, according to several articles</w:t>
      </w:r>
      <w:r>
        <w:rPr>
          <w:rFonts w:ascii="Times New Roman" w:hAnsi="Times New Roman"/>
          <w:color w:val="000000"/>
          <w:sz w:val="24"/>
          <w:szCs w:val="24"/>
          <w:vertAlign w:val="superscript"/>
        </w:rPr>
        <w:t>153,154</w:t>
      </w:r>
      <w:r>
        <w:rPr>
          <w:rFonts w:ascii="Times New Roman" w:hAnsi="Times New Roman"/>
          <w:color w:val="000000"/>
          <w:sz w:val="24"/>
          <w:szCs w:val="24"/>
        </w:rPr>
        <w:t>. The carbon that is mobilized serves as a source of energy for the changes in the microbial community, as mentioned earlier. The surge in available carbon seems to be influenced by chemical and physical processes, and it took at least 12 hours for growth, as measured by leucine incorporation, to commence. The microbial community adapts to this sudden influx of carbon, and as a result, the specific organisms responsible for metabolizing and respiring the carbon may be of secondary importance or even irrelevant in the context of soil biogeochemistry. Rather than who metabolizes carbon, what they do with it likely determines its fate. The ultimate destiny of this carbon would alter only if organisms distributed it differently and generated substances with distinct long-term outcomes, such as proteins, cell walls, or EPS. To enhance our understanding of the relationships between the microbial community and biogeochemical processes, it is crucial to keep investigating the intricate interplay between physicochemical and biological factors that govern the response of soil microbes to moisture</w:t>
      </w:r>
      <w:r>
        <w:rPr>
          <w:rFonts w:ascii="Times New Roman" w:hAnsi="Times New Roman"/>
          <w:color w:val="000000"/>
          <w:sz w:val="24"/>
          <w:szCs w:val="24"/>
          <w:vertAlign w:val="superscript"/>
        </w:rPr>
        <w:t>155</w:t>
      </w:r>
      <w:r>
        <w:rPr>
          <w:rFonts w:ascii="Times New Roman" w:hAnsi="Times New Roman"/>
          <w:color w:val="000000"/>
          <w:sz w:val="24"/>
          <w:szCs w:val="24"/>
        </w:rPr>
        <w:t>.</w:t>
      </w:r>
      <w:bookmarkEnd w:id="28"/>
      <w:bookmarkStart w:id="31" w:name="_Toc132200944"/>
    </w:p>
    <w:p>
      <w:pPr>
        <w:spacing w:after="120" w:line="480" w:lineRule="auto"/>
        <w:jc w:val="both"/>
        <w:rPr>
          <w:rFonts w:ascii="Times New Roman" w:hAnsi="Times New Roman"/>
          <w:b/>
          <w:color w:val="000000"/>
          <w:sz w:val="24"/>
          <w:szCs w:val="24"/>
        </w:rPr>
      </w:pPr>
      <w:r>
        <w:rPr>
          <w:rFonts w:ascii="Times New Roman" w:hAnsi="Times New Roman"/>
          <w:b/>
          <w:sz w:val="24"/>
          <w:szCs w:val="24"/>
        </w:rPr>
        <w:t>2.17</w:t>
      </w:r>
      <w:r>
        <w:rPr>
          <w:rFonts w:ascii="Times New Roman" w:hAnsi="Times New Roman"/>
          <w:b/>
          <w:sz w:val="24"/>
          <w:szCs w:val="24"/>
        </w:rPr>
        <w:tab/>
      </w:r>
      <w:r>
        <w:rPr>
          <w:rFonts w:ascii="Times New Roman" w:hAnsi="Times New Roman"/>
          <w:b/>
          <w:sz w:val="24"/>
          <w:szCs w:val="24"/>
        </w:rPr>
        <w:t>Impact of Poultry Manure and Litter on the Fertility of the Soil</w:t>
      </w:r>
      <w:bookmarkEnd w:id="31"/>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Poultry manure and litter are extensively utilized as nutrient sources for crop production due to their rich nutrient content</w:t>
      </w:r>
      <w:r>
        <w:rPr>
          <w:rFonts w:ascii="Times New Roman" w:hAnsi="Times New Roman"/>
          <w:color w:val="000000"/>
          <w:sz w:val="24"/>
          <w:szCs w:val="24"/>
          <w:vertAlign w:val="superscript"/>
        </w:rPr>
        <w:t>10</w:t>
      </w:r>
      <w:r>
        <w:rPr>
          <w:rFonts w:ascii="Times New Roman" w:hAnsi="Times New Roman"/>
          <w:color w:val="000000"/>
          <w:sz w:val="24"/>
          <w:szCs w:val="24"/>
        </w:rPr>
        <w:t>. While poultry manure primarily consists of excreta, poultry litter is made up of both excreta and bedding materials like wheat straw, sawdust, and wood shavings. Studies assessing the positive impacts of poultry litter nutrients on crop production have been conducted. The evaluations consider factors such as the flock number raised on the same litter, the bedding material type utilized, the broiler's feed composition, and the elemental makeup of the poultry litter, which may vary across different scenarios</w:t>
      </w:r>
      <w:r>
        <w:rPr>
          <w:rFonts w:ascii="Times New Roman" w:hAnsi="Times New Roman"/>
          <w:color w:val="000000"/>
          <w:sz w:val="24"/>
          <w:szCs w:val="24"/>
          <w:vertAlign w:val="superscript"/>
        </w:rPr>
        <w:t>156</w:t>
      </w:r>
      <w:r>
        <w:rPr>
          <w:rFonts w:ascii="Times New Roman" w:hAnsi="Times New Roman"/>
          <w:color w:val="000000"/>
          <w:sz w:val="24"/>
          <w:szCs w:val="24"/>
        </w:rPr>
        <w:t>. The waste's fertilizer value can be significantly uncertain due to differences in elemental composition. Analyzing waste prior to land application is the only dependable method for predicting the effects of poultry litter on crop production</w:t>
      </w:r>
      <w:r>
        <w:rPr>
          <w:rFonts w:ascii="Times New Roman" w:hAnsi="Times New Roman"/>
          <w:color w:val="000000"/>
          <w:sz w:val="24"/>
          <w:szCs w:val="24"/>
          <w:vertAlign w:val="superscript"/>
        </w:rPr>
        <w:t>154</w:t>
      </w:r>
      <w:r>
        <w:rPr>
          <w:rFonts w:ascii="Times New Roman" w:hAnsi="Times New Roman"/>
          <w:color w:val="000000"/>
          <w:sz w:val="24"/>
          <w:szCs w:val="24"/>
        </w:rPr>
        <w:t>. Poultry waste has one of the highest total N and P contents of any animal waste</w:t>
      </w:r>
      <w:r>
        <w:rPr>
          <w:rFonts w:ascii="Times New Roman" w:hAnsi="Times New Roman"/>
          <w:color w:val="000000"/>
          <w:sz w:val="24"/>
          <w:szCs w:val="24"/>
          <w:vertAlign w:val="superscript"/>
        </w:rPr>
        <w:t>156</w:t>
      </w:r>
      <w:r>
        <w:rPr>
          <w:rFonts w:ascii="Times New Roman" w:hAnsi="Times New Roman"/>
          <w:color w:val="000000"/>
          <w:sz w:val="24"/>
          <w:szCs w:val="24"/>
        </w:rPr>
        <w:t>. Fresh poultry litter contains approximately 75% organic N and 25% inorganic N as a "thumb rule</w:t>
      </w:r>
      <w:r>
        <w:rPr>
          <w:rFonts w:ascii="Times New Roman" w:hAnsi="Times New Roman"/>
          <w:color w:val="000000"/>
          <w:sz w:val="24"/>
          <w:szCs w:val="24"/>
          <w:vertAlign w:val="superscript"/>
        </w:rPr>
        <w:t>156</w:t>
      </w:r>
      <w:r>
        <w:rPr>
          <w:rFonts w:ascii="Times New Roman" w:hAnsi="Times New Roman"/>
          <w:color w:val="000000"/>
          <w:sz w:val="24"/>
          <w:szCs w:val="24"/>
        </w:rPr>
        <w:t xml:space="preserve">." In poultry litter modified soils, the transformation of organic and inorganic forms of nitrogen varies depending on temperature, pH, moisture content, oxygen concentration, and microbial activity. Mineralization is required for the organic forms of N before they can be absorbed by plants. </w:t>
      </w:r>
      <w:bookmarkStart w:id="32" w:name="_Toc132200945"/>
    </w:p>
    <w:p>
      <w:pPr>
        <w:spacing w:after="200" w:line="276" w:lineRule="auto"/>
        <w:rPr>
          <w:rFonts w:ascii="Times New Roman" w:hAnsi="Times New Roman"/>
          <w:b/>
          <w:color w:val="000000"/>
          <w:sz w:val="24"/>
          <w:szCs w:val="24"/>
        </w:rPr>
      </w:pPr>
      <w:r>
        <w:rPr>
          <w:rFonts w:ascii="Times New Roman" w:hAnsi="Times New Roman"/>
          <w:b/>
          <w:color w:val="000000"/>
          <w:sz w:val="24"/>
          <w:szCs w:val="24"/>
        </w:rPr>
        <w:br w:type="page"/>
      </w:r>
    </w:p>
    <w:bookmarkEnd w:id="32"/>
    <w:p>
      <w:pPr>
        <w:spacing w:after="240" w:line="276" w:lineRule="auto"/>
        <w:ind w:left="709" w:hanging="709"/>
        <w:jc w:val="center"/>
        <w:rPr>
          <w:rFonts w:ascii="Times New Roman" w:hAnsi="Times New Roman"/>
          <w:b/>
          <w:color w:val="000000"/>
          <w:sz w:val="24"/>
          <w:szCs w:val="24"/>
        </w:rPr>
      </w:pPr>
      <w:r>
        <w:rPr>
          <w:rFonts w:ascii="Times New Roman" w:hAnsi="Times New Roman"/>
          <w:b/>
          <w:color w:val="000000"/>
          <w:sz w:val="24"/>
          <w:szCs w:val="24"/>
        </w:rPr>
        <w:t>Endnotes</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shd w:val="clear" w:color="auto" w:fill="FFFFFF"/>
        </w:rPr>
        <w:t xml:space="preserve">S. Alonso, P. Dominguez-Salas &amp; D. Grace 2019. </w:t>
      </w:r>
      <w:r>
        <w:rPr>
          <w:rFonts w:ascii="Times New Roman" w:hAnsi="Times New Roman"/>
          <w:i/>
          <w:color w:val="000000"/>
          <w:sz w:val="24"/>
          <w:szCs w:val="24"/>
          <w:shd w:val="clear" w:color="auto" w:fill="FFFFFF"/>
        </w:rPr>
        <w:t>The Role of Livestock Products for Nutrition in the First 1,000 Days of Life</w:t>
      </w:r>
      <w:r>
        <w:rPr>
          <w:rFonts w:ascii="Times New Roman" w:hAnsi="Times New Roman"/>
          <w:color w:val="000000"/>
          <w:sz w:val="24"/>
          <w:szCs w:val="24"/>
          <w:shd w:val="clear" w:color="auto" w:fill="FFFFFF"/>
        </w:rPr>
        <w:t xml:space="preserve">, </w:t>
      </w:r>
      <w:r>
        <w:rPr>
          <w:rFonts w:ascii="Times New Roman" w:hAnsi="Times New Roman"/>
          <w:b/>
          <w:color w:val="000000"/>
          <w:sz w:val="24"/>
          <w:szCs w:val="24"/>
          <w:shd w:val="clear" w:color="auto" w:fill="FFFFFF"/>
        </w:rPr>
        <w:t>Anim Front.</w:t>
      </w:r>
      <w:r>
        <w:rPr>
          <w:rFonts w:ascii="Times New Roman" w:hAnsi="Times New Roman"/>
          <w:color w:val="000000"/>
          <w:sz w:val="24"/>
          <w:szCs w:val="24"/>
          <w:shd w:val="clear" w:color="auto" w:fill="FFFFFF"/>
        </w:rPr>
        <w:t xml:space="preserve"> 9(4), 2019, 24-31. doi: 10.1093/af/vfz033. PMID: 32002271; PMCID: PMC6951902</w:t>
      </w:r>
      <w:r>
        <w:rPr>
          <w:rFonts w:ascii="Times New Roman" w:hAnsi="Times New Roman"/>
          <w:color w:val="212121"/>
          <w:sz w:val="24"/>
          <w:szCs w:val="24"/>
          <w:shd w:val="clear" w:color="auto" w:fill="FFFFFF"/>
        </w:rPr>
        <w:t>.</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shd w:val="clear" w:color="auto" w:fill="FFFFFF"/>
        </w:rPr>
        <w:t xml:space="preserve">G. A. Malomo, A. S. Madugu, &amp; S. A. Bolu, </w:t>
      </w:r>
      <w:r>
        <w:rPr>
          <w:rFonts w:ascii="Times New Roman" w:hAnsi="Times New Roman"/>
          <w:i/>
          <w:color w:val="000000"/>
          <w:sz w:val="24"/>
          <w:szCs w:val="24"/>
          <w:shd w:val="clear" w:color="auto" w:fill="FFFFFF"/>
        </w:rPr>
        <w:t>Sustainable Animal Manure Management Strategies and Practices</w:t>
      </w:r>
      <w:r>
        <w:rPr>
          <w:rFonts w:ascii="Times New Roman" w:hAnsi="Times New Roman"/>
          <w:color w:val="000000"/>
          <w:sz w:val="24"/>
          <w:szCs w:val="24"/>
          <w:shd w:val="clear" w:color="auto" w:fill="FFFFFF"/>
        </w:rPr>
        <w:t xml:space="preserve">. </w:t>
      </w:r>
      <w:r>
        <w:rPr>
          <w:rFonts w:ascii="Times New Roman" w:hAnsi="Times New Roman"/>
          <w:b/>
          <w:color w:val="000000"/>
          <w:sz w:val="24"/>
          <w:szCs w:val="24"/>
          <w:shd w:val="clear" w:color="auto" w:fill="FFFFFF"/>
        </w:rPr>
        <w:t>InTech</w:t>
      </w:r>
      <w:r>
        <w:rPr>
          <w:rFonts w:ascii="Times New Roman" w:hAnsi="Times New Roman"/>
          <w:color w:val="000000"/>
          <w:sz w:val="24"/>
          <w:szCs w:val="24"/>
          <w:shd w:val="clear" w:color="auto" w:fill="FFFFFF"/>
        </w:rPr>
        <w:t>. doi: 2018,10.5772/intechopen.78645</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M. Arshad, A. R. Ansari, R. Qadir, M. H. Tahir, A. Nadeem, T. Mehmood, H. Alhumade &amp; N. Khan, </w:t>
      </w:r>
      <w:r>
        <w:rPr>
          <w:rFonts w:ascii="Times New Roman" w:hAnsi="Times New Roman"/>
          <w:i/>
          <w:color w:val="000000"/>
          <w:sz w:val="24"/>
          <w:szCs w:val="24"/>
        </w:rPr>
        <w:t>Green Electricity Generation from Biogas of Cattle Manure: An Assessment of Potential and Feasibility in Pakistan</w:t>
      </w:r>
      <w:r>
        <w:rPr>
          <w:rFonts w:ascii="Times New Roman" w:hAnsi="Times New Roman"/>
          <w:color w:val="000000"/>
          <w:sz w:val="24"/>
          <w:szCs w:val="24"/>
        </w:rPr>
        <w:t>, </w:t>
      </w:r>
      <w:r>
        <w:rPr>
          <w:rFonts w:ascii="Times New Roman" w:hAnsi="Times New Roman"/>
          <w:b/>
          <w:iCs/>
          <w:color w:val="000000"/>
          <w:sz w:val="24"/>
          <w:szCs w:val="24"/>
        </w:rPr>
        <w:t>Front. Energy Res.</w:t>
      </w:r>
      <w:r>
        <w:rPr>
          <w:rFonts w:ascii="Times New Roman" w:hAnsi="Times New Roman"/>
          <w:color w:val="000000"/>
          <w:sz w:val="24"/>
          <w:szCs w:val="24"/>
        </w:rPr>
        <w:t>, 10, 2022, 911485. doi: 10.3389/fenrg.2022.911485</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D. Neupane, </w:t>
      </w:r>
      <w:r>
        <w:rPr>
          <w:rFonts w:ascii="Times New Roman" w:hAnsi="Times New Roman"/>
          <w:i/>
          <w:color w:val="000000"/>
          <w:sz w:val="24"/>
          <w:szCs w:val="24"/>
        </w:rPr>
        <w:t>"Biofuels from Renewable Sources, a Potential Option for Biodiesel Production"</w:t>
      </w:r>
      <w:r>
        <w:rPr>
          <w:rFonts w:ascii="Times New Roman" w:hAnsi="Times New Roman"/>
          <w:color w:val="000000"/>
          <w:sz w:val="24"/>
          <w:szCs w:val="24"/>
        </w:rPr>
        <w:t> </w:t>
      </w:r>
      <w:r>
        <w:rPr>
          <w:rFonts w:ascii="Times New Roman" w:hAnsi="Times New Roman"/>
          <w:b/>
          <w:iCs/>
          <w:color w:val="000000"/>
          <w:sz w:val="24"/>
          <w:szCs w:val="24"/>
        </w:rPr>
        <w:t>Bioengineering</w:t>
      </w:r>
      <w:r>
        <w:rPr>
          <w:rFonts w:ascii="Times New Roman" w:hAnsi="Times New Roman"/>
          <w:color w:val="000000"/>
          <w:sz w:val="24"/>
          <w:szCs w:val="24"/>
        </w:rPr>
        <w:t xml:space="preserve">, 10(1), 2023, 29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B. Egidijus, K. Navickas, K. Venslauskas, B. Žalys, V. Župerka, &amp; M. Rubežius, </w:t>
      </w:r>
      <w:r>
        <w:rPr>
          <w:rFonts w:ascii="Times New Roman" w:hAnsi="Times New Roman"/>
          <w:i/>
          <w:color w:val="000000"/>
          <w:sz w:val="24"/>
          <w:szCs w:val="24"/>
        </w:rPr>
        <w:t>"Biogas Production Enhancement through Chicken Manure Co-Digestion with Pig Fat"</w:t>
      </w:r>
      <w:r>
        <w:rPr>
          <w:rFonts w:ascii="Times New Roman" w:hAnsi="Times New Roman"/>
          <w:color w:val="000000"/>
          <w:sz w:val="24"/>
          <w:szCs w:val="24"/>
        </w:rPr>
        <w:t> </w:t>
      </w:r>
      <w:r>
        <w:rPr>
          <w:rFonts w:ascii="Times New Roman" w:hAnsi="Times New Roman"/>
          <w:b/>
          <w:iCs/>
          <w:color w:val="000000"/>
          <w:sz w:val="24"/>
          <w:szCs w:val="24"/>
        </w:rPr>
        <w:t>Applied Sciences</w:t>
      </w:r>
      <w:r>
        <w:rPr>
          <w:rFonts w:ascii="Times New Roman" w:hAnsi="Times New Roman"/>
          <w:b/>
          <w:color w:val="000000"/>
          <w:sz w:val="24"/>
          <w:szCs w:val="24"/>
        </w:rPr>
        <w:t>,</w:t>
      </w:r>
      <w:r>
        <w:rPr>
          <w:rFonts w:ascii="Times New Roman" w:hAnsi="Times New Roman"/>
          <w:color w:val="000000"/>
          <w:sz w:val="24"/>
          <w:szCs w:val="24"/>
        </w:rPr>
        <w:t xml:space="preserve"> 12(9), 2022, 4652. https://doi.org/10.3390/app12094652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R. Silva, S. Laura, A. Mariana, D. M. Ribeiro, C. Guedes, J. R. González Montaña, A. F. Pereira, K. Zaralis, A. Geraldo &amp; O. Tzamaloukas, </w:t>
      </w:r>
      <w:r>
        <w:rPr>
          <w:rFonts w:ascii="Times New Roman" w:hAnsi="Times New Roman"/>
          <w:i/>
          <w:color w:val="000000"/>
          <w:sz w:val="24"/>
          <w:szCs w:val="24"/>
        </w:rPr>
        <w:t>"Extensive Sheep and Goat Production: The Role of Novel Technologies towards Sustainability and Animal Welfare</w:t>
      </w:r>
      <w:r>
        <w:rPr>
          <w:rFonts w:ascii="Times New Roman" w:hAnsi="Times New Roman"/>
          <w:color w:val="000000"/>
          <w:sz w:val="24"/>
          <w:szCs w:val="24"/>
        </w:rPr>
        <w:t>", </w:t>
      </w:r>
      <w:r>
        <w:rPr>
          <w:rFonts w:ascii="Times New Roman" w:hAnsi="Times New Roman"/>
          <w:b/>
          <w:iCs/>
          <w:color w:val="000000"/>
          <w:sz w:val="24"/>
          <w:szCs w:val="24"/>
        </w:rPr>
        <w:t>Animals</w:t>
      </w:r>
      <w:r>
        <w:rPr>
          <w:rFonts w:ascii="Times New Roman" w:hAnsi="Times New Roman"/>
          <w:iCs/>
          <w:color w:val="000000"/>
          <w:sz w:val="24"/>
          <w:szCs w:val="24"/>
        </w:rPr>
        <w:t>,</w:t>
      </w:r>
      <w:r>
        <w:rPr>
          <w:rFonts w:ascii="Times New Roman" w:hAnsi="Times New Roman"/>
          <w:color w:val="000000"/>
          <w:sz w:val="24"/>
          <w:szCs w:val="24"/>
        </w:rPr>
        <w:t xml:space="preserve"> 12(7), 2022, 885. https://doi.org/10.3390/ani12070885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P. C. Nath, O. Amiya, D. Shubhankar, S. Minaxi, K. N. Prakash, S. Kandi, &amp; S. I. Baskaran, </w:t>
      </w:r>
      <w:r>
        <w:rPr>
          <w:rFonts w:ascii="Times New Roman" w:hAnsi="Times New Roman"/>
          <w:i/>
          <w:color w:val="000000"/>
          <w:sz w:val="24"/>
          <w:szCs w:val="24"/>
        </w:rPr>
        <w:t>"Valorization of Food Waste as Animal Feed: A Step towards Sustainable Food Waste Management and Circular Bioeconomy"</w:t>
      </w:r>
      <w:r>
        <w:rPr>
          <w:rFonts w:ascii="Times New Roman" w:hAnsi="Times New Roman"/>
          <w:color w:val="000000"/>
          <w:sz w:val="24"/>
          <w:szCs w:val="24"/>
        </w:rPr>
        <w:t>, </w:t>
      </w:r>
      <w:r>
        <w:rPr>
          <w:rFonts w:ascii="Times New Roman" w:hAnsi="Times New Roman"/>
          <w:b/>
          <w:iCs/>
          <w:color w:val="000000"/>
          <w:sz w:val="24"/>
          <w:szCs w:val="24"/>
        </w:rPr>
        <w:t>Animals</w:t>
      </w:r>
      <w:r>
        <w:rPr>
          <w:rFonts w:ascii="Times New Roman" w:hAnsi="Times New Roman"/>
          <w:color w:val="000000"/>
          <w:sz w:val="24"/>
          <w:szCs w:val="24"/>
        </w:rPr>
        <w:t>, 13(8), 2023, 1366. https://doi.org/10.3390/ani13081366</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M. R. Rahimi, Y. A. Alijoo, R. Pirmohammadi, &amp; M. Alimirzaei, </w:t>
      </w:r>
      <w:r>
        <w:rPr>
          <w:rFonts w:ascii="Times New Roman" w:hAnsi="Times New Roman"/>
          <w:i/>
          <w:color w:val="000000"/>
          <w:sz w:val="24"/>
          <w:szCs w:val="24"/>
        </w:rPr>
        <w:t>Effects of Feeding with Broiler Litter in Pellet-Form Diet on Qizil Fattening Lambs' Performance, Nutrient Digestibility, Blood Metabolites and Husbandry Economics.</w:t>
      </w:r>
      <w:r>
        <w:rPr>
          <w:rFonts w:ascii="Times New Roman" w:hAnsi="Times New Roman"/>
          <w:color w:val="000000"/>
          <w:sz w:val="24"/>
          <w:szCs w:val="24"/>
        </w:rPr>
        <w:t> </w:t>
      </w:r>
      <w:r>
        <w:rPr>
          <w:rFonts w:ascii="Times New Roman" w:hAnsi="Times New Roman"/>
          <w:b/>
          <w:color w:val="000000"/>
          <w:sz w:val="24"/>
          <w:szCs w:val="24"/>
        </w:rPr>
        <w:t>Veterinary research forum: an international quarterly journal,</w:t>
      </w:r>
      <w:r>
        <w:rPr>
          <w:rFonts w:ascii="Times New Roman" w:hAnsi="Times New Roman"/>
          <w:color w:val="000000"/>
          <w:sz w:val="24"/>
          <w:szCs w:val="24"/>
        </w:rPr>
        <w:t xml:space="preserve"> 9(3), 2018, 245–251, https://doi.org/10.30466/vrf.2018.32081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Poudel, G. T. Tabler, J. Lin, W. Zhai, &amp; L. Zhang, </w:t>
      </w:r>
      <w:r>
        <w:rPr>
          <w:rFonts w:ascii="Times New Roman" w:hAnsi="Times New Roman"/>
          <w:i/>
          <w:color w:val="000000"/>
          <w:sz w:val="24"/>
          <w:szCs w:val="24"/>
        </w:rPr>
        <w:t>Riboflavin and Bacillus subtilis Effects on Growth Performance and Woody-Breast of Ross 708 Broilers with or without Eimeria spp. Challenge</w:t>
      </w:r>
      <w:r>
        <w:rPr>
          <w:rFonts w:ascii="Times New Roman" w:hAnsi="Times New Roman"/>
          <w:color w:val="000000"/>
          <w:sz w:val="24"/>
          <w:szCs w:val="24"/>
        </w:rPr>
        <w:t>. </w:t>
      </w:r>
      <w:r>
        <w:rPr>
          <w:rFonts w:ascii="Times New Roman" w:hAnsi="Times New Roman"/>
          <w:b/>
          <w:color w:val="000000"/>
          <w:sz w:val="24"/>
          <w:szCs w:val="24"/>
        </w:rPr>
        <w:t>Journal of Animal science and technology</w:t>
      </w:r>
      <w:r>
        <w:rPr>
          <w:rFonts w:ascii="Times New Roman" w:hAnsi="Times New Roman"/>
          <w:color w:val="000000"/>
          <w:sz w:val="24"/>
          <w:szCs w:val="24"/>
        </w:rPr>
        <w:t xml:space="preserve">, 64(3), 2022, 443–461, https://doi.org/10.5187/jast.2022.e24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V. Ravindran, &amp; M. R. Abdollahi, </w:t>
      </w:r>
      <w:r>
        <w:rPr>
          <w:rFonts w:ascii="Times New Roman" w:hAnsi="Times New Roman"/>
          <w:i/>
          <w:color w:val="000000"/>
          <w:sz w:val="24"/>
          <w:szCs w:val="24"/>
        </w:rPr>
        <w:t>Nutrition and Digestive Physiology of the Broiler Chick: State of the Art and Outlook.</w:t>
      </w:r>
      <w:r>
        <w:rPr>
          <w:rFonts w:ascii="Times New Roman" w:hAnsi="Times New Roman"/>
          <w:color w:val="000000"/>
          <w:sz w:val="24"/>
          <w:szCs w:val="24"/>
        </w:rPr>
        <w:t> </w:t>
      </w:r>
      <w:r>
        <w:rPr>
          <w:rFonts w:ascii="Times New Roman" w:hAnsi="Times New Roman"/>
          <w:b/>
          <w:color w:val="000000"/>
          <w:sz w:val="24"/>
          <w:szCs w:val="24"/>
        </w:rPr>
        <w:t>Animals,</w:t>
      </w:r>
      <w:r>
        <w:rPr>
          <w:rFonts w:ascii="Times New Roman" w:hAnsi="Times New Roman"/>
          <w:color w:val="000000"/>
          <w:sz w:val="24"/>
          <w:szCs w:val="24"/>
        </w:rPr>
        <w:t xml:space="preserve"> 11(10), 2021, 2795, https://doi.org/10.3390/ani11102795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A. Iannucci, M. Fragasso, R Beleggia, F Nigro &amp; R. Papa, </w:t>
      </w:r>
      <w:r>
        <w:rPr>
          <w:rFonts w:ascii="Times New Roman" w:hAnsi="Times New Roman"/>
          <w:i/>
          <w:color w:val="000000"/>
          <w:sz w:val="24"/>
          <w:szCs w:val="24"/>
        </w:rPr>
        <w:t>Evolution of the Crop Rhizosphere: Impact of Domestication on Root Exudates in Tetraploid Wheat (Triticum turgidum L.), </w:t>
      </w:r>
      <w:r>
        <w:rPr>
          <w:rFonts w:ascii="Times New Roman" w:hAnsi="Times New Roman"/>
          <w:b/>
          <w:color w:val="000000"/>
          <w:sz w:val="24"/>
          <w:szCs w:val="24"/>
        </w:rPr>
        <w:t>Front. Plant Sci.</w:t>
      </w:r>
      <w:r>
        <w:rPr>
          <w:rFonts w:ascii="Times New Roman" w:hAnsi="Times New Roman"/>
          <w:color w:val="000000"/>
          <w:sz w:val="24"/>
          <w:szCs w:val="24"/>
        </w:rPr>
        <w:t xml:space="preserve">, 8, 2018, 2124. doi: 10.3389/fpls.2017.02124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K. Mahmud, M. Shiva, I. Razi, &amp; M. Ali, "</w:t>
      </w:r>
      <w:r>
        <w:rPr>
          <w:rFonts w:ascii="Times New Roman" w:hAnsi="Times New Roman"/>
          <w:i/>
          <w:color w:val="000000"/>
          <w:sz w:val="24"/>
          <w:szCs w:val="24"/>
        </w:rPr>
        <w:t>Current Progress in Nitrogen Fixing Plants and Microbiome Research</w:t>
      </w:r>
      <w:r>
        <w:rPr>
          <w:rFonts w:ascii="Times New Roman" w:hAnsi="Times New Roman"/>
          <w:color w:val="000000"/>
          <w:sz w:val="24"/>
          <w:szCs w:val="24"/>
        </w:rPr>
        <w:t>", </w:t>
      </w:r>
      <w:r>
        <w:rPr>
          <w:rFonts w:ascii="Times New Roman" w:hAnsi="Times New Roman"/>
          <w:b/>
          <w:iCs/>
          <w:color w:val="000000"/>
          <w:sz w:val="24"/>
          <w:szCs w:val="24"/>
        </w:rPr>
        <w:t>Plants</w:t>
      </w:r>
      <w:r>
        <w:rPr>
          <w:rFonts w:ascii="Times New Roman" w:hAnsi="Times New Roman"/>
          <w:color w:val="000000"/>
          <w:sz w:val="24"/>
          <w:szCs w:val="24"/>
        </w:rPr>
        <w:t xml:space="preserve">, 9(1), 2020, 97, </w:t>
      </w:r>
      <w:r>
        <w:fldChar w:fldCharType="begin"/>
      </w:r>
      <w:r>
        <w:instrText xml:space="preserve"> HYPERLINK "https://doi.org/10.3390/plants9010097" </w:instrText>
      </w:r>
      <w:r>
        <w:fldChar w:fldCharType="separate"/>
      </w:r>
      <w:r>
        <w:rPr>
          <w:rFonts w:ascii="Times New Roman" w:hAnsi="Times New Roman"/>
          <w:color w:val="000000"/>
          <w:sz w:val="24"/>
          <w:szCs w:val="24"/>
        </w:rPr>
        <w:t>https://doi.org/10.3390/plants9010097</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L. Wang, Y. Wang, W. Xiu, B. Tan, G. Li, J. Zhao, D. Yang, G. Zhang, &amp; Y. Zhang, </w:t>
      </w:r>
      <w:r>
        <w:rPr>
          <w:rFonts w:ascii="Times New Roman" w:hAnsi="Times New Roman"/>
          <w:i/>
          <w:color w:val="000000"/>
          <w:sz w:val="24"/>
          <w:szCs w:val="24"/>
        </w:rPr>
        <w:t>Responses of Soil Microbial and Nematode Communities to Various Cover Crop Patterns in a Tea Garden of China</w:t>
      </w:r>
      <w:r>
        <w:rPr>
          <w:rFonts w:ascii="Times New Roman" w:hAnsi="Times New Roman"/>
          <w:color w:val="000000"/>
          <w:sz w:val="24"/>
          <w:szCs w:val="24"/>
        </w:rPr>
        <w:t>. </w:t>
      </w:r>
      <w:r>
        <w:rPr>
          <w:rFonts w:ascii="Times New Roman" w:hAnsi="Times New Roman"/>
          <w:b/>
          <w:color w:val="000000"/>
          <w:sz w:val="24"/>
          <w:szCs w:val="24"/>
        </w:rPr>
        <w:t>International Journal of environmental research and public health,</w:t>
      </w:r>
      <w:r>
        <w:rPr>
          <w:rFonts w:ascii="Times New Roman" w:hAnsi="Times New Roman"/>
          <w:color w:val="000000"/>
          <w:sz w:val="24"/>
          <w:szCs w:val="24"/>
        </w:rPr>
        <w:t xml:space="preserve"> 19(5), 2022, 2695, https://doi.org/10.3390/ijerph19052695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C., Gu, G.B. Kim &amp; W.J. Kim, </w:t>
      </w:r>
      <w:r>
        <w:rPr>
          <w:rFonts w:ascii="Times New Roman" w:hAnsi="Times New Roman"/>
          <w:i/>
          <w:color w:val="000000"/>
          <w:sz w:val="24"/>
          <w:szCs w:val="24"/>
        </w:rPr>
        <w:t>Current Status and Applications of Genome-Scale Metabolic Models.</w:t>
      </w:r>
      <w:r>
        <w:rPr>
          <w:rFonts w:ascii="Times New Roman" w:hAnsi="Times New Roman"/>
          <w:color w:val="000000"/>
          <w:sz w:val="24"/>
          <w:szCs w:val="24"/>
        </w:rPr>
        <w:t> </w:t>
      </w:r>
      <w:r>
        <w:rPr>
          <w:rFonts w:ascii="Times New Roman" w:hAnsi="Times New Roman"/>
          <w:b/>
          <w:color w:val="000000"/>
          <w:sz w:val="24"/>
          <w:szCs w:val="24"/>
        </w:rPr>
        <w:t>Genome Biol.</w:t>
      </w:r>
      <w:r>
        <w:rPr>
          <w:rFonts w:ascii="Times New Roman" w:hAnsi="Times New Roman"/>
          <w:color w:val="000000"/>
          <w:sz w:val="24"/>
          <w:szCs w:val="24"/>
        </w:rPr>
        <w:t xml:space="preserve">, 20, 2019, 121, </w:t>
      </w:r>
      <w:r>
        <w:fldChar w:fldCharType="begin"/>
      </w:r>
      <w:r>
        <w:instrText xml:space="preserve"> HYPERLINK "https://doi.org/10.1186/s13059-019-1730-3" </w:instrText>
      </w:r>
      <w:r>
        <w:fldChar w:fldCharType="separate"/>
      </w:r>
      <w:r>
        <w:rPr>
          <w:rFonts w:ascii="Times New Roman" w:hAnsi="Times New Roman"/>
          <w:color w:val="000000"/>
          <w:sz w:val="24"/>
          <w:szCs w:val="24"/>
        </w:rPr>
        <w:t>https://doi.org/10.1186/s13059-019-1730-3</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C. Proctor &amp; H. Yuhong, "</w:t>
      </w:r>
      <w:r>
        <w:rPr>
          <w:rFonts w:ascii="Times New Roman" w:hAnsi="Times New Roman"/>
          <w:i/>
          <w:color w:val="000000"/>
          <w:sz w:val="24"/>
          <w:szCs w:val="24"/>
        </w:rPr>
        <w:t>Modeling Root Exudate Accumulation Gradients to Estimate Net Exudation Rates by Peatland Soil Depth</w:t>
      </w:r>
      <w:r>
        <w:rPr>
          <w:rFonts w:ascii="Times New Roman" w:hAnsi="Times New Roman"/>
          <w:color w:val="000000"/>
          <w:sz w:val="24"/>
          <w:szCs w:val="24"/>
        </w:rPr>
        <w:t>", </w:t>
      </w:r>
      <w:r>
        <w:rPr>
          <w:rFonts w:ascii="Times New Roman" w:hAnsi="Times New Roman"/>
          <w:b/>
          <w:iCs/>
          <w:color w:val="000000"/>
          <w:sz w:val="24"/>
          <w:szCs w:val="24"/>
        </w:rPr>
        <w:t>Plants</w:t>
      </w:r>
      <w:r>
        <w:rPr>
          <w:rFonts w:ascii="Times New Roman" w:hAnsi="Times New Roman"/>
          <w:color w:val="000000"/>
          <w:sz w:val="24"/>
          <w:szCs w:val="24"/>
        </w:rPr>
        <w:t xml:space="preserve">, 10(1), 2021, 106, https://doi.org/10.3390/plants10010106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D. Heuermann, D. Schweneker, D. Feuerstein, U. Gentsch &amp; N. von Wirén, </w:t>
      </w:r>
      <w:r>
        <w:rPr>
          <w:rFonts w:ascii="Times New Roman" w:hAnsi="Times New Roman"/>
          <w:i/>
          <w:color w:val="000000"/>
          <w:sz w:val="24"/>
          <w:szCs w:val="24"/>
        </w:rPr>
        <w:t>Distinct Metabolite Classes in Root Exudates are Indicative for Field- or Hydroponically-Grown Cover Crops.</w:t>
      </w:r>
      <w:r>
        <w:rPr>
          <w:rFonts w:ascii="Times New Roman" w:hAnsi="Times New Roman"/>
          <w:color w:val="000000"/>
          <w:sz w:val="24"/>
          <w:szCs w:val="24"/>
        </w:rPr>
        <w:t> </w:t>
      </w:r>
      <w:r>
        <w:rPr>
          <w:rFonts w:ascii="Times New Roman" w:hAnsi="Times New Roman"/>
          <w:b/>
          <w:color w:val="000000"/>
          <w:sz w:val="24"/>
          <w:szCs w:val="24"/>
        </w:rPr>
        <w:t>Front. Plant Sci</w:t>
      </w:r>
      <w:r>
        <w:rPr>
          <w:rFonts w:ascii="Times New Roman" w:hAnsi="Times New Roman"/>
          <w:color w:val="000000"/>
          <w:sz w:val="24"/>
          <w:szCs w:val="24"/>
        </w:rPr>
        <w:t>., 14, 2023, 1122285. doi: 10.3389/fpls.2023.1122285</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H. Yuan, C. Y. M. Cheung, P. A. J. Hilbers &amp; N. A. W van Riel, </w:t>
      </w:r>
      <w:r>
        <w:rPr>
          <w:rFonts w:ascii="Times New Roman" w:hAnsi="Times New Roman"/>
          <w:i/>
          <w:color w:val="000000"/>
          <w:sz w:val="24"/>
          <w:szCs w:val="24"/>
        </w:rPr>
        <w:t>Flux Balance Analysis of Plant Metabolism: The Effect of Biomass Composition and Model Structure on Model Predictions</w:t>
      </w:r>
      <w:r>
        <w:rPr>
          <w:rFonts w:ascii="Times New Roman" w:hAnsi="Times New Roman"/>
          <w:color w:val="000000"/>
          <w:sz w:val="24"/>
          <w:szCs w:val="24"/>
        </w:rPr>
        <w:t>. </w:t>
      </w:r>
      <w:r>
        <w:rPr>
          <w:rFonts w:ascii="Times New Roman" w:hAnsi="Times New Roman"/>
          <w:b/>
          <w:color w:val="000000"/>
          <w:sz w:val="24"/>
          <w:szCs w:val="24"/>
        </w:rPr>
        <w:t>Front. Plant Sci.</w:t>
      </w:r>
      <w:r>
        <w:rPr>
          <w:rFonts w:ascii="Times New Roman" w:hAnsi="Times New Roman"/>
          <w:color w:val="000000"/>
          <w:sz w:val="24"/>
          <w:szCs w:val="24"/>
        </w:rPr>
        <w:t xml:space="preserve">, 7, 2016, 537, doi: 10.3389/fpls.2016.00537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T. Jagadish, </w:t>
      </w:r>
      <w:r>
        <w:rPr>
          <w:rFonts w:ascii="Times New Roman" w:hAnsi="Times New Roman"/>
          <w:i/>
          <w:color w:val="000000"/>
          <w:sz w:val="24"/>
          <w:szCs w:val="24"/>
        </w:rPr>
        <w:t>"Can Organic Sources of Nutrients Increase Crop Yields to Meet Global Food Demand?"</w:t>
      </w:r>
      <w:r>
        <w:rPr>
          <w:rFonts w:ascii="Times New Roman" w:hAnsi="Times New Roman"/>
          <w:color w:val="000000"/>
          <w:sz w:val="24"/>
          <w:szCs w:val="24"/>
        </w:rPr>
        <w:t> </w:t>
      </w:r>
      <w:r>
        <w:rPr>
          <w:rFonts w:ascii="Times New Roman" w:hAnsi="Times New Roman"/>
          <w:b/>
          <w:iCs/>
          <w:color w:val="000000"/>
          <w:sz w:val="24"/>
          <w:szCs w:val="24"/>
        </w:rPr>
        <w:t>Agronomy</w:t>
      </w:r>
      <w:r>
        <w:rPr>
          <w:rFonts w:ascii="Times New Roman" w:hAnsi="Times New Roman"/>
          <w:color w:val="000000"/>
          <w:sz w:val="24"/>
          <w:szCs w:val="24"/>
        </w:rPr>
        <w:t xml:space="preserve">, 8(10), 2018, 214, https://doi.org/10.3390/agronomy8100214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P. Dlamini, A. O. Akanmu &amp; O. O Babalola, </w:t>
      </w:r>
      <w:r>
        <w:rPr>
          <w:rFonts w:ascii="Times New Roman" w:hAnsi="Times New Roman"/>
          <w:i/>
          <w:color w:val="000000"/>
          <w:sz w:val="24"/>
          <w:szCs w:val="24"/>
        </w:rPr>
        <w:t>Variations in the Functional Diversity of Rhizosphere Microbiome of Healthy and Northern Corn Leaf Blight Infected Maize</w:t>
      </w:r>
      <w:r>
        <w:rPr>
          <w:rFonts w:ascii="Times New Roman" w:hAnsi="Times New Roman"/>
          <w:color w:val="000000"/>
          <w:sz w:val="24"/>
          <w:szCs w:val="24"/>
        </w:rPr>
        <w:t xml:space="preserve"> (</w:t>
      </w:r>
      <w:r>
        <w:rPr>
          <w:rFonts w:ascii="Times New Roman" w:hAnsi="Times New Roman"/>
          <w:i/>
          <w:iCs/>
          <w:color w:val="000000"/>
          <w:sz w:val="24"/>
          <w:szCs w:val="24"/>
        </w:rPr>
        <w:t>Zea mays</w:t>
      </w:r>
      <w:r>
        <w:rPr>
          <w:rFonts w:ascii="Times New Roman" w:hAnsi="Times New Roman"/>
          <w:color w:val="000000"/>
          <w:sz w:val="24"/>
          <w:szCs w:val="24"/>
        </w:rPr>
        <w:t> L.), </w:t>
      </w:r>
      <w:r>
        <w:rPr>
          <w:rFonts w:ascii="Times New Roman" w:hAnsi="Times New Roman"/>
          <w:b/>
          <w:iCs/>
          <w:color w:val="000000"/>
          <w:sz w:val="24"/>
          <w:szCs w:val="24"/>
        </w:rPr>
        <w:t>Span. J. Soil Sci</w:t>
      </w:r>
      <w:r>
        <w:rPr>
          <w:rFonts w:ascii="Times New Roman" w:hAnsi="Times New Roman"/>
          <w:i/>
          <w:iCs/>
          <w:color w:val="000000"/>
          <w:sz w:val="24"/>
          <w:szCs w:val="24"/>
        </w:rPr>
        <w:t>.</w:t>
      </w:r>
      <w:r>
        <w:rPr>
          <w:rFonts w:ascii="Times New Roman" w:hAnsi="Times New Roman"/>
          <w:iCs/>
          <w:color w:val="000000"/>
          <w:sz w:val="24"/>
          <w:szCs w:val="24"/>
        </w:rPr>
        <w:t>,</w:t>
      </w:r>
      <w:r>
        <w:rPr>
          <w:rFonts w:ascii="Times New Roman" w:hAnsi="Times New Roman"/>
          <w:color w:val="000000"/>
          <w:sz w:val="24"/>
          <w:szCs w:val="24"/>
        </w:rPr>
        <w:t xml:space="preserve"> 13, 2023, 10964. doi: 10.3389/sjss.2023.10964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K. Baskaran, D. K., Umale, S. &amp; Zhou, Z, </w:t>
      </w:r>
      <w:r>
        <w:rPr>
          <w:rFonts w:ascii="Times New Roman" w:hAnsi="Times New Roman"/>
          <w:i/>
          <w:color w:val="000000"/>
          <w:sz w:val="24"/>
          <w:szCs w:val="24"/>
        </w:rPr>
        <w:t>Metagenome-Based Metabolic Modelling Predicts Unique Microbial Interactions in Deep-Sea Hydrothermal Plume Microbiomes.</w:t>
      </w:r>
      <w:r>
        <w:rPr>
          <w:rFonts w:ascii="Times New Roman" w:hAnsi="Times New Roman"/>
          <w:b/>
          <w:color w:val="000000"/>
          <w:sz w:val="24"/>
          <w:szCs w:val="24"/>
        </w:rPr>
        <w:t> ISME COMMUN.</w:t>
      </w:r>
      <w:r>
        <w:rPr>
          <w:rFonts w:ascii="Times New Roman" w:hAnsi="Times New Roman"/>
          <w:color w:val="000000"/>
          <w:sz w:val="24"/>
          <w:szCs w:val="24"/>
        </w:rPr>
        <w:t xml:space="preserve">, 3, 2023, 42, https://doi.org/10.1038/s43705-023-00242-8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D. K. Chaudhary, A. Khulan &amp; J. Kim, </w:t>
      </w:r>
      <w:r>
        <w:rPr>
          <w:rFonts w:ascii="Times New Roman" w:hAnsi="Times New Roman"/>
          <w:i/>
          <w:color w:val="000000"/>
          <w:sz w:val="24"/>
          <w:szCs w:val="24"/>
        </w:rPr>
        <w:t>Development of a Novel Cultivation Technique for Uncultured Soil Bacteria</w:t>
      </w:r>
      <w:r>
        <w:rPr>
          <w:rFonts w:ascii="Times New Roman" w:hAnsi="Times New Roman"/>
          <w:color w:val="000000"/>
          <w:sz w:val="24"/>
          <w:szCs w:val="24"/>
        </w:rPr>
        <w:t>, </w:t>
      </w:r>
      <w:r>
        <w:rPr>
          <w:rFonts w:ascii="Times New Roman" w:hAnsi="Times New Roman"/>
          <w:b/>
          <w:color w:val="000000"/>
          <w:sz w:val="24"/>
          <w:szCs w:val="24"/>
        </w:rPr>
        <w:t>Sci Rep.</w:t>
      </w:r>
      <w:r>
        <w:rPr>
          <w:rFonts w:ascii="Times New Roman" w:hAnsi="Times New Roman"/>
          <w:color w:val="000000"/>
          <w:sz w:val="24"/>
          <w:szCs w:val="24"/>
        </w:rPr>
        <w:t xml:space="preserve">, 9, 2019, 6666. https://doi.org/10.1038/s41598-019-43182-x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K. Schreider, D. Hofmann, J. Boy, A. Andrino, F. A Fernandes, L. Sauheitl &amp; G. Guggenberger, </w:t>
      </w:r>
      <w:r>
        <w:rPr>
          <w:rFonts w:ascii="Times New Roman" w:hAnsi="Times New Roman"/>
          <w:i/>
          <w:color w:val="000000"/>
          <w:sz w:val="24"/>
          <w:szCs w:val="24"/>
        </w:rPr>
        <w:t>Mycorrhizal Mediated Partitioning of Phosphorus: Ectomycorrhizal (Populus x canescens x Paxillus involutus) Potential to Exploit Simultaneously Organic and Mineral Phosphorus Sources</w:t>
      </w:r>
      <w:r>
        <w:rPr>
          <w:rFonts w:ascii="Times New Roman" w:hAnsi="Times New Roman"/>
          <w:color w:val="000000"/>
          <w:sz w:val="24"/>
          <w:szCs w:val="24"/>
        </w:rPr>
        <w:t>, </w:t>
      </w:r>
      <w:r>
        <w:rPr>
          <w:rFonts w:ascii="Times New Roman" w:hAnsi="Times New Roman"/>
          <w:b/>
          <w:color w:val="000000"/>
          <w:sz w:val="24"/>
          <w:szCs w:val="24"/>
        </w:rPr>
        <w:t>Front. Soil Sci.</w:t>
      </w:r>
      <w:r>
        <w:rPr>
          <w:rFonts w:ascii="Times New Roman" w:hAnsi="Times New Roman"/>
          <w:color w:val="000000"/>
          <w:sz w:val="24"/>
          <w:szCs w:val="24"/>
        </w:rPr>
        <w:t xml:space="preserve">, 2, 2022, 865517. doi: 10.3389/fsoil.2022.865517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B. Pok &amp; M. Ngou, </w:t>
      </w:r>
      <w:r>
        <w:rPr>
          <w:rFonts w:ascii="Times New Roman" w:hAnsi="Times New Roman"/>
          <w:i/>
          <w:color w:val="000000"/>
          <w:sz w:val="24"/>
          <w:szCs w:val="24"/>
        </w:rPr>
        <w:t>Thirty Years of Resistance: Zig-zag Through the Plant Immune System,</w:t>
      </w:r>
      <w:r>
        <w:rPr>
          <w:rFonts w:ascii="Times New Roman" w:hAnsi="Times New Roman"/>
          <w:color w:val="000000"/>
          <w:sz w:val="24"/>
          <w:szCs w:val="24"/>
        </w:rPr>
        <w:t> </w:t>
      </w:r>
      <w:r>
        <w:rPr>
          <w:rFonts w:ascii="Times New Roman" w:hAnsi="Times New Roman"/>
          <w:b/>
          <w:iCs/>
          <w:color w:val="000000"/>
          <w:sz w:val="24"/>
          <w:szCs w:val="24"/>
        </w:rPr>
        <w:t>The Plant Cell</w:t>
      </w:r>
      <w:r>
        <w:rPr>
          <w:rFonts w:ascii="Times New Roman" w:hAnsi="Times New Roman"/>
          <w:color w:val="000000"/>
          <w:sz w:val="24"/>
          <w:szCs w:val="24"/>
        </w:rPr>
        <w:t>, 34(5), 2022, 1447–1478, </w:t>
      </w:r>
      <w:r>
        <w:fldChar w:fldCharType="begin"/>
      </w:r>
      <w:r>
        <w:instrText xml:space="preserve"> HYPERLINK "https://doi.org/10.1093/plcell/koac041" </w:instrText>
      </w:r>
      <w:r>
        <w:fldChar w:fldCharType="separate"/>
      </w:r>
      <w:r>
        <w:rPr>
          <w:rFonts w:ascii="Times New Roman" w:hAnsi="Times New Roman"/>
          <w:color w:val="000000"/>
          <w:sz w:val="24"/>
          <w:szCs w:val="24"/>
        </w:rPr>
        <w:t>https://doi.org/10.1093/plcell/koac041</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3E3D40"/>
          <w:sz w:val="24"/>
          <w:szCs w:val="24"/>
          <w:shd w:val="clear" w:color="auto" w:fill="F7F7F7"/>
        </w:rPr>
        <w:t> </w:t>
      </w:r>
      <w:r>
        <w:rPr>
          <w:rFonts w:ascii="Times New Roman" w:hAnsi="Times New Roman"/>
          <w:color w:val="000000"/>
          <w:sz w:val="24"/>
          <w:szCs w:val="24"/>
        </w:rPr>
        <w:t xml:space="preserve">J. Zhan, Y. Li, X. Zhao, H. Yang, Z Ning &amp; R. Zhang, </w:t>
      </w:r>
      <w:r>
        <w:rPr>
          <w:rFonts w:ascii="Times New Roman" w:hAnsi="Times New Roman"/>
          <w:i/>
          <w:color w:val="000000"/>
          <w:sz w:val="24"/>
          <w:szCs w:val="24"/>
        </w:rPr>
        <w:t>Effects of Nitrogen Addition and Plant Litter Manipulation on Soil Fungal and Bacterial Communities in a Semiarid Sandy Land</w:t>
      </w:r>
      <w:r>
        <w:rPr>
          <w:rFonts w:ascii="Times New Roman" w:hAnsi="Times New Roman"/>
          <w:color w:val="000000"/>
          <w:sz w:val="24"/>
          <w:szCs w:val="24"/>
        </w:rPr>
        <w:t>. </w:t>
      </w:r>
      <w:r>
        <w:rPr>
          <w:rFonts w:ascii="Times New Roman" w:hAnsi="Times New Roman"/>
          <w:b/>
          <w:color w:val="000000"/>
          <w:sz w:val="24"/>
          <w:szCs w:val="24"/>
        </w:rPr>
        <w:t>Front. Microbiol.</w:t>
      </w:r>
      <w:r>
        <w:rPr>
          <w:rFonts w:ascii="Times New Roman" w:hAnsi="Times New Roman"/>
          <w:color w:val="000000"/>
          <w:sz w:val="24"/>
          <w:szCs w:val="24"/>
        </w:rPr>
        <w:t xml:space="preserve"> 14, 2023, 1013570. doi: 10.3389/fmicb.2023.1013570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S, Antonio, M. D. C. Salas-Sanjuan, M. Arantzazu, B. J. A. Sánchez-Romero &amp; M. J. Delgado-Iniesta, "</w:t>
      </w:r>
      <w:r>
        <w:rPr>
          <w:rFonts w:ascii="Times New Roman" w:hAnsi="Times New Roman"/>
          <w:i/>
          <w:color w:val="000000"/>
          <w:sz w:val="24"/>
          <w:szCs w:val="24"/>
        </w:rPr>
        <w:t>Medium-Term Effect of Organic Amendments on the Chemical Properties of a Soil Used for Vegetable Cultivation with Cereal and Legume Rotation in a Semiarid Climate</w:t>
      </w:r>
      <w:r>
        <w:rPr>
          <w:rFonts w:ascii="Times New Roman" w:hAnsi="Times New Roman"/>
          <w:color w:val="000000"/>
          <w:sz w:val="24"/>
          <w:szCs w:val="24"/>
        </w:rPr>
        <w:t>" </w:t>
      </w:r>
      <w:r>
        <w:rPr>
          <w:rFonts w:ascii="Times New Roman" w:hAnsi="Times New Roman"/>
          <w:b/>
          <w:iCs/>
          <w:color w:val="000000"/>
          <w:sz w:val="24"/>
          <w:szCs w:val="24"/>
        </w:rPr>
        <w:t>Land</w:t>
      </w:r>
      <w:r>
        <w:rPr>
          <w:rFonts w:ascii="Times New Roman" w:hAnsi="Times New Roman"/>
          <w:iCs/>
          <w:color w:val="000000"/>
          <w:sz w:val="24"/>
          <w:szCs w:val="24"/>
        </w:rPr>
        <w:t>,</w:t>
      </w:r>
      <w:r>
        <w:rPr>
          <w:rFonts w:ascii="Times New Roman" w:hAnsi="Times New Roman"/>
          <w:color w:val="000000"/>
          <w:sz w:val="24"/>
          <w:szCs w:val="24"/>
        </w:rPr>
        <w:t xml:space="preserve"> 12(4), 2023, 897. </w:t>
      </w:r>
      <w:r>
        <w:fldChar w:fldCharType="begin"/>
      </w:r>
      <w:r>
        <w:instrText xml:space="preserve"> HYPERLINK "https://doi.org/10.3390/land12040897" </w:instrText>
      </w:r>
      <w:r>
        <w:fldChar w:fldCharType="separate"/>
      </w:r>
      <w:r>
        <w:rPr>
          <w:rFonts w:ascii="Times New Roman" w:hAnsi="Times New Roman"/>
          <w:color w:val="000000"/>
          <w:sz w:val="24"/>
          <w:szCs w:val="24"/>
        </w:rPr>
        <w:t>https://doi.org/10.3390/land12040897</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C. A. Alexandre, B. Rui, D. S. Jacqueline, J. O. Peça, &amp; A. B. Dias, "</w:t>
      </w:r>
      <w:r>
        <w:rPr>
          <w:rFonts w:ascii="Times New Roman" w:hAnsi="Times New Roman"/>
          <w:i/>
          <w:color w:val="000000"/>
          <w:sz w:val="24"/>
          <w:szCs w:val="24"/>
        </w:rPr>
        <w:t>Effects on Soil Chemical Properties and Carbon Stock Two Years after Compost Application in a Hedgerow Olive Grove.</w:t>
      </w:r>
      <w:r>
        <w:rPr>
          <w:rFonts w:ascii="Times New Roman" w:hAnsi="Times New Roman"/>
          <w:color w:val="000000"/>
          <w:sz w:val="24"/>
          <w:szCs w:val="24"/>
        </w:rPr>
        <w:t> </w:t>
      </w:r>
      <w:r>
        <w:rPr>
          <w:rFonts w:ascii="Times New Roman" w:hAnsi="Times New Roman"/>
          <w:b/>
          <w:iCs/>
          <w:color w:val="000000"/>
          <w:sz w:val="24"/>
          <w:szCs w:val="24"/>
        </w:rPr>
        <w:t>Agronomy</w:t>
      </w:r>
      <w:r>
        <w:rPr>
          <w:rFonts w:ascii="Times New Roman" w:hAnsi="Times New Roman"/>
          <w:iCs/>
          <w:color w:val="000000"/>
          <w:sz w:val="24"/>
          <w:szCs w:val="24"/>
        </w:rPr>
        <w:t>,</w:t>
      </w:r>
      <w:r>
        <w:rPr>
          <w:rFonts w:ascii="Times New Roman" w:hAnsi="Times New Roman"/>
          <w:color w:val="000000"/>
          <w:sz w:val="24"/>
          <w:szCs w:val="24"/>
        </w:rPr>
        <w:t> 13(7), 2023, 1933, https://doi.org/10.3390/agronomy13071933.</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R, Jiao, Y. Cai, P. He, S. Munir, X. Li, Y. Wu, J. Wang, M. Xia, He, P., G. Wang, H. Yang, S. C. Karunarathna, Y. Xie &amp; Y. He, </w:t>
      </w:r>
      <w:r>
        <w:rPr>
          <w:rFonts w:ascii="Times New Roman" w:hAnsi="Times New Roman"/>
          <w:i/>
          <w:color w:val="000000"/>
          <w:sz w:val="24"/>
          <w:szCs w:val="24"/>
        </w:rPr>
        <w:t>Bacillus amyloliquefaciens YN201732 Produces Lipopeptides With Promising Biocontrol Activity Against Fungal Pathogen Erysiphe cichoracearum.</w:t>
      </w:r>
      <w:r>
        <w:rPr>
          <w:rFonts w:ascii="Times New Roman" w:hAnsi="Times New Roman"/>
          <w:color w:val="000000"/>
          <w:sz w:val="24"/>
          <w:szCs w:val="24"/>
        </w:rPr>
        <w:t> </w:t>
      </w:r>
      <w:r>
        <w:rPr>
          <w:rFonts w:ascii="Times New Roman" w:hAnsi="Times New Roman"/>
          <w:b/>
          <w:color w:val="000000"/>
          <w:sz w:val="24"/>
          <w:szCs w:val="24"/>
        </w:rPr>
        <w:t>Frontiers in Cellular and Infection Microbiology</w:t>
      </w:r>
      <w:r>
        <w:rPr>
          <w:rFonts w:ascii="Times New Roman" w:hAnsi="Times New Roman"/>
          <w:color w:val="000000"/>
          <w:sz w:val="24"/>
          <w:szCs w:val="24"/>
        </w:rPr>
        <w:t xml:space="preserve">, 11, 2023, 598999. </w:t>
      </w:r>
      <w:r>
        <w:fldChar w:fldCharType="begin"/>
      </w:r>
      <w:r>
        <w:instrText xml:space="preserve"> HYPERLINK "https://doi.org/10.3389/fcimb.2021.598999" </w:instrText>
      </w:r>
      <w:r>
        <w:fldChar w:fldCharType="separate"/>
      </w:r>
      <w:r>
        <w:rPr>
          <w:rFonts w:ascii="Times New Roman" w:hAnsi="Times New Roman"/>
          <w:color w:val="000000"/>
          <w:sz w:val="24"/>
          <w:szCs w:val="24"/>
        </w:rPr>
        <w:t>https://doi.org/10.3389/fcimb.2021.598999</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Z. Huo, J. Tian, Y. Wu &amp; M. A. Fengjiao, </w:t>
      </w:r>
      <w:r>
        <w:rPr>
          <w:rFonts w:ascii="Times New Roman" w:hAnsi="Times New Roman"/>
          <w:i/>
          <w:color w:val="000000"/>
          <w:sz w:val="24"/>
          <w:szCs w:val="24"/>
        </w:rPr>
        <w:t>Soil Environmental Quality Assessment Model Based on Data Fusion and Its Application in Hebei Province.</w:t>
      </w:r>
      <w:r>
        <w:rPr>
          <w:rFonts w:ascii="Times New Roman" w:hAnsi="Times New Roman"/>
          <w:color w:val="000000"/>
          <w:sz w:val="24"/>
          <w:szCs w:val="24"/>
        </w:rPr>
        <w:t xml:space="preserve"> </w:t>
      </w:r>
      <w:r>
        <w:rPr>
          <w:rFonts w:ascii="Times New Roman" w:hAnsi="Times New Roman"/>
          <w:b/>
          <w:color w:val="000000"/>
          <w:sz w:val="24"/>
          <w:szCs w:val="24"/>
        </w:rPr>
        <w:t>Sustainability</w:t>
      </w:r>
      <w:r>
        <w:rPr>
          <w:rFonts w:ascii="Times New Roman" w:hAnsi="Times New Roman"/>
          <w:color w:val="000000"/>
          <w:sz w:val="24"/>
          <w:szCs w:val="24"/>
        </w:rPr>
        <w:t xml:space="preserve">, 12(17), 2020, 6804.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A. Rate, </w:t>
      </w:r>
      <w:r>
        <w:rPr>
          <w:rFonts w:ascii="Times New Roman" w:hAnsi="Times New Roman"/>
          <w:i/>
          <w:color w:val="000000"/>
          <w:sz w:val="24"/>
          <w:szCs w:val="24"/>
        </w:rPr>
        <w:t>Inorganic Contaminants in Urban Soils. In A. Rate (Ed.), </w:t>
      </w:r>
      <w:r>
        <w:rPr>
          <w:rFonts w:ascii="Times New Roman" w:hAnsi="Times New Roman"/>
          <w:i/>
          <w:iCs/>
          <w:color w:val="000000"/>
          <w:sz w:val="24"/>
          <w:szCs w:val="24"/>
        </w:rPr>
        <w:t>Urban Soils: Principles and Practice,</w:t>
      </w:r>
      <w:r>
        <w:rPr>
          <w:rFonts w:ascii="Times New Roman" w:hAnsi="Times New Roman"/>
          <w:i/>
          <w:color w:val="000000"/>
          <w:sz w:val="24"/>
          <w:szCs w:val="24"/>
        </w:rPr>
        <w:t xml:space="preserve"> (Progress in Soil Science)</w:t>
      </w:r>
      <w:r>
        <w:rPr>
          <w:rFonts w:ascii="Times New Roman" w:hAnsi="Times New Roman"/>
          <w:color w:val="000000"/>
          <w:sz w:val="24"/>
          <w:szCs w:val="24"/>
        </w:rPr>
        <w:t xml:space="preserve">, </w:t>
      </w:r>
      <w:r>
        <w:rPr>
          <w:rFonts w:ascii="Times New Roman" w:hAnsi="Times New Roman"/>
          <w:b/>
          <w:color w:val="000000"/>
          <w:sz w:val="24"/>
          <w:szCs w:val="24"/>
        </w:rPr>
        <w:t>Springer Nature</w:t>
      </w:r>
      <w:r>
        <w:rPr>
          <w:rFonts w:ascii="Times New Roman" w:hAnsi="Times New Roman"/>
          <w:color w:val="000000"/>
          <w:sz w:val="24"/>
          <w:szCs w:val="24"/>
        </w:rPr>
        <w:t xml:space="preserve">, 2022, 153-199, </w:t>
      </w:r>
      <w:r>
        <w:fldChar w:fldCharType="begin"/>
      </w:r>
      <w:r>
        <w:instrText xml:space="preserve"> HYPERLINK "https://doi.org/10.1007/978-3-030-87316-5_6" </w:instrText>
      </w:r>
      <w:r>
        <w:fldChar w:fldCharType="separate"/>
      </w:r>
      <w:r>
        <w:rPr>
          <w:rFonts w:ascii="Times New Roman" w:hAnsi="Times New Roman"/>
          <w:color w:val="000000"/>
          <w:sz w:val="24"/>
          <w:szCs w:val="24"/>
        </w:rPr>
        <w:t>https://doi.org/10.1007/978-3-030-87316-5_6</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P. Kumar &amp; P. K. Sharma, </w:t>
      </w:r>
      <w:r>
        <w:rPr>
          <w:rFonts w:ascii="Times New Roman" w:hAnsi="Times New Roman"/>
          <w:i/>
          <w:color w:val="000000"/>
          <w:sz w:val="24"/>
          <w:szCs w:val="24"/>
        </w:rPr>
        <w:t>Soil Salinity and Food Security in India</w:t>
      </w:r>
      <w:r>
        <w:rPr>
          <w:rFonts w:ascii="Times New Roman" w:hAnsi="Times New Roman"/>
          <w:color w:val="000000"/>
          <w:sz w:val="24"/>
          <w:szCs w:val="24"/>
        </w:rPr>
        <w:t>, </w:t>
      </w:r>
      <w:r>
        <w:rPr>
          <w:rFonts w:ascii="Times New Roman" w:hAnsi="Times New Roman"/>
          <w:b/>
          <w:color w:val="000000"/>
          <w:sz w:val="24"/>
          <w:szCs w:val="24"/>
        </w:rPr>
        <w:t>Front. Sustain.</w:t>
      </w:r>
      <w:r>
        <w:rPr>
          <w:rFonts w:ascii="Times New Roman" w:hAnsi="Times New Roman"/>
          <w:color w:val="000000"/>
          <w:sz w:val="24"/>
          <w:szCs w:val="24"/>
        </w:rPr>
        <w:t xml:space="preserve"> </w:t>
      </w:r>
      <w:r>
        <w:rPr>
          <w:rFonts w:ascii="Times New Roman" w:hAnsi="Times New Roman"/>
          <w:b/>
          <w:color w:val="000000"/>
          <w:sz w:val="24"/>
          <w:szCs w:val="24"/>
        </w:rPr>
        <w:t>Food Syst</w:t>
      </w:r>
      <w:r>
        <w:rPr>
          <w:rFonts w:ascii="Times New Roman" w:hAnsi="Times New Roman"/>
          <w:color w:val="000000"/>
          <w:sz w:val="24"/>
          <w:szCs w:val="24"/>
        </w:rPr>
        <w:t xml:space="preserve">., 4, 2020, 533781. doi: 10.3389/fsufs.2020.533781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A. E. AbdelRahman, R. Mohamed., M. Mohamed, F. Gao, T. Costanza Fiorentino, A. Scopa &amp; P. D’Antonio, "</w:t>
      </w:r>
      <w:r>
        <w:rPr>
          <w:rFonts w:ascii="Times New Roman" w:hAnsi="Times New Roman"/>
          <w:i/>
          <w:color w:val="000000"/>
          <w:sz w:val="24"/>
          <w:szCs w:val="24"/>
        </w:rPr>
        <w:t>Determining the Extent of Soil Degradation Processes Using Trend Analyses at a Regional Multispectral Scale",</w:t>
      </w:r>
      <w:r>
        <w:rPr>
          <w:rFonts w:ascii="Times New Roman" w:hAnsi="Times New Roman"/>
          <w:color w:val="000000"/>
          <w:sz w:val="24"/>
          <w:szCs w:val="24"/>
        </w:rPr>
        <w:t> </w:t>
      </w:r>
      <w:r>
        <w:rPr>
          <w:rFonts w:ascii="Times New Roman" w:hAnsi="Times New Roman"/>
          <w:b/>
          <w:iCs/>
          <w:color w:val="000000"/>
          <w:sz w:val="24"/>
          <w:szCs w:val="24"/>
        </w:rPr>
        <w:t>Land</w:t>
      </w:r>
      <w:r>
        <w:rPr>
          <w:rFonts w:ascii="Times New Roman" w:hAnsi="Times New Roman"/>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12(4), 2023, 855. https://doi.org/10.3390/land12040855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E. Wołejko, B. Łozowicka, A. Jabłońska-Trypuć, M. Pietruszyńska, &amp; U. Wydro, </w:t>
      </w:r>
      <w:r>
        <w:rPr>
          <w:rFonts w:ascii="Times New Roman" w:hAnsi="Times New Roman"/>
          <w:i/>
          <w:color w:val="000000"/>
          <w:sz w:val="24"/>
          <w:szCs w:val="24"/>
        </w:rPr>
        <w:t>Chlorpyrifos Occurrence and Toxicological Risk Assessment: A Review.</w:t>
      </w:r>
      <w:r>
        <w:rPr>
          <w:rFonts w:ascii="Times New Roman" w:hAnsi="Times New Roman"/>
          <w:color w:val="000000"/>
          <w:sz w:val="24"/>
          <w:szCs w:val="24"/>
        </w:rPr>
        <w:t> </w:t>
      </w:r>
      <w:r>
        <w:rPr>
          <w:rFonts w:ascii="Times New Roman" w:hAnsi="Times New Roman"/>
          <w:b/>
          <w:color w:val="000000"/>
          <w:sz w:val="24"/>
          <w:szCs w:val="24"/>
        </w:rPr>
        <w:t>International Journal of Environmental Research and Public Health</w:t>
      </w:r>
      <w:r>
        <w:rPr>
          <w:rFonts w:ascii="Times New Roman" w:hAnsi="Times New Roman"/>
          <w:color w:val="000000"/>
          <w:sz w:val="24"/>
          <w:szCs w:val="24"/>
        </w:rPr>
        <w:t>, 19(19), 2022, 12209, https://doi.org/10.3390/ijerph191912209</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N. Rust, O. E. Lunder, S. Iversen, S. Vella, E. A. Oughton, T. A. Breland, J. H. Glass, C. M. Maynard, R. McMorran &amp; M. S. Reed, "</w:t>
      </w:r>
      <w:r>
        <w:rPr>
          <w:rFonts w:ascii="Times New Roman" w:hAnsi="Times New Roman"/>
          <w:i/>
          <w:color w:val="000000"/>
          <w:sz w:val="24"/>
          <w:szCs w:val="24"/>
        </w:rPr>
        <w:t>Perceived Causes and Solutions to Soil Degradation in the UK and Norway</w:t>
      </w:r>
      <w:r>
        <w:rPr>
          <w:rFonts w:ascii="Times New Roman" w:hAnsi="Times New Roman"/>
          <w:color w:val="000000"/>
          <w:sz w:val="24"/>
          <w:szCs w:val="24"/>
        </w:rPr>
        <w:t>", </w:t>
      </w:r>
      <w:r>
        <w:rPr>
          <w:rFonts w:ascii="Times New Roman" w:hAnsi="Times New Roman"/>
          <w:b/>
          <w:iCs/>
          <w:color w:val="000000"/>
          <w:sz w:val="24"/>
          <w:szCs w:val="24"/>
        </w:rPr>
        <w:t>Land</w:t>
      </w:r>
      <w:r>
        <w:rPr>
          <w:rFonts w:ascii="Times New Roman" w:hAnsi="Times New Roman"/>
          <w:color w:val="000000"/>
          <w:sz w:val="24"/>
          <w:szCs w:val="24"/>
        </w:rPr>
        <w:t xml:space="preserve">, 11(1), 2022, 131, </w:t>
      </w:r>
      <w:r>
        <w:fldChar w:fldCharType="begin"/>
      </w:r>
      <w:r>
        <w:instrText xml:space="preserve"> HYPERLINK "https://doi.org/10.3390/land11010131" </w:instrText>
      </w:r>
      <w:r>
        <w:fldChar w:fldCharType="separate"/>
      </w:r>
      <w:r>
        <w:rPr>
          <w:rFonts w:ascii="Times New Roman" w:hAnsi="Times New Roman"/>
          <w:color w:val="000000"/>
          <w:sz w:val="24"/>
          <w:szCs w:val="24"/>
        </w:rPr>
        <w:t>https://doi.org/10.3390/land11010131</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C. T. Kraamwinkel, A. Beaulieu &amp; T. Dias, </w:t>
      </w:r>
      <w:r>
        <w:rPr>
          <w:rFonts w:ascii="Times New Roman" w:hAnsi="Times New Roman"/>
          <w:i/>
          <w:color w:val="000000"/>
          <w:sz w:val="24"/>
          <w:szCs w:val="24"/>
        </w:rPr>
        <w:t>Planetary Limits to Soil Degradation</w:t>
      </w:r>
      <w:r>
        <w:rPr>
          <w:rFonts w:ascii="Times New Roman" w:hAnsi="Times New Roman"/>
          <w:color w:val="000000"/>
          <w:sz w:val="24"/>
          <w:szCs w:val="24"/>
        </w:rPr>
        <w:t>. </w:t>
      </w:r>
      <w:r>
        <w:rPr>
          <w:rFonts w:ascii="Times New Roman" w:hAnsi="Times New Roman"/>
          <w:b/>
          <w:color w:val="000000"/>
          <w:sz w:val="24"/>
          <w:szCs w:val="24"/>
        </w:rPr>
        <w:t>Commun Earth Environ</w:t>
      </w:r>
      <w:r>
        <w:rPr>
          <w:rFonts w:ascii="Times New Roman" w:hAnsi="Times New Roman"/>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2, 2021, 249,  </w:t>
      </w:r>
      <w:r>
        <w:fldChar w:fldCharType="begin"/>
      </w:r>
      <w:r>
        <w:instrText xml:space="preserve"> HYPERLINK "https://doi.org/10.1038/s43247-021-00323-3" </w:instrText>
      </w:r>
      <w:r>
        <w:fldChar w:fldCharType="separate"/>
      </w:r>
      <w:r>
        <w:rPr>
          <w:rFonts w:ascii="Times New Roman" w:hAnsi="Times New Roman"/>
          <w:color w:val="000000"/>
          <w:sz w:val="24"/>
          <w:szCs w:val="24"/>
        </w:rPr>
        <w:t>https://doi.org/10.1038/s43247-021-00323-3</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L. Jiang, S. Zhang, J. Su, S. C. Peck &amp; L. Luo, </w:t>
      </w:r>
      <w:r>
        <w:rPr>
          <w:rFonts w:ascii="Times New Roman" w:hAnsi="Times New Roman"/>
          <w:i/>
          <w:color w:val="000000"/>
          <w:sz w:val="24"/>
          <w:szCs w:val="24"/>
        </w:rPr>
        <w:t>Protein Kinase Signaling Pathways in Plant-Colletotrichum Interaction</w:t>
      </w:r>
      <w:r>
        <w:rPr>
          <w:rFonts w:ascii="Times New Roman" w:hAnsi="Times New Roman"/>
          <w:color w:val="000000"/>
          <w:sz w:val="24"/>
          <w:szCs w:val="24"/>
        </w:rPr>
        <w:t>, </w:t>
      </w:r>
      <w:r>
        <w:rPr>
          <w:rFonts w:ascii="Times New Roman" w:hAnsi="Times New Roman"/>
          <w:b/>
          <w:color w:val="000000"/>
          <w:sz w:val="24"/>
          <w:szCs w:val="24"/>
        </w:rPr>
        <w:t>Front. Plant Sci.</w:t>
      </w:r>
      <w:r>
        <w:rPr>
          <w:rFonts w:ascii="Times New Roman" w:hAnsi="Times New Roman"/>
          <w:color w:val="000000"/>
          <w:sz w:val="24"/>
          <w:szCs w:val="24"/>
        </w:rPr>
        <w:t>, 12, 2022, 829645. doi: 10.3389/fpls.2021.829645</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C. Escudero-Martinez, M. Coulter &amp; R. Alegria Terrazas, </w:t>
      </w:r>
      <w:r>
        <w:rPr>
          <w:rFonts w:ascii="Times New Roman" w:hAnsi="Times New Roman"/>
          <w:i/>
          <w:color w:val="000000"/>
          <w:sz w:val="24"/>
          <w:szCs w:val="24"/>
        </w:rPr>
        <w:t>Identifying Plant Genes Shaping Microbiota Composition in the Barley Rhizosphere</w:t>
      </w:r>
      <w:r>
        <w:rPr>
          <w:rFonts w:ascii="Times New Roman" w:hAnsi="Times New Roman"/>
          <w:color w:val="000000"/>
          <w:sz w:val="24"/>
          <w:szCs w:val="24"/>
        </w:rPr>
        <w:t>, </w:t>
      </w:r>
      <w:r>
        <w:rPr>
          <w:rFonts w:ascii="Times New Roman" w:hAnsi="Times New Roman"/>
          <w:b/>
          <w:color w:val="000000"/>
          <w:sz w:val="24"/>
          <w:szCs w:val="24"/>
        </w:rPr>
        <w:t>Nat Commun.</w:t>
      </w:r>
      <w:r>
        <w:rPr>
          <w:rFonts w:ascii="Times New Roman" w:hAnsi="Times New Roman"/>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13, 2022, 3443. https://doi.org/10.1038/s41467-022-31022-y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Mundra, J. Shockey &amp; M. Morsy, </w:t>
      </w:r>
      <w:r>
        <w:rPr>
          <w:rFonts w:ascii="Times New Roman" w:hAnsi="Times New Roman"/>
          <w:i/>
          <w:color w:val="000000"/>
          <w:sz w:val="24"/>
          <w:szCs w:val="24"/>
        </w:rPr>
        <w:t>Editorial: Plant Microbiome: Ecology, Functions, and Application Trends,</w:t>
      </w:r>
      <w:r>
        <w:rPr>
          <w:rFonts w:ascii="Times New Roman" w:hAnsi="Times New Roman"/>
          <w:color w:val="000000"/>
          <w:sz w:val="24"/>
          <w:szCs w:val="24"/>
        </w:rPr>
        <w:t> </w:t>
      </w:r>
      <w:r>
        <w:rPr>
          <w:rFonts w:ascii="Times New Roman" w:hAnsi="Times New Roman"/>
          <w:b/>
          <w:color w:val="000000"/>
          <w:sz w:val="24"/>
          <w:szCs w:val="24"/>
        </w:rPr>
        <w:t>Front. Plant Sci.</w:t>
      </w:r>
      <w:r>
        <w:rPr>
          <w:rFonts w:ascii="Times New Roman" w:hAnsi="Times New Roman"/>
          <w:color w:val="000000"/>
          <w:sz w:val="24"/>
          <w:szCs w:val="24"/>
        </w:rPr>
        <w:t>, 14, 2023, 1175556. doi: 10.3389/fpls.2023.1175556</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N. Ling, T. Wang &amp; Y. Kuzyakov, </w:t>
      </w:r>
      <w:r>
        <w:rPr>
          <w:rFonts w:ascii="Times New Roman" w:hAnsi="Times New Roman"/>
          <w:i/>
          <w:color w:val="000000"/>
          <w:sz w:val="24"/>
          <w:szCs w:val="24"/>
        </w:rPr>
        <w:t>Rhizosphere bacteriome Structure and Functions</w:t>
      </w:r>
      <w:r>
        <w:rPr>
          <w:rFonts w:ascii="Times New Roman" w:hAnsi="Times New Roman"/>
          <w:color w:val="000000"/>
          <w:sz w:val="24"/>
          <w:szCs w:val="24"/>
        </w:rPr>
        <w:t>. </w:t>
      </w:r>
      <w:r>
        <w:rPr>
          <w:rFonts w:ascii="Times New Roman" w:hAnsi="Times New Roman"/>
          <w:b/>
          <w:color w:val="000000"/>
          <w:sz w:val="24"/>
          <w:szCs w:val="24"/>
        </w:rPr>
        <w:t>Nat Commun.</w:t>
      </w:r>
      <w:r>
        <w:rPr>
          <w:rFonts w:ascii="Times New Roman" w:hAnsi="Times New Roman"/>
          <w:color w:val="000000"/>
          <w:sz w:val="24"/>
          <w:szCs w:val="24"/>
        </w:rPr>
        <w:t xml:space="preserve">,13, 2022, 836, https://doi.org/10.1038/s41467-022-28448-9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P. E. Busby, C. Soman, M. R. Wagner, M. L. Friesen, J. Kremer &amp; A. Bennett, </w:t>
      </w:r>
      <w:r>
        <w:rPr>
          <w:rFonts w:ascii="Times New Roman" w:hAnsi="Times New Roman"/>
          <w:i/>
          <w:iCs/>
          <w:color w:val="000000"/>
          <w:sz w:val="24"/>
          <w:szCs w:val="24"/>
        </w:rPr>
        <w:t xml:space="preserve">Research Priorities for Harnessing Plant Microbiomes in Sustainable </w:t>
      </w:r>
      <w:r>
        <w:rPr>
          <w:rFonts w:ascii="Times New Roman" w:hAnsi="Times New Roman"/>
          <w:color w:val="000000"/>
          <w:sz w:val="24"/>
          <w:szCs w:val="24"/>
        </w:rPr>
        <w:t xml:space="preserve">Agriculture. </w:t>
      </w:r>
      <w:r>
        <w:rPr>
          <w:rFonts w:ascii="Times New Roman" w:hAnsi="Times New Roman"/>
          <w:b/>
          <w:color w:val="000000"/>
          <w:sz w:val="24"/>
          <w:szCs w:val="24"/>
        </w:rPr>
        <w:t>PLOS Biol.</w:t>
      </w:r>
      <w:r>
        <w:rPr>
          <w:rFonts w:ascii="Times New Roman" w:hAnsi="Times New Roman"/>
          <w:color w:val="000000"/>
          <w:sz w:val="24"/>
          <w:szCs w:val="24"/>
        </w:rPr>
        <w:t>, 15, 2018, e2001793, 10.1371/journal.pbio.2001793</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L. Wang, M. Chen, P. Y. Lam, F. Dini-Andreote, L. Dai &amp; Z. Wei, </w:t>
      </w:r>
      <w:r>
        <w:rPr>
          <w:rFonts w:ascii="Times New Roman" w:hAnsi="Times New Roman"/>
          <w:i/>
          <w:color w:val="000000"/>
          <w:sz w:val="24"/>
          <w:szCs w:val="24"/>
        </w:rPr>
        <w:t>Multifaceted Roles of Flavonoids Mediating Plant-Microbe Interactions.</w:t>
      </w:r>
      <w:r>
        <w:rPr>
          <w:rFonts w:ascii="Times New Roman" w:hAnsi="Times New Roman"/>
          <w:color w:val="000000"/>
          <w:sz w:val="24"/>
          <w:szCs w:val="24"/>
        </w:rPr>
        <w:t> </w:t>
      </w:r>
      <w:r>
        <w:rPr>
          <w:rFonts w:ascii="Times New Roman" w:hAnsi="Times New Roman"/>
          <w:b/>
          <w:color w:val="000000"/>
          <w:sz w:val="24"/>
          <w:szCs w:val="24"/>
        </w:rPr>
        <w:t>Microbiome,</w:t>
      </w:r>
      <w:r>
        <w:rPr>
          <w:rFonts w:ascii="Times New Roman" w:hAnsi="Times New Roman"/>
          <w:color w:val="000000"/>
          <w:sz w:val="24"/>
          <w:szCs w:val="24"/>
        </w:rPr>
        <w:t xml:space="preserve"> 10(1), 2022, 233, https://doi.org/10.1186/s40168-022-01420-x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I. Sharma, S. Kashyap &amp; N. Agarwala, </w:t>
      </w:r>
      <w:r>
        <w:rPr>
          <w:rFonts w:ascii="Times New Roman" w:hAnsi="Times New Roman"/>
          <w:i/>
          <w:color w:val="000000"/>
          <w:sz w:val="24"/>
          <w:szCs w:val="24"/>
        </w:rPr>
        <w:t>Biotic Stress-Induced Changes in Root Exudation Confer Plant Stress Tolerance by Altering Rhizospheric Microbial Community</w:t>
      </w:r>
      <w:r>
        <w:rPr>
          <w:rFonts w:ascii="Times New Roman" w:hAnsi="Times New Roman"/>
          <w:color w:val="000000"/>
          <w:sz w:val="24"/>
          <w:szCs w:val="24"/>
        </w:rPr>
        <w:t>. </w:t>
      </w:r>
      <w:r>
        <w:rPr>
          <w:rFonts w:ascii="Times New Roman" w:hAnsi="Times New Roman"/>
          <w:b/>
          <w:i/>
          <w:color w:val="000000"/>
          <w:sz w:val="24"/>
          <w:szCs w:val="24"/>
        </w:rPr>
        <w:t>Front. Plant Sci.</w:t>
      </w:r>
      <w:r>
        <w:rPr>
          <w:rFonts w:ascii="Times New Roman" w:hAnsi="Times New Roman"/>
          <w:color w:val="000000"/>
          <w:sz w:val="24"/>
          <w:szCs w:val="24"/>
        </w:rPr>
        <w:t xml:space="preserve">, 14, 2023, 1132824. doi: 10.3389/fpls.2023.1132824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M. Taiki, S. Wang, C. Peng, C. Wang, J. Mo, M. Zheng &amp; W. Zhang, "</w:t>
      </w:r>
      <w:r>
        <w:rPr>
          <w:rFonts w:ascii="Times New Roman" w:hAnsi="Times New Roman"/>
          <w:i/>
          <w:color w:val="000000"/>
          <w:sz w:val="24"/>
          <w:szCs w:val="24"/>
        </w:rPr>
        <w:t>Importance of Considering Enzyme Degradation for Interpreting the Response of Soil Enzyme Activity to Nutrient Addition</w:t>
      </w:r>
      <w:r>
        <w:rPr>
          <w:rFonts w:ascii="Times New Roman" w:hAnsi="Times New Roman"/>
          <w:color w:val="000000"/>
          <w:sz w:val="24"/>
          <w:szCs w:val="24"/>
        </w:rPr>
        <w:t xml:space="preserve">: </w:t>
      </w:r>
      <w:r>
        <w:rPr>
          <w:rFonts w:ascii="Times New Roman" w:hAnsi="Times New Roman"/>
          <w:i/>
          <w:color w:val="000000"/>
          <w:sz w:val="24"/>
          <w:szCs w:val="24"/>
        </w:rPr>
        <w:t>Insights from a Field and Laboratory Study</w:t>
      </w:r>
      <w:r>
        <w:rPr>
          <w:rFonts w:ascii="Times New Roman" w:hAnsi="Times New Roman"/>
          <w:color w:val="000000"/>
          <w:sz w:val="24"/>
          <w:szCs w:val="24"/>
        </w:rPr>
        <w:t>" </w:t>
      </w:r>
      <w:r>
        <w:rPr>
          <w:rFonts w:ascii="Times New Roman" w:hAnsi="Times New Roman"/>
          <w:b/>
          <w:iCs/>
          <w:color w:val="000000"/>
          <w:sz w:val="24"/>
          <w:szCs w:val="24"/>
        </w:rPr>
        <w:t>Forests</w:t>
      </w:r>
      <w:r>
        <w:rPr>
          <w:rFonts w:ascii="Times New Roman" w:hAnsi="Times New Roman"/>
          <w:b/>
          <w:i/>
          <w:iCs/>
          <w:color w:val="000000"/>
          <w:sz w:val="24"/>
          <w:szCs w:val="24"/>
        </w:rPr>
        <w:t>,</w:t>
      </w:r>
      <w:r>
        <w:rPr>
          <w:rFonts w:ascii="Times New Roman" w:hAnsi="Times New Roman"/>
          <w:color w:val="000000"/>
          <w:sz w:val="24"/>
          <w:szCs w:val="24"/>
        </w:rPr>
        <w:t xml:space="preserve"> 14(6), 2023, 1206. https://doi.org/10.3390/f14061206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X. Hu, Z. Yuanxun, D. Wang, M. Jian, X. Kaibing, Z. An, W. Luo &amp; Y. Sheng, "</w:t>
      </w:r>
      <w:r>
        <w:rPr>
          <w:rFonts w:ascii="Times New Roman" w:hAnsi="Times New Roman"/>
          <w:i/>
          <w:color w:val="000000"/>
          <w:sz w:val="24"/>
          <w:szCs w:val="24"/>
        </w:rPr>
        <w:t>Effects of Temperature and Humidity on Soil Gross Nitrogen Transformation in a Typical Shrub Ecosystem in Yanshan Mountain and Hilly Region</w:t>
      </w:r>
      <w:r>
        <w:rPr>
          <w:rFonts w:ascii="Times New Roman" w:hAnsi="Times New Roman"/>
          <w:color w:val="000000"/>
          <w:sz w:val="24"/>
          <w:szCs w:val="24"/>
        </w:rPr>
        <w:t>" </w:t>
      </w:r>
      <w:r>
        <w:rPr>
          <w:rFonts w:ascii="Times New Roman" w:hAnsi="Times New Roman"/>
          <w:b/>
          <w:iCs/>
          <w:color w:val="000000"/>
          <w:sz w:val="24"/>
          <w:szCs w:val="24"/>
        </w:rPr>
        <w:t>Life</w:t>
      </w:r>
      <w:r>
        <w:rPr>
          <w:rFonts w:ascii="Times New Roman" w:hAnsi="Times New Roman"/>
          <w:iCs/>
          <w:color w:val="000000"/>
          <w:sz w:val="24"/>
          <w:szCs w:val="24"/>
        </w:rPr>
        <w:t>,</w:t>
      </w:r>
      <w:r>
        <w:rPr>
          <w:rFonts w:ascii="Times New Roman" w:hAnsi="Times New Roman"/>
          <w:color w:val="000000"/>
          <w:sz w:val="24"/>
          <w:szCs w:val="24"/>
        </w:rPr>
        <w:t xml:space="preserve"> 13(3), 2023, 643, </w:t>
      </w:r>
      <w:r>
        <w:fldChar w:fldCharType="begin"/>
      </w:r>
      <w:r>
        <w:instrText xml:space="preserve"> HYPERLINK "https://doi.org/10.3390/life13030643" </w:instrText>
      </w:r>
      <w:r>
        <w:fldChar w:fldCharType="separate"/>
      </w:r>
      <w:r>
        <w:rPr>
          <w:rFonts w:ascii="Times New Roman" w:hAnsi="Times New Roman"/>
          <w:color w:val="000000"/>
          <w:sz w:val="24"/>
          <w:szCs w:val="24"/>
        </w:rPr>
        <w:t>https://doi.org/10.3390/life13030643</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A. Nissan, U. Alcolombri &amp; N. Peleg, G</w:t>
      </w:r>
      <w:r>
        <w:rPr>
          <w:rFonts w:ascii="Times New Roman" w:hAnsi="Times New Roman"/>
          <w:i/>
          <w:color w:val="000000"/>
          <w:sz w:val="24"/>
          <w:szCs w:val="24"/>
        </w:rPr>
        <w:t>lobal Warming Accelerates Soil Heterotrophic Respiration,</w:t>
      </w:r>
      <w:r>
        <w:rPr>
          <w:rFonts w:ascii="Times New Roman" w:hAnsi="Times New Roman"/>
          <w:color w:val="000000"/>
          <w:sz w:val="24"/>
          <w:szCs w:val="24"/>
        </w:rPr>
        <w:t> </w:t>
      </w:r>
      <w:r>
        <w:rPr>
          <w:rFonts w:ascii="Times New Roman" w:hAnsi="Times New Roman"/>
          <w:b/>
          <w:color w:val="000000"/>
          <w:sz w:val="24"/>
          <w:szCs w:val="24"/>
        </w:rPr>
        <w:t>Nat Commun.</w:t>
      </w:r>
      <w:r>
        <w:rPr>
          <w:rFonts w:ascii="Times New Roman" w:hAnsi="Times New Roman"/>
          <w:i/>
          <w:color w:val="000000"/>
          <w:sz w:val="24"/>
          <w:szCs w:val="24"/>
        </w:rPr>
        <w:t>,</w:t>
      </w:r>
      <w:r>
        <w:rPr>
          <w:rFonts w:ascii="Times New Roman" w:hAnsi="Times New Roman"/>
          <w:color w:val="000000"/>
          <w:sz w:val="24"/>
          <w:szCs w:val="24"/>
        </w:rPr>
        <w:t xml:space="preserve"> 14, 2023, 3452. https://doi.org/10.1038/s41467-023-38981-w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R. Tecon &amp; D. Or, </w:t>
      </w:r>
      <w:r>
        <w:rPr>
          <w:rFonts w:ascii="Times New Roman" w:hAnsi="Times New Roman"/>
          <w:i/>
          <w:iCs/>
          <w:color w:val="000000"/>
          <w:sz w:val="24"/>
          <w:szCs w:val="24"/>
        </w:rPr>
        <w:t>Biophysical Processes Supporting the Diversity of Microbial Life in Soil</w:t>
      </w:r>
      <w:r>
        <w:rPr>
          <w:rFonts w:ascii="Times New Roman" w:hAnsi="Times New Roman"/>
          <w:color w:val="000000"/>
          <w:sz w:val="24"/>
          <w:szCs w:val="24"/>
        </w:rPr>
        <w:t xml:space="preserve">, </w:t>
      </w:r>
      <w:r>
        <w:rPr>
          <w:rFonts w:ascii="Times New Roman" w:hAnsi="Times New Roman"/>
          <w:b/>
          <w:bCs/>
          <w:color w:val="000000"/>
          <w:sz w:val="24"/>
          <w:szCs w:val="24"/>
        </w:rPr>
        <w:t>FEMS Microbiol. Rev.</w:t>
      </w:r>
      <w:r>
        <w:rPr>
          <w:rFonts w:ascii="Times New Roman" w:hAnsi="Times New Roman"/>
          <w:bCs/>
          <w:color w:val="000000"/>
          <w:sz w:val="24"/>
          <w:szCs w:val="24"/>
        </w:rPr>
        <w:t>,</w:t>
      </w:r>
      <w:r>
        <w:rPr>
          <w:rFonts w:ascii="Times New Roman" w:hAnsi="Times New Roman"/>
          <w:color w:val="000000"/>
          <w:sz w:val="24"/>
          <w:szCs w:val="24"/>
        </w:rPr>
        <w:t xml:space="preserve"> 41, 2018, 599–602</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M. L. Kakumanu, L. Ma &amp; M. A. Williams, </w:t>
      </w:r>
      <w:r>
        <w:rPr>
          <w:rFonts w:ascii="Times New Roman" w:hAnsi="Times New Roman"/>
          <w:i/>
          <w:color w:val="000000"/>
          <w:sz w:val="24"/>
          <w:szCs w:val="24"/>
        </w:rPr>
        <w:t>Drought-Induced Soil Microbial Amino Acid and Polysaccharide Change and their Implications for C-N Cycles in a Climate Change World</w:t>
      </w:r>
      <w:r>
        <w:rPr>
          <w:rFonts w:ascii="Times New Roman" w:hAnsi="Times New Roman"/>
          <w:color w:val="000000"/>
          <w:sz w:val="24"/>
          <w:szCs w:val="24"/>
        </w:rPr>
        <w:t>. </w:t>
      </w:r>
      <w:r>
        <w:rPr>
          <w:rFonts w:ascii="Times New Roman" w:hAnsi="Times New Roman"/>
          <w:b/>
          <w:color w:val="000000"/>
          <w:sz w:val="24"/>
          <w:szCs w:val="24"/>
        </w:rPr>
        <w:t>Scientific reports</w:t>
      </w:r>
      <w:r>
        <w:rPr>
          <w:rFonts w:ascii="Times New Roman" w:hAnsi="Times New Roman"/>
          <w:color w:val="000000"/>
          <w:sz w:val="24"/>
          <w:szCs w:val="24"/>
        </w:rPr>
        <w:t xml:space="preserve">, 9(1), 2019, 10968. https://doi.org/10.1038/s41598-019-46984-1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J. Zhang, J. Ken, L. Yonghong, D. Lan, R. Tian, S. Wang, Y. Shen, J. Zhang, N. Li &amp; W. Shao, "</w:t>
      </w:r>
      <w:r>
        <w:rPr>
          <w:rFonts w:ascii="Times New Roman" w:hAnsi="Times New Roman"/>
          <w:i/>
          <w:color w:val="000000"/>
          <w:sz w:val="24"/>
          <w:szCs w:val="24"/>
        </w:rPr>
        <w:t>Responses of Soil Enzyme Activity to Long-Term Nitrogen Enrichment and Water Addition in a Typical Steppe</w:t>
      </w:r>
      <w:r>
        <w:rPr>
          <w:rFonts w:ascii="Times New Roman" w:hAnsi="Times New Roman"/>
          <w:color w:val="000000"/>
          <w:sz w:val="24"/>
          <w:szCs w:val="24"/>
        </w:rPr>
        <w:t>" </w:t>
      </w:r>
      <w:r>
        <w:rPr>
          <w:rFonts w:ascii="Times New Roman" w:hAnsi="Times New Roman"/>
          <w:b/>
          <w:iCs/>
          <w:color w:val="000000"/>
          <w:sz w:val="24"/>
          <w:szCs w:val="24"/>
        </w:rPr>
        <w:t>Agronomy</w:t>
      </w:r>
      <w:r>
        <w:rPr>
          <w:rFonts w:ascii="Times New Roman" w:hAnsi="Times New Roman"/>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13(7), 2023, 1920, </w:t>
      </w:r>
      <w:r>
        <w:fldChar w:fldCharType="begin"/>
      </w:r>
      <w:r>
        <w:instrText xml:space="preserve"> HYPERLINK "https://doi.org/10.3390/agronomy13071920" </w:instrText>
      </w:r>
      <w:r>
        <w:fldChar w:fldCharType="separate"/>
      </w:r>
      <w:r>
        <w:rPr>
          <w:rFonts w:ascii="Times New Roman" w:hAnsi="Times New Roman"/>
          <w:color w:val="000000"/>
          <w:sz w:val="24"/>
          <w:szCs w:val="24"/>
        </w:rPr>
        <w:t>https://doi.org/10.3390/agronomy13071920</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L. C.  Carvalhais, P. G. Denni,  D. Fedoseyenko, M. R. Hajirezaei, R. Borriss, &amp; N. Von Wiren, </w:t>
      </w:r>
      <w:r>
        <w:rPr>
          <w:rFonts w:ascii="Times New Roman" w:hAnsi="Times New Roman"/>
          <w:i/>
          <w:iCs/>
          <w:color w:val="000000"/>
          <w:sz w:val="24"/>
          <w:szCs w:val="24"/>
        </w:rPr>
        <w:t>Root Exudation of Sugars, Amino Acids, and Organic Acids by Maize as Affected by Nitrogen, Phosphorus, Potassium, and Iron Deficiency,</w:t>
      </w:r>
      <w:r>
        <w:rPr>
          <w:rFonts w:ascii="Times New Roman" w:hAnsi="Times New Roman"/>
          <w:color w:val="000000"/>
          <w:sz w:val="24"/>
          <w:szCs w:val="24"/>
        </w:rPr>
        <w:t xml:space="preserve"> </w:t>
      </w:r>
      <w:r>
        <w:rPr>
          <w:rFonts w:ascii="Times New Roman" w:hAnsi="Times New Roman"/>
          <w:b/>
          <w:bCs/>
          <w:color w:val="000000"/>
          <w:sz w:val="24"/>
          <w:szCs w:val="24"/>
        </w:rPr>
        <w:t>J. Plant Nutr. Soil Sci.</w:t>
      </w:r>
      <w:r>
        <w:rPr>
          <w:rFonts w:ascii="Times New Roman" w:hAnsi="Times New Roman"/>
          <w:bCs/>
          <w:color w:val="000000"/>
          <w:sz w:val="24"/>
          <w:szCs w:val="24"/>
        </w:rPr>
        <w:t>,</w:t>
      </w:r>
      <w:r>
        <w:rPr>
          <w:rFonts w:ascii="Times New Roman" w:hAnsi="Times New Roman"/>
          <w:b/>
          <w:bCs/>
          <w:color w:val="000000"/>
          <w:sz w:val="24"/>
          <w:szCs w:val="24"/>
        </w:rPr>
        <w:t xml:space="preserve"> </w:t>
      </w:r>
      <w:r>
        <w:rPr>
          <w:rFonts w:ascii="Times New Roman" w:hAnsi="Times New Roman"/>
          <w:color w:val="000000"/>
          <w:sz w:val="24"/>
          <w:szCs w:val="24"/>
        </w:rPr>
        <w:t>174, 2010, 3-11. 10.1002/jpln.201000085</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W. Ma, S. Tang, Z. Dengzeng, D. Zhang, T. Zhang &amp; X. Ma, </w:t>
      </w:r>
      <w:r>
        <w:rPr>
          <w:rFonts w:ascii="Times New Roman" w:hAnsi="Times New Roman"/>
          <w:i/>
          <w:color w:val="000000"/>
          <w:sz w:val="24"/>
          <w:szCs w:val="24"/>
        </w:rPr>
        <w:t>Root Exudates Contribute to Belowground Ecosystem Hotspots: A Review</w:t>
      </w:r>
      <w:r>
        <w:rPr>
          <w:rFonts w:ascii="Times New Roman" w:hAnsi="Times New Roman"/>
          <w:color w:val="000000"/>
          <w:sz w:val="24"/>
          <w:szCs w:val="24"/>
        </w:rPr>
        <w:t>. </w:t>
      </w:r>
      <w:r>
        <w:rPr>
          <w:rFonts w:ascii="Times New Roman" w:hAnsi="Times New Roman"/>
          <w:b/>
          <w:color w:val="000000"/>
          <w:sz w:val="24"/>
          <w:szCs w:val="24"/>
        </w:rPr>
        <w:t>Frontier Microbiol.,</w:t>
      </w:r>
      <w:r>
        <w:rPr>
          <w:rFonts w:ascii="Times New Roman" w:hAnsi="Times New Roman"/>
          <w:color w:val="000000"/>
          <w:sz w:val="24"/>
          <w:szCs w:val="24"/>
        </w:rPr>
        <w:t> 13, 2022, 937940. doi: 10.3389/fmicb.2022.937940</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sz w:val="24"/>
          <w:szCs w:val="24"/>
        </w:rPr>
        <w:t xml:space="preserve">K. J. </w:t>
      </w:r>
      <w:r>
        <w:fldChar w:fldCharType="begin"/>
      </w:r>
      <w:r>
        <w:instrText xml:space="preserve"> HYPERLINK "https://www.emerald.com/insight/search?q=Kelechi%20Johnmary%20Ani" \o "Kelechi Johnmary Ani" </w:instrText>
      </w:r>
      <w:r>
        <w:fldChar w:fldCharType="separate"/>
      </w:r>
      <w:r>
        <w:rPr>
          <w:rFonts w:ascii="Times New Roman" w:hAnsi="Times New Roman"/>
          <w:color w:val="000000"/>
          <w:sz w:val="24"/>
          <w:szCs w:val="24"/>
        </w:rPr>
        <w:t>Ani</w:t>
      </w:r>
      <w:r>
        <w:rPr>
          <w:rFonts w:ascii="Times New Roman" w:hAnsi="Times New Roman"/>
          <w:color w:val="000000"/>
          <w:sz w:val="24"/>
          <w:szCs w:val="24"/>
        </w:rPr>
        <w:fldChar w:fldCharType="end"/>
      </w:r>
      <w:r>
        <w:rPr>
          <w:rFonts w:ascii="Times New Roman" w:hAnsi="Times New Roman"/>
          <w:color w:val="000000"/>
          <w:sz w:val="24"/>
          <w:szCs w:val="24"/>
        </w:rPr>
        <w:t xml:space="preserve">, V. O. </w:t>
      </w:r>
      <w:r>
        <w:fldChar w:fldCharType="begin"/>
      </w:r>
      <w:r>
        <w:instrText xml:space="preserve"> HYPERLINK "https://www.emerald.com/insight/search?q=Vincent%20Okwudiba%20Anyika" \o "Vincent Okwudiba Anyika" </w:instrText>
      </w:r>
      <w:r>
        <w:fldChar w:fldCharType="separate"/>
      </w:r>
      <w:r>
        <w:rPr>
          <w:rFonts w:ascii="Times New Roman" w:hAnsi="Times New Roman"/>
          <w:color w:val="000000"/>
          <w:sz w:val="24"/>
          <w:szCs w:val="24"/>
        </w:rPr>
        <w:t>Anyika</w:t>
      </w:r>
      <w:r>
        <w:rPr>
          <w:rFonts w:ascii="Times New Roman" w:hAnsi="Times New Roman"/>
          <w:color w:val="000000"/>
          <w:sz w:val="24"/>
          <w:szCs w:val="24"/>
        </w:rPr>
        <w:fldChar w:fldCharType="end"/>
      </w:r>
      <w:r>
        <w:rPr>
          <w:rFonts w:ascii="Times New Roman" w:hAnsi="Times New Roman"/>
          <w:color w:val="000000"/>
          <w:sz w:val="24"/>
          <w:szCs w:val="24"/>
        </w:rPr>
        <w:t xml:space="preserve"> &amp; E. </w:t>
      </w:r>
      <w:r>
        <w:fldChar w:fldCharType="begin"/>
      </w:r>
      <w:r>
        <w:instrText xml:space="preserve"> HYPERLINK "https://www.emerald.com/insight/search?q=Emmanuel%20Mutambara" \o "Emmanuel Mutambara" </w:instrText>
      </w:r>
      <w:r>
        <w:fldChar w:fldCharType="separate"/>
      </w:r>
      <w:r>
        <w:rPr>
          <w:rFonts w:ascii="Times New Roman" w:hAnsi="Times New Roman"/>
          <w:color w:val="000000"/>
          <w:sz w:val="24"/>
          <w:szCs w:val="24"/>
        </w:rPr>
        <w:t xml:space="preserve">Mutambara, </w:t>
      </w:r>
      <w:r>
        <w:rPr>
          <w:rFonts w:ascii="Times New Roman" w:hAnsi="Times New Roman"/>
          <w:color w:val="000000"/>
          <w:sz w:val="24"/>
          <w:szCs w:val="24"/>
        </w:rPr>
        <w:fldChar w:fldCharType="end"/>
      </w:r>
      <w:r>
        <w:rPr>
          <w:rFonts w:ascii="Times New Roman" w:hAnsi="Times New Roman"/>
          <w:color w:val="000000"/>
          <w:sz w:val="24"/>
          <w:szCs w:val="24"/>
        </w:rPr>
        <w:t>"</w:t>
      </w:r>
      <w:r>
        <w:rPr>
          <w:rFonts w:ascii="Times New Roman" w:hAnsi="Times New Roman"/>
          <w:i/>
          <w:color w:val="000000"/>
          <w:sz w:val="24"/>
          <w:szCs w:val="24"/>
        </w:rPr>
        <w:t>The Impact of Climate Change on Food and Human Security in Nigeria",</w:t>
      </w:r>
      <w:r>
        <w:rPr>
          <w:rFonts w:ascii="Times New Roman" w:hAnsi="Times New Roman"/>
          <w:color w:val="000000"/>
          <w:sz w:val="24"/>
          <w:szCs w:val="24"/>
        </w:rPr>
        <w:t> </w:t>
      </w:r>
      <w:r>
        <w:fldChar w:fldCharType="begin"/>
      </w:r>
      <w:r>
        <w:instrText xml:space="preserve"> HYPERLINK "https://www.emerald.com/insight/publication/issn/1756-8692" </w:instrText>
      </w:r>
      <w:r>
        <w:fldChar w:fldCharType="separate"/>
      </w:r>
      <w:r>
        <w:rPr>
          <w:rFonts w:ascii="Times New Roman" w:hAnsi="Times New Roman"/>
          <w:b/>
          <w:color w:val="000000"/>
          <w:sz w:val="24"/>
          <w:szCs w:val="24"/>
        </w:rPr>
        <w:t>International Journal of Climate Change Strategies and Management</w:t>
      </w:r>
      <w:r>
        <w:rPr>
          <w:rFonts w:ascii="Times New Roman" w:hAnsi="Times New Roman"/>
          <w:b/>
          <w:color w:val="000000"/>
          <w:sz w:val="24"/>
          <w:szCs w:val="24"/>
        </w:rPr>
        <w:fldChar w:fldCharType="end"/>
      </w:r>
      <w:r>
        <w:rPr>
          <w:rFonts w:ascii="Times New Roman" w:hAnsi="Times New Roman"/>
          <w:b/>
          <w:color w:val="000000"/>
          <w:sz w:val="24"/>
          <w:szCs w:val="24"/>
        </w:rPr>
        <w:t>,</w:t>
      </w:r>
      <w:r>
        <w:rPr>
          <w:rFonts w:ascii="Times New Roman" w:hAnsi="Times New Roman"/>
          <w:color w:val="000000"/>
          <w:sz w:val="24"/>
          <w:szCs w:val="24"/>
        </w:rPr>
        <w:t xml:space="preserve"> 14(2), 2022, 148-167. </w:t>
      </w:r>
      <w:r>
        <w:fldChar w:fldCharType="begin"/>
      </w:r>
      <w:r>
        <w:instrText xml:space="preserve"> HYPERLINK "https://doi.org/10.1108/IJCCSM-11-2020-0119" \o "DOI: https://doi.org/10.1108/IJCCSM-11-2020-0119" </w:instrText>
      </w:r>
      <w:r>
        <w:fldChar w:fldCharType="separate"/>
      </w:r>
      <w:r>
        <w:rPr>
          <w:rFonts w:ascii="Times New Roman" w:hAnsi="Times New Roman"/>
          <w:color w:val="000000"/>
          <w:sz w:val="24"/>
          <w:szCs w:val="24"/>
        </w:rPr>
        <w:t>https://doi.org/10.1108/IJCCSM-11-2020-0119</w:t>
      </w:r>
      <w:r>
        <w:rPr>
          <w:rFonts w:ascii="Times New Roman" w:hAnsi="Times New Roman"/>
          <w:color w:val="000000"/>
          <w:sz w:val="24"/>
          <w:szCs w:val="24"/>
        </w:rPr>
        <w:fldChar w:fldCharType="end"/>
      </w:r>
      <w:r>
        <w:rPr>
          <w:rFonts w:ascii="Times New Roman" w:hAnsi="Times New Roman"/>
          <w:color w:val="000000"/>
          <w:sz w:val="24"/>
          <w:szCs w:val="24"/>
        </w:rPr>
        <w:t xml:space="preserve">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S. McLaughlin, K. Zhalnina &amp; S. Kosina, </w:t>
      </w:r>
      <w:r>
        <w:rPr>
          <w:rFonts w:ascii="Times New Roman" w:hAnsi="Times New Roman"/>
          <w:i/>
          <w:color w:val="000000"/>
          <w:sz w:val="24"/>
          <w:szCs w:val="24"/>
        </w:rPr>
        <w:t>The Core Metabolome and Root Exudation Dynamics of Three Phylogenetically Distinct Plant Species</w:t>
      </w:r>
      <w:r>
        <w:rPr>
          <w:rFonts w:ascii="Times New Roman" w:hAnsi="Times New Roman"/>
          <w:color w:val="000000"/>
          <w:sz w:val="24"/>
          <w:szCs w:val="24"/>
        </w:rPr>
        <w:t>. </w:t>
      </w:r>
      <w:r>
        <w:rPr>
          <w:rFonts w:ascii="Times New Roman" w:hAnsi="Times New Roman"/>
          <w:b/>
          <w:color w:val="000000"/>
          <w:sz w:val="24"/>
          <w:szCs w:val="24"/>
        </w:rPr>
        <w:t>Nat. Commun.</w:t>
      </w:r>
      <w:r>
        <w:rPr>
          <w:rFonts w:ascii="Times New Roman" w:hAnsi="Times New Roman"/>
          <w:color w:val="000000"/>
          <w:sz w:val="24"/>
          <w:szCs w:val="24"/>
        </w:rPr>
        <w:t xml:space="preserve">, 14, 2023, 1649, https://doi.org/10.1038/s41467-023-37164-x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U. Khan, P. S. Hooda, M. S. A. Blackwell &amp; R. Busquets, </w:t>
      </w:r>
      <w:r>
        <w:rPr>
          <w:rFonts w:ascii="Times New Roman" w:hAnsi="Times New Roman"/>
          <w:i/>
          <w:color w:val="000000"/>
          <w:sz w:val="24"/>
          <w:szCs w:val="24"/>
        </w:rPr>
        <w:t>Microbial Biomass Responses to Soil Drying-Rewetting and Phosphorus Leaching</w:t>
      </w:r>
      <w:r>
        <w:rPr>
          <w:rFonts w:ascii="Times New Roman" w:hAnsi="Times New Roman"/>
          <w:color w:val="000000"/>
          <w:sz w:val="24"/>
          <w:szCs w:val="24"/>
        </w:rPr>
        <w:t>. </w:t>
      </w:r>
      <w:r>
        <w:rPr>
          <w:rFonts w:ascii="Times New Roman" w:hAnsi="Times New Roman"/>
          <w:b/>
          <w:color w:val="000000"/>
          <w:sz w:val="24"/>
          <w:szCs w:val="24"/>
        </w:rPr>
        <w:t>Front. Environ. Sci.</w:t>
      </w:r>
      <w:r>
        <w:rPr>
          <w:rFonts w:ascii="Times New Roman" w:hAnsi="Times New Roman"/>
          <w:color w:val="000000"/>
          <w:sz w:val="24"/>
          <w:szCs w:val="24"/>
        </w:rPr>
        <w:t>, 7, 2019, 133. doi: 10.3389/fenvs.2019.00133</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Abbasi, </w:t>
      </w:r>
      <w:r>
        <w:rPr>
          <w:rFonts w:ascii="Times New Roman" w:hAnsi="Times New Roman"/>
          <w:i/>
          <w:color w:val="000000"/>
          <w:sz w:val="24"/>
          <w:szCs w:val="24"/>
        </w:rPr>
        <w:t>Plant–Microbe Interactions Ameliorate Phosphate-Mediated Responses in the Rhizosphere: A Review</w:t>
      </w:r>
      <w:r>
        <w:rPr>
          <w:rFonts w:ascii="Times New Roman" w:hAnsi="Times New Roman"/>
          <w:color w:val="000000"/>
          <w:sz w:val="24"/>
          <w:szCs w:val="24"/>
        </w:rPr>
        <w:t>. </w:t>
      </w:r>
      <w:r>
        <w:rPr>
          <w:rFonts w:ascii="Times New Roman" w:hAnsi="Times New Roman"/>
          <w:b/>
          <w:color w:val="000000"/>
          <w:sz w:val="24"/>
          <w:szCs w:val="24"/>
        </w:rPr>
        <w:t>Fronteir Plant Sci.</w:t>
      </w:r>
      <w:r>
        <w:rPr>
          <w:rFonts w:ascii="Times New Roman" w:hAnsi="Times New Roman"/>
          <w:color w:val="000000"/>
          <w:sz w:val="24"/>
          <w:szCs w:val="24"/>
        </w:rPr>
        <w:t xml:space="preserve">, 14, 2023, 1074279. doi: 10.3389/fpls.2023.1074279 </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sz w:val="24"/>
          <w:szCs w:val="24"/>
        </w:rPr>
        <w:t xml:space="preserve">M. A. Rahman, S. H. Lee, H. C. Ji, A. H. Kabir, C. S. Jones &amp; K. W. Lee, </w:t>
      </w:r>
      <w:r>
        <w:rPr>
          <w:rFonts w:ascii="Times New Roman" w:hAnsi="Times New Roman"/>
          <w:i/>
          <w:color w:val="000000"/>
          <w:sz w:val="24"/>
          <w:szCs w:val="24"/>
        </w:rPr>
        <w:t>Importance of Mineral Nutrition for Mitigatin</w:t>
      </w:r>
      <w:r>
        <w:rPr>
          <w:rFonts w:ascii="Times New Roman" w:hAnsi="Times New Roman"/>
          <w:i/>
          <w:color w:val="000000" w:themeColor="text1"/>
          <w:sz w:val="24"/>
          <w:szCs w:val="24"/>
          <w14:textFill>
            <w14:solidFill>
              <w14:schemeClr w14:val="tx1"/>
            </w14:solidFill>
          </w14:textFill>
        </w:rPr>
        <w:t>g Aluminum Toxicity in Plants on Acidic Soils: Current Status and Opportunities.</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International Journal of Molecular Sciences,</w:t>
      </w:r>
      <w:r>
        <w:rPr>
          <w:rFonts w:ascii="Times New Roman" w:hAnsi="Times New Roman"/>
          <w:color w:val="000000" w:themeColor="text1"/>
          <w:sz w:val="24"/>
          <w:szCs w:val="24"/>
          <w14:textFill>
            <w14:solidFill>
              <w14:schemeClr w14:val="tx1"/>
            </w14:solidFill>
          </w14:textFill>
        </w:rPr>
        <w:t xml:space="preserve"> 19(10), 2018, 3073. </w:t>
      </w:r>
      <w:r>
        <w:rPr>
          <w:rFonts w:ascii="Times New Roman" w:hAnsi="Times New Roman"/>
          <w:sz w:val="24"/>
          <w:szCs w:val="24"/>
        </w:rPr>
        <w:t>https://doi.org/10.3390/ijms19103073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P. Sica, C. Kopp, D. S. Muller-Stover, &amp; Magid, J.,</w:t>
      </w:r>
      <w:r>
        <w:rPr>
          <w:rFonts w:ascii="Times New Roman" w:hAnsi="Times New Roman"/>
          <w:i/>
          <w:color w:val="000000" w:themeColor="text1"/>
          <w:sz w:val="24"/>
          <w:szCs w:val="24"/>
          <w14:textFill>
            <w14:solidFill>
              <w14:schemeClr w14:val="tx1"/>
            </w14:solidFill>
          </w14:textFill>
        </w:rPr>
        <w:t xml:space="preserve"> Acidification and Alkalinization Pretreatments of biowastes and their Effect on P Solubility and Dynamics when Placed in Soil</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Journal of Environmental Management</w:t>
      </w:r>
      <w:r>
        <w:rPr>
          <w:rFonts w:ascii="Times New Roman" w:hAnsi="Times New Roman"/>
          <w:color w:val="000000" w:themeColor="text1"/>
          <w:sz w:val="24"/>
          <w:szCs w:val="24"/>
          <w14:textFill>
            <w14:solidFill>
              <w14:schemeClr w14:val="tx1"/>
            </w14:solidFill>
          </w14:textFill>
        </w:rPr>
        <w:t>, 333, 023, 117447</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sz w:val="24"/>
          <w:szCs w:val="24"/>
        </w:rPr>
        <w:t xml:space="preserve">E. </w:t>
      </w:r>
      <w:r>
        <w:rPr>
          <w:rFonts w:ascii="Times New Roman" w:hAnsi="Times New Roman"/>
          <w:bCs/>
          <w:sz w:val="24"/>
          <w:szCs w:val="24"/>
        </w:rPr>
        <w:t>González de Andrés</w:t>
      </w:r>
      <w:r>
        <w:rPr>
          <w:rFonts w:ascii="Times New Roman" w:hAnsi="Times New Roman"/>
          <w:bCs/>
          <w:color w:val="000000" w:themeColor="text1"/>
          <w:sz w:val="24"/>
          <w:szCs w:val="24"/>
          <w14:textFill>
            <w14:solidFill>
              <w14:schemeClr w14:val="tx1"/>
            </w14:solidFill>
          </w14:textFill>
        </w:rPr>
        <w:t xml:space="preserve">, </w:t>
      </w:r>
      <w:r>
        <w:rPr>
          <w:rFonts w:ascii="Times New Roman" w:hAnsi="Times New Roman"/>
          <w:bCs/>
          <w:i/>
          <w:color w:val="000000" w:themeColor="text1"/>
          <w:sz w:val="24"/>
          <w:szCs w:val="24"/>
          <w14:textFill>
            <w14:solidFill>
              <w14:schemeClr w14:val="tx1"/>
            </w14:solidFill>
          </w14:textFill>
        </w:rPr>
        <w:t>Interactions between Climate and Nutrient Cycles on Forest Response to Global Change</w:t>
      </w:r>
      <w:r>
        <w:rPr>
          <w:rFonts w:ascii="Times New Roman" w:hAnsi="Times New Roman"/>
          <w:bCs/>
          <w:color w:val="000000" w:themeColor="text1"/>
          <w:sz w:val="24"/>
          <w:szCs w:val="24"/>
          <w14:textFill>
            <w14:solidFill>
              <w14:schemeClr w14:val="tx1"/>
            </w14:solidFill>
          </w14:textFill>
        </w:rPr>
        <w:t xml:space="preserve">: The Role of Mixed Forests, </w:t>
      </w:r>
      <w:r>
        <w:rPr>
          <w:rFonts w:ascii="Times New Roman" w:hAnsi="Times New Roman"/>
          <w:bCs/>
          <w:iCs/>
          <w:color w:val="000000" w:themeColor="text1"/>
          <w:sz w:val="24"/>
          <w:szCs w:val="24"/>
          <w14:textFill>
            <w14:solidFill>
              <w14:schemeClr w14:val="tx1"/>
            </w14:solidFill>
          </w14:textFill>
        </w:rPr>
        <w:t>10</w:t>
      </w:r>
      <w:r>
        <w:rPr>
          <w:rFonts w:ascii="Times New Roman" w:hAnsi="Times New Roman"/>
          <w:bCs/>
          <w:color w:val="000000" w:themeColor="text1"/>
          <w:sz w:val="24"/>
          <w:szCs w:val="24"/>
          <w14:textFill>
            <w14:solidFill>
              <w14:schemeClr w14:val="tx1"/>
            </w14:solidFill>
          </w14:textFill>
        </w:rPr>
        <w:t xml:space="preserve">(8), 2019, 609, </w:t>
      </w:r>
      <w:r>
        <w:fldChar w:fldCharType="begin"/>
      </w:r>
      <w:r>
        <w:instrText xml:space="preserve"> HYPERLINK "https://doi.org/10.3390/f10080609" </w:instrText>
      </w:r>
      <w:r>
        <w:fldChar w:fldCharType="separate"/>
      </w:r>
      <w:r>
        <w:rPr>
          <w:rStyle w:val="13"/>
          <w:rFonts w:ascii="Times New Roman" w:hAnsi="Times New Roman"/>
          <w:bCs/>
          <w:color w:val="auto"/>
          <w:sz w:val="24"/>
          <w:szCs w:val="24"/>
          <w:u w:val="none"/>
        </w:rPr>
        <w:t>https://doi.org/10.3390/f10080609</w:t>
      </w:r>
      <w:r>
        <w:rPr>
          <w:rStyle w:val="13"/>
          <w:rFonts w:ascii="Times New Roman" w:hAnsi="Times New Roman"/>
          <w:bCs/>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shd w:val="clear" w:color="auto" w:fill="FCFCFC"/>
          <w14:textFill>
            <w14:solidFill>
              <w14:schemeClr w14:val="tx1"/>
            </w14:solidFill>
          </w14:textFill>
        </w:rPr>
        <w:t xml:space="preserve">H. Sase, </w:t>
      </w:r>
      <w:r>
        <w:rPr>
          <w:rFonts w:ascii="Times New Roman" w:hAnsi="Times New Roman"/>
          <w:i/>
          <w:color w:val="000000" w:themeColor="text1"/>
          <w:sz w:val="24"/>
          <w:szCs w:val="24"/>
          <w:shd w:val="clear" w:color="auto" w:fill="FCFCFC"/>
          <w14:textFill>
            <w14:solidFill>
              <w14:schemeClr w14:val="tx1"/>
            </w14:solidFill>
          </w14:textFill>
        </w:rPr>
        <w:t>Effects of Acidic Substances on Ecosystems. In: Akimoto, H., Tanimoto, H. (eds) Handbook of Air Quality and Climate Change</w:t>
      </w:r>
      <w:r>
        <w:rPr>
          <w:rFonts w:ascii="Times New Roman" w:hAnsi="Times New Roman"/>
          <w:color w:val="000000" w:themeColor="text1"/>
          <w:sz w:val="24"/>
          <w:szCs w:val="24"/>
          <w:shd w:val="clear" w:color="auto" w:fill="FCFCFC"/>
          <w14:textFill>
            <w14:solidFill>
              <w14:schemeClr w14:val="tx1"/>
            </w14:solidFill>
          </w14:textFill>
        </w:rPr>
        <w:t xml:space="preserve">, </w:t>
      </w:r>
      <w:r>
        <w:rPr>
          <w:rFonts w:ascii="Times New Roman" w:hAnsi="Times New Roman"/>
          <w:b/>
          <w:color w:val="000000" w:themeColor="text1"/>
          <w:sz w:val="24"/>
          <w:szCs w:val="24"/>
          <w:shd w:val="clear" w:color="auto" w:fill="FCFCFC"/>
          <w14:textFill>
            <w14:solidFill>
              <w14:schemeClr w14:val="tx1"/>
            </w14:solidFill>
          </w14:textFill>
        </w:rPr>
        <w:t>Springer</w:t>
      </w:r>
      <w:r>
        <w:rPr>
          <w:rFonts w:ascii="Times New Roman" w:hAnsi="Times New Roman"/>
          <w:color w:val="000000" w:themeColor="text1"/>
          <w:sz w:val="24"/>
          <w:szCs w:val="24"/>
          <w:shd w:val="clear" w:color="auto" w:fill="FCFCFC"/>
          <w14:textFill>
            <w14:solidFill>
              <w14:schemeClr w14:val="tx1"/>
            </w14:solidFill>
          </w14:textFill>
        </w:rPr>
        <w:t xml:space="preserve">, Singapore, 2023, </w:t>
      </w:r>
      <w:r>
        <w:rPr>
          <w:rFonts w:ascii="Times New Roman" w:hAnsi="Times New Roman"/>
          <w:sz w:val="24"/>
          <w:szCs w:val="24"/>
          <w:shd w:val="clear" w:color="auto" w:fill="FCFCFC"/>
        </w:rPr>
        <w:t>https://doi.org/10.1007/978-981-15-2760-9_26</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sz w:val="24"/>
          <w:szCs w:val="24"/>
        </w:rPr>
        <w:t xml:space="preserve">F. Kunt, &amp; A. Özkan, </w:t>
      </w:r>
      <w:r>
        <w:rPr>
          <w:rFonts w:ascii="Times New Roman" w:hAnsi="Times New Roman"/>
          <w:i/>
          <w:sz w:val="24"/>
          <w:szCs w:val="24"/>
        </w:rPr>
        <w:t>Negative effects of acid rains on agricultural areas</w:t>
      </w:r>
      <w:r>
        <w:rPr>
          <w:rFonts w:ascii="Times New Roman" w:hAnsi="Times New Roman"/>
          <w:sz w:val="24"/>
          <w:szCs w:val="24"/>
        </w:rPr>
        <w:t xml:space="preserve">, </w:t>
      </w:r>
      <w:r>
        <w:rPr>
          <w:rFonts w:ascii="Times New Roman" w:hAnsi="Times New Roman"/>
          <w:b/>
          <w:sz w:val="24"/>
          <w:szCs w:val="24"/>
        </w:rPr>
        <w:t>Ann. Environ. Sci. Toxicol.</w:t>
      </w:r>
      <w:r>
        <w:rPr>
          <w:rFonts w:ascii="Times New Roman" w:hAnsi="Times New Roman"/>
          <w:sz w:val="24"/>
          <w:szCs w:val="24"/>
        </w:rPr>
        <w:t>, 7(1), 2023, 013-016, https://dx.doi.org/10.17352/aest.000065</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X. Liu, H. Shi, Z. Bai, X. Liu, B. Yang &amp; D. Yan, </w:t>
      </w:r>
      <w:r>
        <w:rPr>
          <w:rFonts w:ascii="Times New Roman" w:hAnsi="Times New Roman"/>
          <w:i/>
          <w:color w:val="000000" w:themeColor="text1"/>
          <w:sz w:val="24"/>
          <w:szCs w:val="24"/>
          <w14:textFill>
            <w14:solidFill>
              <w14:schemeClr w14:val="tx1"/>
            </w14:solidFill>
          </w14:textFill>
        </w:rPr>
        <w:t>Assessing Soil Acidification of Croplands in the Poyang Lake Basin of China from 2012 to 2018,</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Sustainability</w:t>
      </w:r>
      <w:r>
        <w:rPr>
          <w:rFonts w:ascii="Times New Roman" w:hAnsi="Times New Roman"/>
          <w:color w:val="000000" w:themeColor="text1"/>
          <w:sz w:val="24"/>
          <w:szCs w:val="24"/>
          <w14:textFill>
            <w14:solidFill>
              <w14:schemeClr w14:val="tx1"/>
            </w14:solidFill>
          </w14:textFill>
        </w:rPr>
        <w:t>, 12, 2020, 3072.</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O. R. Gabriel, B. O. Daniela, H. Zhixiong, J. G. Robert, E. Chijioke, J. F. Robert, Y. WenZhu, A. B. Karen &amp; A. M. Tim, </w:t>
      </w:r>
      <w:r>
        <w:rPr>
          <w:rFonts w:ascii="Times New Roman" w:hAnsi="Times New Roman"/>
          <w:i/>
          <w:color w:val="000000" w:themeColor="text1"/>
          <w:sz w:val="24"/>
          <w:szCs w:val="24"/>
          <w14:textFill>
            <w14:solidFill>
              <w14:schemeClr w14:val="tx1"/>
            </w14:solidFill>
          </w14:textFill>
        </w:rPr>
        <w:t>Repeated Inoculation of Cattle Rumen with Bison Rumen Contents Alters the Rumen Microbiome and Improves Nitrogen Digestibility in Cattle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Scientific Reports, </w:t>
      </w:r>
      <w:r>
        <w:rPr>
          <w:rFonts w:ascii="Times New Roman" w:hAnsi="Times New Roman"/>
          <w:color w:val="000000" w:themeColor="text1"/>
          <w:sz w:val="24"/>
          <w:szCs w:val="24"/>
          <w14:textFill>
            <w14:solidFill>
              <w14:schemeClr w14:val="tx1"/>
            </w14:solidFill>
          </w14:textFill>
        </w:rPr>
        <w:t>7, 2017, 1276</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K. Erik, S. Johan, I. Johan, &amp; L. Stefan,</w:t>
      </w:r>
      <w:r>
        <w:rPr>
          <w:rFonts w:ascii="Times New Roman" w:hAnsi="Times New Roman"/>
          <w:i/>
          <w:color w:val="000000" w:themeColor="text1"/>
          <w:sz w:val="24"/>
          <w:szCs w:val="24"/>
          <w14:textFill>
            <w14:solidFill>
              <w14:schemeClr w14:val="tx1"/>
            </w14:solidFill>
          </w14:textFill>
        </w:rPr>
        <w:t xml:space="preserve"> Forest Biomass Accumulation is an Important Source of Acidity to Forest Soils</w:t>
      </w:r>
      <w:r>
        <w:rPr>
          <w:rFonts w:ascii="Times New Roman" w:hAnsi="Times New Roman"/>
          <w:color w:val="000000" w:themeColor="text1"/>
          <w:sz w:val="24"/>
          <w:szCs w:val="24"/>
          <w14:textFill>
            <w14:solidFill>
              <w14:schemeClr w14:val="tx1"/>
            </w14:solidFill>
          </w14:textFill>
        </w:rPr>
        <w:t>: Data from Swedish inventories of forests and soils</w:t>
      </w:r>
      <w:r>
        <w:rPr>
          <w:rFonts w:ascii="Times New Roman" w:hAnsi="Times New Roman"/>
          <w:i/>
          <w:color w:val="000000" w:themeColor="text1"/>
          <w:sz w:val="24"/>
          <w:szCs w:val="24"/>
          <w14:textFill>
            <w14:solidFill>
              <w14:schemeClr w14:val="tx1"/>
            </w14:solidFill>
          </w14:textFill>
        </w:rPr>
        <w:t xml:space="preserve"> 1955 to 2010</w:t>
      </w:r>
      <w:r>
        <w:rPr>
          <w:rFonts w:ascii="Times New Roman" w:hAnsi="Times New Roman"/>
          <w:color w:val="000000" w:themeColor="text1"/>
          <w:sz w:val="24"/>
          <w:szCs w:val="24"/>
          <w14:textFill>
            <w14:solidFill>
              <w14:schemeClr w14:val="tx1"/>
            </w14:solidFill>
          </w14:textFill>
        </w:rPr>
        <w:t>, 51(1): 2021, 199–208 doi: </w:t>
      </w:r>
      <w:r>
        <w:fldChar w:fldCharType="begin"/>
      </w:r>
      <w:r>
        <w:instrText xml:space="preserve"> HYPERLINK "https://doi.org/10.1007%2Fs13280-021-01540-y" \t "_blank" </w:instrText>
      </w:r>
      <w:r>
        <w:fldChar w:fldCharType="separate"/>
      </w:r>
      <w:r>
        <w:rPr>
          <w:rStyle w:val="13"/>
          <w:rFonts w:ascii="Times New Roman" w:hAnsi="Times New Roman"/>
          <w:color w:val="auto"/>
          <w:sz w:val="24"/>
          <w:szCs w:val="24"/>
          <w:u w:val="none"/>
        </w:rPr>
        <w:t>10.1007/s13280-021-01540-y</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PMCID: PMC8651924, PMID: </w:t>
      </w:r>
      <w:r>
        <w:fldChar w:fldCharType="begin"/>
      </w:r>
      <w:r>
        <w:instrText xml:space="preserve"> HYPERLINK "https://pubmed.ncbi.nlm.nih.gov/33782851" </w:instrText>
      </w:r>
      <w:r>
        <w:fldChar w:fldCharType="separate"/>
      </w:r>
      <w:r>
        <w:rPr>
          <w:rStyle w:val="13"/>
          <w:rFonts w:ascii="Times New Roman" w:hAnsi="Times New Roman"/>
          <w:color w:val="auto"/>
          <w:sz w:val="24"/>
          <w:szCs w:val="24"/>
          <w:u w:val="none"/>
        </w:rPr>
        <w:t>33782851</w:t>
      </w:r>
      <w:r>
        <w:rPr>
          <w:rStyle w:val="13"/>
          <w:rFonts w:ascii="Times New Roman" w:hAnsi="Times New Roman"/>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M. Lukasz, </w:t>
      </w:r>
      <w:r>
        <w:rPr>
          <w:rFonts w:ascii="Times New Roman" w:hAnsi="Times New Roman"/>
          <w:i/>
          <w:color w:val="000000" w:themeColor="text1"/>
          <w:sz w:val="24"/>
          <w:szCs w:val="24"/>
          <w14:textFill>
            <w14:solidFill>
              <w14:schemeClr w14:val="tx1"/>
            </w14:solidFill>
          </w14:textFill>
        </w:rPr>
        <w:t>Occurrence of Podzolization in Soils Developed from Flysch Regolith in the Wieliczka Foothills (Outer Western Carpathians, Southern Poland)</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Soil Sci. Ann., </w:t>
      </w:r>
      <w:r>
        <w:rPr>
          <w:rFonts w:ascii="Times New Roman" w:hAnsi="Times New Roman"/>
          <w:b/>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73(1), 2022, 147507</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J. James, G. P. Elisabeth, C. Stefano, C. Guia, C. Nicholas, C. Nathalie, H. Karin, M. Henning, P. Gunilla, T. Hugues, V. Elena, V. Arne, V. Lars, W. Peter &amp; J. Mathieu, </w:t>
      </w:r>
      <w:r>
        <w:rPr>
          <w:rFonts w:ascii="Times New Roman" w:hAnsi="Times New Roman"/>
          <w:i/>
          <w:color w:val="000000" w:themeColor="text1"/>
          <w:sz w:val="24"/>
          <w:szCs w:val="24"/>
          <w14:textFill>
            <w14:solidFill>
              <w14:schemeClr w14:val="tx1"/>
            </w14:solidFill>
          </w14:textFill>
        </w:rPr>
        <w:t>The Response of Soil Solution Chemistry in European Forests to Decreasing Acid Deposition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Global Change Biology</w:t>
      </w:r>
      <w:r>
        <w:rPr>
          <w:rFonts w:ascii="Times New Roman" w:hAnsi="Times New Roman"/>
          <w:color w:val="000000" w:themeColor="text1"/>
          <w:sz w:val="24"/>
          <w:szCs w:val="24"/>
          <w14:textFill>
            <w14:solidFill>
              <w14:schemeClr w14:val="tx1"/>
            </w14:solidFill>
          </w14:textFill>
        </w:rPr>
        <w:t>, 24(8), 2018, 3603-3619</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M. Egli, &amp; A. Mirabella, </w:t>
      </w:r>
      <w:r>
        <w:rPr>
          <w:rFonts w:ascii="Times New Roman" w:hAnsi="Times New Roman"/>
          <w:i/>
          <w:color w:val="000000" w:themeColor="text1"/>
          <w:sz w:val="24"/>
          <w:szCs w:val="24"/>
          <w14:textFill>
            <w14:solidFill>
              <w14:schemeClr w14:val="tx1"/>
            </w14:solidFill>
          </w14:textFill>
        </w:rPr>
        <w:t>The Origin and Formation of Clay Minerals in Alpine Soils</w:t>
      </w:r>
      <w:r>
        <w:rPr>
          <w:rFonts w:ascii="Times New Roman" w:hAnsi="Times New Roman"/>
          <w:color w:val="000000" w:themeColor="text1"/>
          <w:sz w:val="24"/>
          <w:szCs w:val="24"/>
          <w14:textFill>
            <w14:solidFill>
              <w14:schemeClr w14:val="tx1"/>
            </w14:solidFill>
          </w14:textFill>
        </w:rPr>
        <w:t xml:space="preserve">. Geophysical Monographs Book Series, 257: 2021, 121-137. DOI: </w:t>
      </w:r>
      <w:r>
        <w:fldChar w:fldCharType="begin"/>
      </w:r>
      <w:r>
        <w:instrText xml:space="preserve"> HYPERLINK "https://doi.org/10.1002/9781119563952.ch6" </w:instrText>
      </w:r>
      <w:r>
        <w:fldChar w:fldCharType="separate"/>
      </w:r>
      <w:r>
        <w:rPr>
          <w:rStyle w:val="13"/>
          <w:rFonts w:ascii="Times New Roman" w:hAnsi="Times New Roman"/>
          <w:color w:val="auto"/>
          <w:sz w:val="24"/>
          <w:szCs w:val="24"/>
          <w:u w:val="none"/>
        </w:rPr>
        <w:t>https://doi.org/10.1002/9781119563952.ch6</w:t>
      </w:r>
      <w:r>
        <w:rPr>
          <w:rStyle w:val="13"/>
          <w:rFonts w:ascii="Times New Roman" w:hAnsi="Times New Roman"/>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H. Wen, H. Wu, Y. Dong, W. Feng, Y. Lu, Y. Hu &amp; G. Zhang,</w:t>
      </w:r>
      <w:r>
        <w:rPr>
          <w:rFonts w:ascii="Times New Roman" w:hAnsi="Times New Roman"/>
          <w:i/>
          <w:color w:val="000000" w:themeColor="text1"/>
          <w:sz w:val="24"/>
          <w:szCs w:val="24"/>
          <w14:textFill>
            <w14:solidFill>
              <w14:schemeClr w14:val="tx1"/>
            </w14:solidFill>
          </w14:textFill>
        </w:rPr>
        <w:t xml:space="preserve"> Differential Soil Acidification Caused by Parent Materials and Land-use Changes in the Pearl River Delta Region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Soil Use and Management</w:t>
      </w:r>
      <w:r>
        <w:rPr>
          <w:rFonts w:ascii="Times New Roman" w:hAnsi="Times New Roman"/>
          <w:color w:val="000000" w:themeColor="text1"/>
          <w:sz w:val="24"/>
          <w:szCs w:val="24"/>
          <w14:textFill>
            <w14:solidFill>
              <w14:schemeClr w14:val="tx1"/>
            </w14:solidFill>
          </w14:textFill>
        </w:rPr>
        <w:t>, 39(1), 2022, 329-341</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P. Eliza, M. Karolina, R. B. Heye &amp; L. Michael, </w:t>
      </w:r>
      <w:r>
        <w:rPr>
          <w:rFonts w:ascii="Times New Roman" w:hAnsi="Times New Roman"/>
          <w:i/>
          <w:color w:val="000000" w:themeColor="text1"/>
          <w:sz w:val="24"/>
          <w:szCs w:val="24"/>
          <w14:textFill>
            <w14:solidFill>
              <w14:schemeClr w14:val="tx1"/>
            </w14:solidFill>
          </w14:textFill>
        </w:rPr>
        <w:t>The Impact of Partial Deforestation on Solute Fluxes and Stream Water Ionic Composition in a Headwater Catchment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Water, </w:t>
      </w:r>
      <w:r>
        <w:rPr>
          <w:rFonts w:ascii="Times New Roman" w:hAnsi="Times New Roman"/>
          <w:color w:val="000000" w:themeColor="text1"/>
          <w:sz w:val="24"/>
          <w:szCs w:val="24"/>
          <w14:textFill>
            <w14:solidFill>
              <w14:schemeClr w14:val="tx1"/>
            </w14:solidFill>
          </w14:textFill>
        </w:rPr>
        <w:t>15(1), 2023, 107</w:t>
      </w:r>
    </w:p>
    <w:p>
      <w:pPr>
        <w:numPr>
          <w:ilvl w:val="0"/>
          <w:numId w:val="5"/>
        </w:numPr>
        <w:spacing w:after="240" w:line="276" w:lineRule="auto"/>
        <w:ind w:left="709" w:hanging="709"/>
        <w:jc w:val="both"/>
        <w:rPr>
          <w:rStyle w:val="13"/>
          <w:rFonts w:ascii="Times New Roman" w:hAnsi="Times New Roman"/>
          <w:color w:val="000000" w:themeColor="text1"/>
          <w:sz w:val="24"/>
          <w:szCs w:val="24"/>
          <w:u w:val="none"/>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T. L. B. Mark, E. A. Diane, B. Richard, E. S. Tim, L. Tom, P. S. Luke &amp; S. </w:t>
      </w:r>
      <w:r>
        <w:fldChar w:fldCharType="begin"/>
      </w:r>
      <w:r>
        <w:instrText xml:space="preserve"> HYPERLINK "https://pubmed.ncbi.nlm.nih.gov/?term=Schmidt%20S%5BAuthor%5D" </w:instrText>
      </w:r>
      <w:r>
        <w:fldChar w:fldCharType="separate"/>
      </w:r>
      <w:r>
        <w:rPr>
          <w:rStyle w:val="13"/>
          <w:rFonts w:ascii="Times New Roman" w:hAnsi="Times New Roman"/>
          <w:color w:val="auto"/>
          <w:sz w:val="24"/>
          <w:szCs w:val="24"/>
          <w:u w:val="none"/>
        </w:rPr>
        <w:t>Susann</w:t>
      </w:r>
      <w:r>
        <w:rPr>
          <w:rStyle w:val="13"/>
          <w:rFonts w:ascii="Times New Roman" w:hAnsi="Times New Roman"/>
          <w:color w:val="auto"/>
          <w:sz w:val="24"/>
          <w:szCs w:val="24"/>
          <w:u w:val="none"/>
        </w:rPr>
        <w:fldChar w:fldCharType="end"/>
      </w:r>
      <w:r>
        <w:rPr>
          <w:rFonts w:ascii="Times New Roman" w:hAnsi="Times New Roman"/>
          <w:sz w:val="24"/>
          <w:szCs w:val="24"/>
        </w:rPr>
        <w:t>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
          <w:color w:val="000000" w:themeColor="text1"/>
          <w:sz w:val="24"/>
          <w:szCs w:val="24"/>
          <w14:textFill>
            <w14:solidFill>
              <w14:schemeClr w14:val="tx1"/>
            </w14:solidFill>
          </w14:textFill>
        </w:rPr>
        <w:t xml:space="preserve">Tropical Rainforest Restoration Plantations Are Slow to Restore the Soil Biological and Organic Carbon Characteristics of Old Growth Rainforest </w:t>
      </w:r>
      <w:r>
        <w:rPr>
          <w:rFonts w:ascii="Times New Roman" w:hAnsi="Times New Roman"/>
          <w:color w:val="000000" w:themeColor="text1"/>
          <w:sz w:val="24"/>
          <w:szCs w:val="24"/>
          <w14:textFill>
            <w14:solidFill>
              <w14:schemeClr w14:val="tx1"/>
            </w14:solidFill>
          </w14:textFill>
        </w:rPr>
        <w:t>79(2):2019, 432-442 PMCID: PMC7033081, PMID: </w:t>
      </w:r>
      <w:r>
        <w:fldChar w:fldCharType="begin"/>
      </w:r>
      <w:r>
        <w:instrText xml:space="preserve"> HYPERLINK "https://pubmed.ncbi.nlm.nih.gov/31372686" </w:instrText>
      </w:r>
      <w:r>
        <w:fldChar w:fldCharType="separate"/>
      </w:r>
      <w:r>
        <w:rPr>
          <w:rStyle w:val="13"/>
          <w:rFonts w:ascii="Times New Roman" w:hAnsi="Times New Roman"/>
          <w:color w:val="auto"/>
          <w:sz w:val="24"/>
          <w:szCs w:val="24"/>
          <w:u w:val="none"/>
        </w:rPr>
        <w:t>31372686</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doi:</w:t>
      </w:r>
      <w:r>
        <w:fldChar w:fldCharType="begin"/>
      </w:r>
      <w:r>
        <w:instrText xml:space="preserve"> HYPERLINK "https://doi.org/10.1007%2Fs00248-019-01414-7" \t "_blank" </w:instrText>
      </w:r>
      <w:r>
        <w:fldChar w:fldCharType="separate"/>
      </w:r>
      <w:r>
        <w:rPr>
          <w:rStyle w:val="13"/>
          <w:rFonts w:ascii="Times New Roman" w:hAnsi="Times New Roman"/>
          <w:color w:val="auto"/>
          <w:sz w:val="24"/>
          <w:szCs w:val="24"/>
          <w:u w:val="none"/>
        </w:rPr>
        <w:t>10.1007/s00248-019-01414-7</w:t>
      </w:r>
      <w:r>
        <w:rPr>
          <w:rStyle w:val="13"/>
          <w:rFonts w:ascii="Times New Roman" w:hAnsi="Times New Roman"/>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 Klinge, A. R. Araujo Martins, J. Mackensen &amp; H. Fölster, </w:t>
      </w:r>
      <w:r>
        <w:rPr>
          <w:rFonts w:ascii="Times New Roman" w:hAnsi="Times New Roman"/>
          <w:i/>
          <w:color w:val="000000" w:themeColor="text1"/>
          <w:sz w:val="24"/>
          <w:szCs w:val="24"/>
          <w14:textFill>
            <w14:solidFill>
              <w14:schemeClr w14:val="tx1"/>
            </w14:solidFill>
          </w14:textFill>
        </w:rPr>
        <w:t>Element Loss on Rain Forest Conversion in East Amazonia: Comparison of Balances of Stores and Fluxes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Biogeochemistry</w:t>
      </w:r>
      <w:r>
        <w:rPr>
          <w:rFonts w:ascii="Times New Roman" w:hAnsi="Times New Roman"/>
          <w:color w:val="000000" w:themeColor="text1"/>
          <w:sz w:val="24"/>
          <w:szCs w:val="24"/>
          <w14:textFill>
            <w14:solidFill>
              <w14:schemeClr w14:val="tx1"/>
            </w14:solidFill>
          </w14:textFill>
        </w:rPr>
        <w:t>, 69, 2004, 63-82.</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sz w:val="24"/>
          <w:szCs w:val="24"/>
        </w:rPr>
        <w:t>V. Mahnaz, E. J. Chris, J. B. John, L. C. John, J. F. Timothy, F. Habibollah &amp; T. D. Charles,</w:t>
      </w:r>
      <w:r>
        <w:rPr>
          <w:rFonts w:ascii="Times New Roman" w:hAnsi="Times New Roman"/>
          <w:i/>
          <w:sz w:val="24"/>
          <w:szCs w:val="24"/>
        </w:rPr>
        <w:t xml:space="preserve">  Simulation of the Effects of Forest Harvesting under Changing Climate to Inform Long-term Sustainable Forest Management Using a Biogeochemical Model</w:t>
      </w:r>
      <w:r>
        <w:rPr>
          <w:rFonts w:ascii="Times New Roman" w:hAnsi="Times New Roman"/>
          <w:sz w:val="24"/>
          <w:szCs w:val="24"/>
        </w:rPr>
        <w:t xml:space="preserve"> , </w:t>
      </w:r>
      <w:r>
        <w:fldChar w:fldCharType="begin"/>
      </w:r>
      <w:r>
        <w:instrText xml:space="preserve"> HYPERLINK "https://www.sciencedirect.com/journal/science-of-the-total-environment" \o "Go to Science of The Total Environment on ScienceDirect" </w:instrText>
      </w:r>
      <w:r>
        <w:fldChar w:fldCharType="separate"/>
      </w:r>
      <w:r>
        <w:rPr>
          <w:rStyle w:val="13"/>
          <w:rFonts w:ascii="Times New Roman" w:hAnsi="Times New Roman"/>
          <w:color w:val="auto"/>
          <w:sz w:val="24"/>
          <w:szCs w:val="24"/>
          <w:u w:val="none"/>
        </w:rPr>
        <w:t>Science of The Total Environment</w:t>
      </w:r>
      <w:r>
        <w:rPr>
          <w:rStyle w:val="13"/>
          <w:rFonts w:ascii="Times New Roman" w:hAnsi="Times New Roman"/>
          <w:color w:val="auto"/>
          <w:sz w:val="24"/>
          <w:szCs w:val="24"/>
          <w:u w:val="none"/>
        </w:rPr>
        <w:fldChar w:fldCharType="end"/>
      </w:r>
      <w:r>
        <w:rPr>
          <w:rFonts w:ascii="Times New Roman" w:hAnsi="Times New Roman"/>
          <w:sz w:val="24"/>
          <w:szCs w:val="24"/>
        </w:rPr>
        <w:t>, 767, 2021, 144881.</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H. Wen, H. Wu, Y. Dong, W. Feng, Y. Lu, Y. Hu &amp; G. Zhang,</w:t>
      </w:r>
      <w:r>
        <w:rPr>
          <w:rFonts w:ascii="Times New Roman" w:hAnsi="Times New Roman"/>
          <w:i/>
          <w:color w:val="000000" w:themeColor="text1"/>
          <w:sz w:val="24"/>
          <w:szCs w:val="24"/>
          <w14:textFill>
            <w14:solidFill>
              <w14:schemeClr w14:val="tx1"/>
            </w14:solidFill>
          </w14:textFill>
        </w:rPr>
        <w:t xml:space="preserve"> Differential Soil Acidification Caused by Parent Materials and Land-use Changes in the Pearl River Delta Region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Soil Use and Management</w:t>
      </w:r>
      <w:r>
        <w:rPr>
          <w:rFonts w:ascii="Times New Roman" w:hAnsi="Times New Roman"/>
          <w:color w:val="000000" w:themeColor="text1"/>
          <w:sz w:val="24"/>
          <w:szCs w:val="24"/>
          <w14:textFill>
            <w14:solidFill>
              <w14:schemeClr w14:val="tx1"/>
            </w14:solidFill>
          </w14:textFill>
        </w:rPr>
        <w:t>, 39(1), 2022, 329-341</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Z. Yijie, Y. Chen, S. Yingwei, P. Weicheng, L. Rong, L. Yixiang, H. Huichuan, H. Xiahong, Y. Min &amp; Z. Shusheng, </w:t>
      </w:r>
      <w:r>
        <w:rPr>
          <w:rFonts w:ascii="Times New Roman" w:hAnsi="Times New Roman"/>
          <w:i/>
          <w:color w:val="000000" w:themeColor="text1"/>
          <w:sz w:val="24"/>
          <w:szCs w:val="24"/>
          <w14:textFill>
            <w14:solidFill>
              <w14:schemeClr w14:val="tx1"/>
            </w14:solidFill>
          </w14:textFill>
        </w:rPr>
        <w:t>Soil Acidification caused by excessive application of nitrogen fertilizer aggravates soil-borne diseases: Evidence from literature review and field trials, Agriculture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Ecosystems and Environment</w:t>
      </w:r>
      <w:r>
        <w:rPr>
          <w:rFonts w:ascii="Times New Roman" w:hAnsi="Times New Roman"/>
          <w:color w:val="000000" w:themeColor="text1"/>
          <w:sz w:val="24"/>
          <w:szCs w:val="24"/>
          <w14:textFill>
            <w14:solidFill>
              <w14:schemeClr w14:val="tx1"/>
            </w14:solidFill>
          </w14:textFill>
        </w:rPr>
        <w:t>, 340, 2022, 108176, https://doi.org/10.1016/j.agee.2022.108176.</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K. R. Helyar &amp; W. M. Porter, </w:t>
      </w:r>
      <w:r>
        <w:rPr>
          <w:rFonts w:ascii="Times New Roman" w:hAnsi="Times New Roman"/>
          <w:i/>
          <w:color w:val="000000" w:themeColor="text1"/>
          <w:sz w:val="24"/>
          <w:szCs w:val="24"/>
          <w14:textFill>
            <w14:solidFill>
              <w14:schemeClr w14:val="tx1"/>
            </w14:solidFill>
          </w14:textFill>
        </w:rPr>
        <w:t>Soil Acidification, Its Measurement and The Processes Involved. In: Robson, A.D. (ed) Soil Acidity and Plant Growth</w:t>
      </w:r>
      <w:r>
        <w:rPr>
          <w:rFonts w:ascii="Times New Roman" w:hAnsi="Times New Roman"/>
          <w:color w:val="000000" w:themeColor="text1"/>
          <w:sz w:val="24"/>
          <w:szCs w:val="24"/>
          <w14:textFill>
            <w14:solidFill>
              <w14:schemeClr w14:val="tx1"/>
            </w14:solidFill>
          </w14:textFill>
        </w:rPr>
        <w:t>, Academic Press, London, UK, pp 1989, 61-101.</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O. Aruna, A. Adekiya, A. Charity, M. T. Taiwo, E. Olayanju, A. Wutem, O. Kehinde, A. Ibukun, &amp; O. A. Babatunde, </w:t>
      </w:r>
      <w:r>
        <w:rPr>
          <w:rFonts w:ascii="Times New Roman" w:hAnsi="Times New Roman"/>
          <w:i/>
          <w:color w:val="000000" w:themeColor="text1"/>
          <w:sz w:val="24"/>
          <w:szCs w:val="24"/>
          <w14:textFill>
            <w14:solidFill>
              <w14:schemeClr w14:val="tx1"/>
            </w14:solidFill>
          </w14:textFill>
        </w:rPr>
        <w:t>Soil productivity improvement under different fallow types on Alfisol of a derived savanna ecology of Nigeria</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Heliyon</w:t>
      </w:r>
      <w:r>
        <w:rPr>
          <w:rFonts w:ascii="Times New Roman" w:hAnsi="Times New Roman"/>
          <w:color w:val="000000" w:themeColor="text1"/>
          <w:sz w:val="24"/>
          <w:szCs w:val="24"/>
          <w14:textFill>
            <w14:solidFill>
              <w14:schemeClr w14:val="tx1"/>
            </w14:solidFill>
          </w14:textFill>
        </w:rPr>
        <w:t>., 7. e06759. 10.1016/j.heliyon.2021.e06759.</w:t>
      </w:r>
    </w:p>
    <w:p>
      <w:pPr>
        <w:numPr>
          <w:ilvl w:val="0"/>
          <w:numId w:val="5"/>
        </w:numPr>
        <w:spacing w:after="240" w:line="276" w:lineRule="auto"/>
        <w:ind w:left="709" w:hanging="709"/>
        <w:jc w:val="both"/>
        <w:rPr>
          <w:rStyle w:val="13"/>
          <w:rFonts w:ascii="Times New Roman" w:hAnsi="Times New Roman"/>
          <w:color w:val="000000" w:themeColor="text1"/>
          <w:sz w:val="24"/>
          <w:szCs w:val="24"/>
          <w:u w:val="none"/>
          <w14:textFill>
            <w14:solidFill>
              <w14:schemeClr w14:val="tx1"/>
            </w14:solidFill>
          </w14:textFill>
        </w:rPr>
      </w:pPr>
      <w:r>
        <w:rPr>
          <w:rFonts w:ascii="Times New Roman" w:hAnsi="Times New Roman"/>
          <w:bCs/>
          <w:sz w:val="24"/>
          <w:szCs w:val="24"/>
        </w:rPr>
        <w:t>U. Yves, J. Mbezele, N. Yannick, Y. Mingxia, S. E. Ahmed, C. Zhujun</w:t>
      </w:r>
      <w:r>
        <w:rPr>
          <w:rFonts w:ascii="Times New Roman" w:hAnsi="Times New Roman"/>
          <w:bCs/>
          <w:sz w:val="24"/>
          <w:szCs w:val="24"/>
          <w:vertAlign w:val="superscript"/>
        </w:rPr>
        <w:t xml:space="preserve"> </w:t>
      </w:r>
      <w:r>
        <w:rPr>
          <w:rFonts w:ascii="Times New Roman" w:hAnsi="Times New Roman"/>
          <w:bCs/>
          <w:sz w:val="24"/>
          <w:szCs w:val="24"/>
        </w:rPr>
        <w:t>&amp; Z. Jianbin,</w:t>
      </w:r>
      <w:r>
        <w:rPr>
          <w:rFonts w:ascii="Times New Roman" w:hAnsi="Times New Roman"/>
          <w:bCs/>
          <w:i/>
          <w:sz w:val="24"/>
          <w:szCs w:val="24"/>
        </w:rPr>
        <w:t xml:space="preserve"> Spatially Explicit Soil Acidification under Optimized Fertilizer Use in Sub-Saharan Africa, </w:t>
      </w:r>
      <w:r>
        <w:rPr>
          <w:rFonts w:ascii="Times New Roman" w:hAnsi="Times New Roman"/>
          <w:bCs/>
          <w:iCs/>
          <w:sz w:val="24"/>
          <w:szCs w:val="24"/>
        </w:rPr>
        <w:t>13</w:t>
      </w:r>
      <w:r>
        <w:rPr>
          <w:rFonts w:ascii="Times New Roman" w:hAnsi="Times New Roman"/>
          <w:bCs/>
          <w:sz w:val="24"/>
          <w:szCs w:val="24"/>
        </w:rPr>
        <w:t>(3), 2023, 632</w:t>
      </w:r>
      <w:r>
        <w:rPr>
          <w:rFonts w:ascii="Times New Roman" w:hAnsi="Times New Roman"/>
          <w:b/>
          <w:bCs/>
          <w:sz w:val="24"/>
          <w:szCs w:val="24"/>
        </w:rPr>
        <w:t xml:space="preserve">: </w:t>
      </w:r>
      <w:r>
        <w:fldChar w:fldCharType="begin"/>
      </w:r>
      <w:r>
        <w:instrText xml:space="preserve"> HYPERLINK "https://doi.org/10.3390/agronomy13030632" </w:instrText>
      </w:r>
      <w:r>
        <w:fldChar w:fldCharType="separate"/>
      </w:r>
      <w:r>
        <w:rPr>
          <w:rStyle w:val="13"/>
          <w:rFonts w:ascii="Times New Roman" w:hAnsi="Times New Roman"/>
          <w:bCs/>
          <w:color w:val="auto"/>
          <w:sz w:val="24"/>
          <w:szCs w:val="24"/>
          <w:u w:val="none"/>
        </w:rPr>
        <w:t>https://doi.org/10.3390/agronomy13030632</w:t>
      </w:r>
      <w:r>
        <w:rPr>
          <w:rStyle w:val="13"/>
          <w:rFonts w:ascii="Times New Roman" w:hAnsi="Times New Roman"/>
          <w:bCs/>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 Kwenama &amp; B. D. Nkosinomusa, </w:t>
      </w:r>
      <w:r>
        <w:rPr>
          <w:rFonts w:ascii="Times New Roman" w:hAnsi="Times New Roman"/>
          <w:i/>
          <w:color w:val="000000" w:themeColor="text1"/>
          <w:sz w:val="24"/>
          <w:szCs w:val="24"/>
          <w14:textFill>
            <w14:solidFill>
              <w14:schemeClr w14:val="tx1"/>
            </w14:solidFill>
          </w14:textFill>
        </w:rPr>
        <w:t xml:space="preserve">Effects of Long-term (70 years) Nitrogen Fertilization and Liming on Carbon Storage in Water-stable Aggregates of a Semi-arid Grassland Soil., </w:t>
      </w:r>
      <w:r>
        <w:rPr>
          <w:rFonts w:ascii="Times New Roman" w:hAnsi="Times New Roman"/>
          <w:color w:val="000000" w:themeColor="text1"/>
          <w:sz w:val="24"/>
          <w:szCs w:val="24"/>
          <w14:textFill>
            <w14:solidFill>
              <w14:schemeClr w14:val="tx1"/>
            </w14:solidFill>
          </w14:textFill>
        </w:rPr>
        <w:t>2021, doi:</w:t>
      </w:r>
      <w:r>
        <w:fldChar w:fldCharType="begin"/>
      </w:r>
      <w:r>
        <w:instrText xml:space="preserve"> HYPERLINK "https://doi.org/10.1016%2Fj.heliyon.2021.e08690" \t "_blank" </w:instrText>
      </w:r>
      <w:r>
        <w:fldChar w:fldCharType="separate"/>
      </w:r>
      <w:r>
        <w:rPr>
          <w:rStyle w:val="13"/>
          <w:rFonts w:ascii="Times New Roman" w:hAnsi="Times New Roman"/>
          <w:color w:val="auto"/>
          <w:sz w:val="24"/>
          <w:szCs w:val="24"/>
          <w:u w:val="none"/>
        </w:rPr>
        <w:t>10.1016/j.heliyon.2021.e08690</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PMCID: PMC8741513, PMID: </w:t>
      </w:r>
      <w:r>
        <w:fldChar w:fldCharType="begin"/>
      </w:r>
      <w:r>
        <w:instrText xml:space="preserve"> HYPERLINK "https://pubmed.ncbi.nlm.nih.gov/35028467" </w:instrText>
      </w:r>
      <w:r>
        <w:fldChar w:fldCharType="separate"/>
      </w:r>
      <w:r>
        <w:rPr>
          <w:rStyle w:val="13"/>
          <w:rFonts w:ascii="Times New Roman" w:hAnsi="Times New Roman"/>
          <w:color w:val="auto"/>
          <w:sz w:val="24"/>
          <w:szCs w:val="24"/>
          <w:u w:val="none"/>
        </w:rPr>
        <w:t>35028467</w:t>
      </w:r>
      <w:r>
        <w:rPr>
          <w:rStyle w:val="13"/>
          <w:rFonts w:ascii="Times New Roman" w:hAnsi="Times New Roman"/>
          <w:color w:val="auto"/>
          <w:sz w:val="24"/>
          <w:szCs w:val="24"/>
          <w:u w:val="none"/>
        </w:rPr>
        <w:fldChar w:fldCharType="end"/>
      </w:r>
    </w:p>
    <w:p>
      <w:pPr>
        <w:numPr>
          <w:ilvl w:val="0"/>
          <w:numId w:val="5"/>
        </w:numPr>
        <w:spacing w:after="240" w:line="276" w:lineRule="auto"/>
        <w:ind w:left="709" w:hanging="709"/>
        <w:jc w:val="both"/>
        <w:rPr>
          <w:rStyle w:val="13"/>
          <w:rFonts w:ascii="Times New Roman" w:hAnsi="Times New Roman"/>
          <w:color w:val="000000" w:themeColor="text1"/>
          <w:sz w:val="24"/>
          <w:szCs w:val="24"/>
          <w:u w:val="none"/>
          <w14:textFill>
            <w14:solidFill>
              <w14:schemeClr w14:val="tx1"/>
            </w14:solidFill>
          </w14:textFill>
        </w:rPr>
      </w:pPr>
      <w:r>
        <w:rPr>
          <w:rFonts w:ascii="Times New Roman" w:hAnsi="Times New Roman"/>
          <w:sz w:val="24"/>
          <w:szCs w:val="24"/>
        </w:rPr>
        <w:t xml:space="preserve">L. K. </w:t>
      </w:r>
      <w:r>
        <w:fldChar w:fldCharType="begin"/>
      </w:r>
      <w:r>
        <w:instrText xml:space="preserve"> HYPERLINK "https://www.mdpi.com/books/person/355" </w:instrText>
      </w:r>
      <w:r>
        <w:fldChar w:fldCharType="separate"/>
      </w:r>
      <w:r>
        <w:rPr>
          <w:rStyle w:val="13"/>
          <w:rFonts w:ascii="Times New Roman" w:hAnsi="Times New Roman"/>
          <w:bCs/>
          <w:color w:val="auto"/>
          <w:sz w:val="24"/>
          <w:szCs w:val="24"/>
          <w:u w:val="none"/>
        </w:rPr>
        <w:t>Douglas</w:t>
      </w:r>
      <w:r>
        <w:rPr>
          <w:rStyle w:val="13"/>
          <w:rFonts w:ascii="Times New Roman" w:hAnsi="Times New Roman"/>
          <w:bCs/>
          <w:color w:val="auto"/>
          <w:sz w:val="24"/>
          <w:szCs w:val="24"/>
          <w:u w:val="none"/>
        </w:rPr>
        <w:fldChar w:fldCharType="end"/>
      </w:r>
      <w:r>
        <w:rPr>
          <w:rFonts w:ascii="Times New Roman" w:hAnsi="Times New Roman"/>
          <w:sz w:val="24"/>
          <w:szCs w:val="24"/>
        </w:rPr>
        <w:t xml:space="preserve"> </w:t>
      </w:r>
      <w:r>
        <w:rPr>
          <w:rFonts w:ascii="Times New Roman" w:hAnsi="Times New Roman"/>
          <w:bCs/>
          <w:sz w:val="24"/>
          <w:szCs w:val="24"/>
        </w:rPr>
        <w:t xml:space="preserve">&amp; W. R. </w:t>
      </w:r>
      <w:r>
        <w:fldChar w:fldCharType="begin"/>
      </w:r>
      <w:r>
        <w:instrText xml:space="preserve"> HYPERLINK "https://www.mdpi.com/books/person/364" </w:instrText>
      </w:r>
      <w:r>
        <w:fldChar w:fldCharType="separate"/>
      </w:r>
      <w:r>
        <w:rPr>
          <w:rStyle w:val="13"/>
          <w:rFonts w:ascii="Times New Roman" w:hAnsi="Times New Roman"/>
          <w:bCs/>
          <w:color w:val="auto"/>
          <w:sz w:val="24"/>
          <w:szCs w:val="24"/>
          <w:u w:val="none"/>
        </w:rPr>
        <w:t>Charles</w:t>
      </w:r>
      <w:r>
        <w:rPr>
          <w:rStyle w:val="13"/>
          <w:rFonts w:ascii="Times New Roman" w:hAnsi="Times New Roman"/>
          <w:bCs/>
          <w:color w:val="auto"/>
          <w:sz w:val="24"/>
          <w:szCs w:val="24"/>
          <w:u w:val="none"/>
        </w:rPr>
        <w:fldChar w:fldCharType="end"/>
      </w:r>
      <w:r>
        <w:rPr>
          <w:rFonts w:ascii="Times New Roman" w:hAnsi="Times New Roman"/>
          <w:sz w:val="24"/>
          <w:szCs w:val="24"/>
        </w:rPr>
        <w:t xml:space="preserve">, </w:t>
      </w:r>
      <w:r>
        <w:rPr>
          <w:rFonts w:ascii="Times New Roman" w:hAnsi="Times New Roman"/>
          <w:i/>
          <w:color w:val="000000" w:themeColor="text1"/>
          <w:sz w:val="24"/>
          <w:szCs w:val="24"/>
          <w14:textFill>
            <w14:solidFill>
              <w14:schemeClr w14:val="tx1"/>
            </w14:solidFill>
          </w14:textFill>
        </w:rPr>
        <w:t>Enhancing Soil Health to Mitigate Soil Degradation,</w:t>
      </w:r>
      <w:r>
        <w:rPr>
          <w:rFonts w:ascii="Times New Roman" w:hAnsi="Times New Roman"/>
          <w:color w:val="000000" w:themeColor="text1"/>
          <w:sz w:val="24"/>
          <w:szCs w:val="24"/>
          <w14:textFill>
            <w14:solidFill>
              <w14:schemeClr w14:val="tx1"/>
            </w14:solidFill>
          </w14:textFill>
        </w:rPr>
        <w:t xml:space="preserve"> 2017, 336 ISBN: 9783038423584, 3038423580, </w:t>
      </w:r>
      <w:r>
        <w:fldChar w:fldCharType="begin"/>
      </w:r>
      <w:r>
        <w:instrText xml:space="preserve"> HYPERLINK "https://doi.org/10.3390/books978-3-03842-359-1" </w:instrText>
      </w:r>
      <w:r>
        <w:fldChar w:fldCharType="separate"/>
      </w:r>
      <w:r>
        <w:rPr>
          <w:rStyle w:val="13"/>
          <w:rFonts w:ascii="Times New Roman" w:hAnsi="Times New Roman"/>
          <w:color w:val="auto"/>
          <w:sz w:val="24"/>
          <w:szCs w:val="24"/>
          <w:u w:val="none"/>
        </w:rPr>
        <w:t>https://doi.org/10.3390/books978-3-03842-359-1</w:t>
      </w:r>
      <w:r>
        <w:rPr>
          <w:rStyle w:val="13"/>
          <w:rFonts w:ascii="Times New Roman" w:hAnsi="Times New Roman"/>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iCs/>
          <w:sz w:val="24"/>
          <w:szCs w:val="24"/>
        </w:rPr>
        <w:t>H. Arief,  N. Desi &amp; S. Dede,</w:t>
      </w:r>
      <w:r>
        <w:rPr>
          <w:rFonts w:ascii="Times New Roman" w:hAnsi="Times New Roman"/>
          <w:bCs/>
          <w:sz w:val="24"/>
          <w:szCs w:val="24"/>
        </w:rPr>
        <w:t xml:space="preserve"> </w:t>
      </w:r>
      <w:r>
        <w:rPr>
          <w:rFonts w:ascii="Times New Roman" w:hAnsi="Times New Roman"/>
          <w:bCs/>
          <w:i/>
          <w:sz w:val="24"/>
          <w:szCs w:val="24"/>
        </w:rPr>
        <w:t xml:space="preserve">Development of Quick Test Method for Soil pH, Nitrate, Phosphorus, and Potassium Combining Chemicals and Phone Cellular Application, </w:t>
      </w:r>
      <w:r>
        <w:rPr>
          <w:rFonts w:ascii="Times New Roman" w:hAnsi="Times New Roman"/>
          <w:b/>
          <w:bCs/>
          <w:sz w:val="24"/>
          <w:szCs w:val="24"/>
        </w:rPr>
        <w:t>AGRIVITA</w:t>
      </w:r>
      <w:r>
        <w:rPr>
          <w:rFonts w:ascii="Times New Roman" w:hAnsi="Times New Roman"/>
          <w:bCs/>
          <w:sz w:val="24"/>
          <w:szCs w:val="24"/>
        </w:rPr>
        <w:t xml:space="preserve"> 43(2),2021 </w:t>
      </w:r>
      <w:r>
        <w:fldChar w:fldCharType="begin"/>
      </w:r>
      <w:r>
        <w:instrText xml:space="preserve"> HYPERLINK "http://agrivita.ub.ac.id/" </w:instrText>
      </w:r>
      <w:r>
        <w:fldChar w:fldCharType="separate"/>
      </w:r>
      <w:r>
        <w:rPr>
          <w:rStyle w:val="13"/>
          <w:rFonts w:ascii="Times New Roman" w:hAnsi="Times New Roman"/>
          <w:bCs/>
          <w:color w:val="auto"/>
          <w:sz w:val="24"/>
          <w:szCs w:val="24"/>
          <w:u w:val="none"/>
        </w:rPr>
        <w:t>http://agrivita.ub.ac.id/</w:t>
      </w:r>
      <w:r>
        <w:rPr>
          <w:rStyle w:val="13"/>
          <w:rFonts w:ascii="Times New Roman" w:hAnsi="Times New Roman"/>
          <w:bCs/>
          <w:color w:val="auto"/>
          <w:sz w:val="24"/>
          <w:szCs w:val="24"/>
          <w:u w:val="none"/>
        </w:rPr>
        <w:fldChar w:fldCharType="end"/>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X. Liu, H. Shi, Z. Bai, X. Liu, B. Yang &amp; D. Yan, </w:t>
      </w:r>
      <w:r>
        <w:rPr>
          <w:rFonts w:ascii="Times New Roman" w:hAnsi="Times New Roman"/>
          <w:i/>
          <w:color w:val="000000" w:themeColor="text1"/>
          <w:sz w:val="24"/>
          <w:szCs w:val="24"/>
          <w14:textFill>
            <w14:solidFill>
              <w14:schemeClr w14:val="tx1"/>
            </w14:solidFill>
          </w14:textFill>
        </w:rPr>
        <w:t>Assessing Soil Acidification of Croplands in the Poyang Lake Basin of China from 2012 to 2018,</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Sustainability</w:t>
      </w:r>
      <w:r>
        <w:rPr>
          <w:rFonts w:ascii="Times New Roman" w:hAnsi="Times New Roman"/>
          <w:color w:val="000000" w:themeColor="text1"/>
          <w:sz w:val="24"/>
          <w:szCs w:val="24"/>
          <w14:textFill>
            <w14:solidFill>
              <w14:schemeClr w14:val="tx1"/>
            </w14:solidFill>
          </w14:textFill>
        </w:rPr>
        <w:t>, 12, 2020, 3072</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 Fischer, C. K. Thomas, N. Zimov &amp; M. Gockede, </w:t>
      </w:r>
      <w:r>
        <w:rPr>
          <w:rFonts w:ascii="Times New Roman" w:hAnsi="Times New Roman"/>
          <w:i/>
          <w:color w:val="000000" w:themeColor="text1"/>
          <w:sz w:val="24"/>
          <w:szCs w:val="24"/>
          <w14:textFill>
            <w14:solidFill>
              <w14:schemeClr w14:val="tx1"/>
            </w14:solidFill>
          </w14:textFill>
        </w:rPr>
        <w:t xml:space="preserve">Grazing Enhances Carbon Cycling but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 xml:space="preserve">Reduces Methane Emission During Peak Growing Season in the Siberian Pleistocene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Park Tundra Site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Biogeosciences</w:t>
      </w:r>
      <w:r>
        <w:rPr>
          <w:rFonts w:ascii="Times New Roman" w:hAnsi="Times New Roman"/>
          <w:color w:val="000000" w:themeColor="text1"/>
          <w:sz w:val="24"/>
          <w:szCs w:val="24"/>
          <w14:textFill>
            <w14:solidFill>
              <w14:schemeClr w14:val="tx1"/>
            </w14:solidFill>
          </w14:textFill>
        </w:rPr>
        <w:t>, 19, 2022, 1611-1633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O. E Rebecca, D. Miles, C. Scott, S. T. Malinda, F. Xiaoli, S. Stephen &amp; Y. G. Linda,</w:t>
      </w:r>
      <w:r>
        <w:rPr>
          <w:rFonts w:ascii="Times New Roman" w:hAnsi="Times New Roman"/>
          <w:i/>
          <w:color w:val="000000" w:themeColor="text1"/>
          <w:sz w:val="24"/>
          <w:szCs w:val="24"/>
          <w14:textFill>
            <w14:solidFill>
              <w14:schemeClr w14:val="tx1"/>
            </w14:solidFill>
          </w14:textFill>
        </w:rPr>
        <w:t xml:space="preserve">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 xml:space="preserve">Liming Remediates Soil Acidity and Improves Crop Yield and Profitability – A Meta-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 Agron.</w:t>
      </w:r>
      <w:r>
        <w:rPr>
          <w:rFonts w:ascii="Times New Roman" w:hAnsi="Times New Roman"/>
          <w:color w:val="000000" w:themeColor="text1"/>
          <w:sz w:val="24"/>
          <w:szCs w:val="24"/>
          <w14:textFill>
            <w14:solidFill>
              <w14:schemeClr w14:val="tx1"/>
            </w14:solidFill>
          </w14:textFill>
        </w:rPr>
        <w:t>, 5, 2023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A. D. Noble, S. Suzuki, W. Soda, S. Ruaysoongnern &amp; S. Berthelsen, </w:t>
      </w:r>
      <w:r>
        <w:rPr>
          <w:rFonts w:ascii="Times New Roman" w:hAnsi="Times New Roman"/>
          <w:i/>
          <w:color w:val="000000" w:themeColor="text1"/>
          <w:sz w:val="24"/>
          <w:szCs w:val="24"/>
          <w14:textFill>
            <w14:solidFill>
              <w14:schemeClr w14:val="tx1"/>
            </w14:solidFill>
          </w14:textFill>
        </w:rPr>
        <w:t>Soil Acidification and Carbon Storage in Fertilized Pastures of Northeast Thailand</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Geoderma</w:t>
      </w:r>
      <w:r>
        <w:rPr>
          <w:rFonts w:ascii="Times New Roman" w:hAnsi="Times New Roman"/>
          <w:color w:val="000000" w:themeColor="text1"/>
          <w:sz w:val="24"/>
          <w:szCs w:val="24"/>
          <w14:textFill>
            <w14:solidFill>
              <w14:schemeClr w14:val="tx1"/>
            </w14:solidFill>
          </w14:textFill>
        </w:rPr>
        <w:t xml:space="preserve">, 144, 2008, 248-255. </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M. Martha &amp; C. A. Shapiro, </w:t>
      </w:r>
      <w:r>
        <w:rPr>
          <w:rFonts w:ascii="Times New Roman" w:hAnsi="Times New Roman"/>
          <w:i/>
          <w:color w:val="000000" w:themeColor="text1"/>
          <w:sz w:val="24"/>
          <w:szCs w:val="24"/>
          <w14:textFill>
            <w14:solidFill>
              <w14:schemeClr w14:val="tx1"/>
            </w14:solidFill>
          </w14:textFill>
        </w:rPr>
        <w:t>Management Strategies to Reduce the Rate of Soil Acidification</w:t>
      </w:r>
      <w:r>
        <w:rPr>
          <w:rFonts w:ascii="Times New Roman" w:hAnsi="Times New Roman"/>
          <w:color w:val="000000" w:themeColor="text1"/>
          <w:sz w:val="24"/>
          <w:szCs w:val="24"/>
          <w14:textFill>
            <w14:solidFill>
              <w14:schemeClr w14:val="tx1"/>
            </w14:solidFill>
          </w14:textFill>
        </w:rPr>
        <w:t>, 2015.</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sz w:val="24"/>
          <w:szCs w:val="24"/>
        </w:rPr>
        <w:t xml:space="preserve">M. Leila, M. Mohammad &amp; L. Amir, </w:t>
      </w:r>
      <w:r>
        <w:rPr>
          <w:rFonts w:ascii="Times New Roman" w:hAnsi="Times New Roman"/>
          <w:i/>
          <w:sz w:val="24"/>
          <w:szCs w:val="24"/>
        </w:rPr>
        <w:t>Amelioration of soil properties, growth and leaf mineral elements of summer savory under salt stress and biochar application in alkaline soil</w:t>
      </w:r>
      <w:r>
        <w:rPr>
          <w:rFonts w:ascii="Times New Roman" w:hAnsi="Times New Roman"/>
          <w:sz w:val="24"/>
          <w:szCs w:val="24"/>
        </w:rPr>
        <w:t xml:space="preserve">, </w:t>
      </w:r>
      <w:r>
        <w:rPr>
          <w:rFonts w:ascii="Times New Roman" w:hAnsi="Times New Roman"/>
          <w:b/>
          <w:sz w:val="24"/>
          <w:szCs w:val="24"/>
        </w:rPr>
        <w:t>Scientia Horticulturae</w:t>
      </w:r>
      <w:r>
        <w:rPr>
          <w:rFonts w:ascii="Times New Roman" w:hAnsi="Times New Roman"/>
          <w:sz w:val="24"/>
          <w:szCs w:val="24"/>
        </w:rPr>
        <w:t>, 267, 2020, 109319, https://doi.org/10.1016/j.scienta.2020.109319.</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 W. Thomas, </w:t>
      </w:r>
      <w:r>
        <w:rPr>
          <w:rFonts w:ascii="Times New Roman" w:hAnsi="Times New Roman"/>
          <w:i/>
          <w:color w:val="000000" w:themeColor="text1"/>
          <w:sz w:val="24"/>
          <w:szCs w:val="24"/>
          <w14:textFill>
            <w14:solidFill>
              <w14:schemeClr w14:val="tx1"/>
            </w14:solidFill>
          </w14:textFill>
        </w:rPr>
        <w:t>Soil pH and Soil Acidity</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Cs/>
          <w:color w:val="000000" w:themeColor="text1"/>
          <w:sz w:val="24"/>
          <w:szCs w:val="24"/>
          <w14:textFill>
            <w14:solidFill>
              <w14:schemeClr w14:val="tx1"/>
            </w14:solidFill>
          </w14:textFill>
        </w:rPr>
        <w:t>Methods of Soil Analysis: part 3 Chemical</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Cs/>
          <w:color w:val="000000" w:themeColor="text1"/>
          <w:sz w:val="24"/>
          <w:szCs w:val="24"/>
          <w14:textFill>
            <w14:solidFill>
              <w14:schemeClr w14:val="tx1"/>
            </w14:solidFill>
          </w14:textFill>
        </w:rPr>
        <w:t>Methods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Cs/>
          <w:color w:val="000000" w:themeColor="text1"/>
          <w:sz w:val="24"/>
          <w:szCs w:val="24"/>
          <w14:textFill>
            <w14:solidFill>
              <w14:schemeClr w14:val="tx1"/>
            </w14:solidFill>
          </w14:textFill>
        </w:rPr>
        <w:t>5</w:t>
      </w:r>
      <w:r>
        <w:rPr>
          <w:rFonts w:ascii="Times New Roman" w:hAnsi="Times New Roman"/>
          <w:color w:val="000000" w:themeColor="text1"/>
          <w:sz w:val="24"/>
          <w:szCs w:val="24"/>
          <w14:textFill>
            <w14:solidFill>
              <w14:schemeClr w14:val="tx1"/>
            </w14:solidFill>
          </w14:textFill>
        </w:rPr>
        <w:t>, 1996, pp.475-490.</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A. Getachew, A. Tilahun, E. Teklu, Y. Chilot, H. Carol, T. Robert, G. Matthew, S. B. Nosworthy &amp; W. S. Gudeta, </w:t>
      </w:r>
      <w:r>
        <w:rPr>
          <w:rStyle w:val="56"/>
          <w:rFonts w:ascii="Times New Roman" w:hAnsi="Times New Roman"/>
          <w:i/>
          <w:sz w:val="24"/>
          <w:szCs w:val="24"/>
          <w:shd w:val="clear" w:color="auto" w:fill="FFFFFF"/>
        </w:rPr>
        <w:t xml:space="preserve">Extent and Management of Acid Soils for Sustainable Crop </w:t>
      </w:r>
      <w:r>
        <w:rPr>
          <w:rStyle w:val="56"/>
          <w:rFonts w:ascii="Times New Roman" w:hAnsi="Times New Roman"/>
          <w:i/>
          <w:sz w:val="24"/>
          <w:szCs w:val="24"/>
          <w:shd w:val="clear" w:color="auto" w:fill="FFFFFF"/>
        </w:rPr>
        <w:tab/>
      </w:r>
      <w:r>
        <w:rPr>
          <w:rStyle w:val="56"/>
          <w:rFonts w:ascii="Times New Roman" w:hAnsi="Times New Roman"/>
          <w:i/>
          <w:sz w:val="24"/>
          <w:szCs w:val="24"/>
          <w:shd w:val="clear" w:color="auto" w:fill="FFFFFF"/>
        </w:rPr>
        <w:t>Production System in the Tropical Agroecosystems: A Review</w:t>
      </w:r>
      <w:r>
        <w:rPr>
          <w:rStyle w:val="56"/>
          <w:rFonts w:ascii="Times New Roman" w:hAnsi="Times New Roman"/>
          <w:sz w:val="24"/>
          <w:szCs w:val="24"/>
          <w:shd w:val="clear" w:color="auto" w:fill="FFFFFF"/>
        </w:rPr>
        <w:t>,</w:t>
      </w:r>
      <w:r>
        <w:rPr>
          <w:rFonts w:ascii="Times New Roman" w:hAnsi="Times New Roman"/>
          <w:sz w:val="24"/>
          <w:szCs w:val="24"/>
          <w:shd w:val="clear" w:color="auto" w:fill="FFFFFF"/>
        </w:rPr>
        <w:t> </w:t>
      </w:r>
      <w:r>
        <w:rPr>
          <w:rStyle w:val="57"/>
          <w:rFonts w:ascii="Times New Roman" w:hAnsi="Times New Roman"/>
          <w:b/>
          <w:sz w:val="24"/>
          <w:szCs w:val="24"/>
          <w:shd w:val="clear" w:color="auto" w:fill="FFFFFF"/>
        </w:rPr>
        <w:t xml:space="preserve">Acta Agriculturae </w:t>
      </w:r>
      <w:r>
        <w:rPr>
          <w:rStyle w:val="57"/>
          <w:rFonts w:ascii="Times New Roman" w:hAnsi="Times New Roman"/>
          <w:b/>
          <w:sz w:val="24"/>
          <w:szCs w:val="24"/>
          <w:shd w:val="clear" w:color="auto" w:fill="FFFFFF"/>
        </w:rPr>
        <w:tab/>
      </w:r>
      <w:r>
        <w:rPr>
          <w:rStyle w:val="57"/>
          <w:rFonts w:ascii="Times New Roman" w:hAnsi="Times New Roman"/>
          <w:b/>
          <w:sz w:val="24"/>
          <w:szCs w:val="24"/>
          <w:shd w:val="clear" w:color="auto" w:fill="FFFFFF"/>
        </w:rPr>
        <w:t>Scandinavica</w:t>
      </w:r>
      <w:r>
        <w:rPr>
          <w:rStyle w:val="57"/>
          <w:rFonts w:ascii="Times New Roman" w:hAnsi="Times New Roman"/>
          <w:sz w:val="24"/>
          <w:szCs w:val="24"/>
          <w:shd w:val="clear" w:color="auto" w:fill="FFFFFF"/>
        </w:rPr>
        <w:t xml:space="preserve">, </w:t>
      </w:r>
      <w:r>
        <w:rPr>
          <w:rStyle w:val="57"/>
          <w:rFonts w:ascii="Times New Roman" w:hAnsi="Times New Roman"/>
          <w:b/>
          <w:sz w:val="24"/>
          <w:szCs w:val="24"/>
          <w:shd w:val="clear" w:color="auto" w:fill="FFFFFF"/>
        </w:rPr>
        <w:t>Section B - Soil &amp; Plant Science</w:t>
      </w:r>
      <w:r>
        <w:rPr>
          <w:rStyle w:val="57"/>
          <w:rFonts w:ascii="Times New Roman" w:hAnsi="Times New Roman"/>
          <w:sz w:val="24"/>
          <w:szCs w:val="24"/>
          <w:shd w:val="clear" w:color="auto" w:fill="FFFFFF"/>
        </w:rPr>
        <w:t>,</w:t>
      </w:r>
      <w:r>
        <w:rPr>
          <w:rFonts w:ascii="Times New Roman" w:hAnsi="Times New Roman"/>
          <w:sz w:val="24"/>
          <w:szCs w:val="24"/>
          <w:shd w:val="clear" w:color="auto" w:fill="FFFFFF"/>
        </w:rPr>
        <w:t> </w:t>
      </w:r>
      <w:r>
        <w:rPr>
          <w:rStyle w:val="58"/>
          <w:rFonts w:ascii="Times New Roman" w:hAnsi="Times New Roman"/>
          <w:sz w:val="24"/>
          <w:szCs w:val="24"/>
          <w:shd w:val="clear" w:color="auto" w:fill="FFFFFF"/>
        </w:rPr>
        <w:t>71(9), 2019,</w:t>
      </w:r>
      <w:r>
        <w:rPr>
          <w:rFonts w:ascii="Times New Roman" w:hAnsi="Times New Roman"/>
          <w:sz w:val="24"/>
          <w:szCs w:val="24"/>
          <w:shd w:val="clear" w:color="auto" w:fill="FFFFFF"/>
        </w:rPr>
        <w:t> </w:t>
      </w:r>
      <w:r>
        <w:rPr>
          <w:rStyle w:val="59"/>
          <w:rFonts w:ascii="Times New Roman" w:hAnsi="Times New Roman"/>
          <w:sz w:val="24"/>
          <w:szCs w:val="24"/>
          <w:shd w:val="clear" w:color="auto" w:fill="FFFFFF"/>
        </w:rPr>
        <w:t>852-869</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Z. Rengel, </w:t>
      </w:r>
      <w:r>
        <w:rPr>
          <w:rFonts w:ascii="Times New Roman" w:hAnsi="Times New Roman"/>
          <w:i/>
          <w:color w:val="000000" w:themeColor="text1"/>
          <w:sz w:val="24"/>
          <w:szCs w:val="24"/>
          <w14:textFill>
            <w14:solidFill>
              <w14:schemeClr w14:val="tx1"/>
            </w14:solidFill>
          </w14:textFill>
        </w:rPr>
        <w:t>Soil pH, Soil Health and Climate Change. In “Soil Health and Climate Change”, Protecting the Root Apex from Soil Acidity: A Theoretical Framework</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Plant and Soil</w:t>
      </w:r>
      <w:r>
        <w:rPr>
          <w:rFonts w:ascii="Times New Roman" w:hAnsi="Times New Roman"/>
          <w:color w:val="000000" w:themeColor="text1"/>
          <w:sz w:val="24"/>
          <w:szCs w:val="24"/>
          <w14:textFill>
            <w14:solidFill>
              <w14:schemeClr w14:val="tx1"/>
            </w14:solidFill>
          </w14:textFill>
        </w:rPr>
        <w:t>, 2011, 278.</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N. K. Fageria, V. C. Baligar &amp; R. W. Zobel, </w:t>
      </w:r>
      <w:r>
        <w:rPr>
          <w:rFonts w:ascii="Times New Roman" w:hAnsi="Times New Roman"/>
          <w:i/>
          <w:color w:val="000000" w:themeColor="text1"/>
          <w:sz w:val="24"/>
          <w:szCs w:val="24"/>
          <w14:textFill>
            <w14:solidFill>
              <w14:schemeClr w14:val="tx1"/>
            </w14:solidFill>
          </w14:textFill>
        </w:rPr>
        <w:t>Yield, Nutrient Uptake, and Soil Chemical Properties as Influenced by Liming and Boron Application in Common Bean in a No‐Tillage System</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iCs/>
          <w:color w:val="000000" w:themeColor="text1"/>
          <w:sz w:val="24"/>
          <w:szCs w:val="24"/>
          <w14:textFill>
            <w14:solidFill>
              <w14:schemeClr w14:val="tx1"/>
            </w14:solidFill>
          </w14:textFill>
        </w:rPr>
        <w:t>Communications in Soil Science and</w:t>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b/>
          <w:iCs/>
          <w:color w:val="000000" w:themeColor="text1"/>
          <w:sz w:val="24"/>
          <w:szCs w:val="24"/>
          <w14:textFill>
            <w14:solidFill>
              <w14:schemeClr w14:val="tx1"/>
            </w14:solidFill>
          </w14:textFill>
        </w:rPr>
        <w:t>Plant 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
          <w:iCs/>
          <w:color w:val="000000" w:themeColor="text1"/>
          <w:sz w:val="24"/>
          <w:szCs w:val="24"/>
          <w14:textFill>
            <w14:solidFill>
              <w14:schemeClr w14:val="tx1"/>
            </w14:solidFill>
          </w14:textFill>
        </w:rPr>
        <w:t>38</w:t>
      </w:r>
      <w:r>
        <w:rPr>
          <w:rFonts w:ascii="Times New Roman" w:hAnsi="Times New Roman"/>
          <w:color w:val="000000" w:themeColor="text1"/>
          <w:sz w:val="24"/>
          <w:szCs w:val="24"/>
          <w14:textFill>
            <w14:solidFill>
              <w14:schemeClr w14:val="tx1"/>
            </w14:solidFill>
          </w14:textFill>
        </w:rPr>
        <w:t>(11-12), 2007, 1637-1653.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K. W. T. Goulding, </w:t>
      </w:r>
      <w:r>
        <w:rPr>
          <w:rFonts w:ascii="Times New Roman" w:hAnsi="Times New Roman"/>
          <w:i/>
          <w:color w:val="000000" w:themeColor="text1"/>
          <w:sz w:val="24"/>
          <w:szCs w:val="24"/>
          <w14:textFill>
            <w14:solidFill>
              <w14:schemeClr w14:val="tx1"/>
            </w14:solidFill>
          </w14:textFill>
        </w:rPr>
        <w:t>Soil Acidification and the Importance of Liming Agricultural Soils with Particular Reference to the United Kingdom</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iCs/>
          <w:color w:val="000000" w:themeColor="text1"/>
          <w:sz w:val="24"/>
          <w:szCs w:val="24"/>
          <w14:textFill>
            <w14:solidFill>
              <w14:schemeClr w14:val="tx1"/>
            </w14:solidFill>
          </w14:textFill>
        </w:rPr>
        <w:t>Soil</w:t>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b/>
          <w:iCs/>
          <w:color w:val="000000" w:themeColor="text1"/>
          <w:sz w:val="24"/>
          <w:szCs w:val="24"/>
          <w14:textFill>
            <w14:solidFill>
              <w14:schemeClr w14:val="tx1"/>
            </w14:solidFill>
          </w14:textFill>
        </w:rPr>
        <w:t>Use and Management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
          <w:iCs/>
          <w:color w:val="000000" w:themeColor="text1"/>
          <w:sz w:val="24"/>
          <w:szCs w:val="24"/>
          <w14:textFill>
            <w14:solidFill>
              <w14:schemeClr w14:val="tx1"/>
            </w14:solidFill>
          </w14:textFill>
        </w:rPr>
        <w:t>32</w:t>
      </w:r>
      <w:r>
        <w:rPr>
          <w:rFonts w:ascii="Times New Roman" w:hAnsi="Times New Roman"/>
          <w:color w:val="000000" w:themeColor="text1"/>
          <w:sz w:val="24"/>
          <w:szCs w:val="24"/>
          <w14:textFill>
            <w14:solidFill>
              <w14:schemeClr w14:val="tx1"/>
            </w14:solidFill>
          </w14:textFill>
        </w:rPr>
        <w:t>(3), 2016, 390-399.</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A. M. Fernando, V. S. João, B. Frédéric &amp; J. H. Robert, </w:t>
      </w:r>
      <w:r>
        <w:rPr>
          <w:rFonts w:ascii="Times New Roman" w:hAnsi="Times New Roman"/>
          <w:i/>
          <w:color w:val="000000" w:themeColor="text1"/>
          <w:sz w:val="24"/>
          <w:szCs w:val="24"/>
          <w14:textFill>
            <w14:solidFill>
              <w14:schemeClr w14:val="tx1"/>
            </w14:solidFill>
          </w14:textFill>
        </w:rPr>
        <w:t xml:space="preserve">Estimating lime requirements for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tropical soils: Model comparison and development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Geoderma</w:t>
      </w:r>
      <w:r>
        <w:rPr>
          <w:rFonts w:ascii="Times New Roman" w:hAnsi="Times New Roman"/>
          <w:color w:val="000000" w:themeColor="text1"/>
          <w:sz w:val="24"/>
          <w:szCs w:val="24"/>
          <w14:textFill>
            <w14:solidFill>
              <w14:schemeClr w14:val="tx1"/>
            </w14:solidFill>
          </w14:textFill>
        </w:rPr>
        <w:t>, 432, 2023, 116421, https://doi.org/10.1016/j.geoderma.2023.116421.</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P. A. Sanchez, </w:t>
      </w:r>
      <w:r>
        <w:rPr>
          <w:rFonts w:ascii="Times New Roman" w:hAnsi="Times New Roman"/>
          <w:i/>
          <w:color w:val="000000" w:themeColor="text1"/>
          <w:sz w:val="24"/>
          <w:szCs w:val="24"/>
          <w14:textFill>
            <w14:solidFill>
              <w14:schemeClr w14:val="tx1"/>
            </w14:solidFill>
          </w14:textFill>
        </w:rPr>
        <w:t>Properties and Management of Soils in the Tropics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Soil Sci</w:t>
      </w:r>
      <w:r>
        <w:rPr>
          <w:rFonts w:ascii="Times New Roman" w:hAnsi="Times New Roman"/>
          <w:color w:val="000000" w:themeColor="text1"/>
          <w:sz w:val="24"/>
          <w:szCs w:val="24"/>
          <w14:textFill>
            <w14:solidFill>
              <w14:schemeClr w14:val="tx1"/>
            </w14:solidFill>
          </w14:textFill>
        </w:rPr>
        <w:t>., 124, 1977, 1-187.</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M. J. Swift &amp; P. Woomer, </w:t>
      </w:r>
      <w:r>
        <w:rPr>
          <w:rFonts w:ascii="Times New Roman" w:hAnsi="Times New Roman"/>
          <w:i/>
          <w:color w:val="000000" w:themeColor="text1"/>
          <w:sz w:val="24"/>
          <w:szCs w:val="24"/>
          <w14:textFill>
            <w14:solidFill>
              <w14:schemeClr w14:val="tx1"/>
            </w14:solidFill>
          </w14:textFill>
        </w:rPr>
        <w:t>Organic Matter and the Sustainability of Agricultural Systems: Definition and Measurements</w:t>
      </w:r>
      <w:r>
        <w:rPr>
          <w:rFonts w:ascii="Times New Roman" w:hAnsi="Times New Roman"/>
          <w:color w:val="000000" w:themeColor="text1"/>
          <w:sz w:val="24"/>
          <w:szCs w:val="24"/>
          <w14:textFill>
            <w14:solidFill>
              <w14:schemeClr w14:val="tx1"/>
            </w14:solidFill>
          </w14:textFill>
        </w:rPr>
        <w:t>, Wiley-sayce, Chichester, UK, 1993.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 Clara, G. Arthur, T. Niels &amp; G. Bruno, </w:t>
      </w:r>
      <w:r>
        <w:rPr>
          <w:rFonts w:ascii="Times New Roman" w:hAnsi="Times New Roman"/>
          <w:i/>
          <w:color w:val="000000" w:themeColor="text1"/>
          <w:sz w:val="24"/>
          <w:szCs w:val="24"/>
          <w14:textFill>
            <w14:solidFill>
              <w14:schemeClr w14:val="tx1"/>
            </w14:solidFill>
          </w14:textFill>
        </w:rPr>
        <w:t>Effects of Agroforestry on Grain Yield of Maize (Zea mays L.)- A Global Meta-Analysis,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 Sustain. Food Syst.</w:t>
      </w:r>
      <w:r>
        <w:rPr>
          <w:rFonts w:ascii="Times New Roman" w:hAnsi="Times New Roman"/>
          <w:color w:val="000000" w:themeColor="text1"/>
          <w:sz w:val="24"/>
          <w:szCs w:val="24"/>
          <w14:textFill>
            <w14:solidFill>
              <w14:schemeClr w14:val="tx1"/>
            </w14:solidFill>
          </w14:textFill>
        </w:rPr>
        <w:t>, 7, 2023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N. J. Barrow &amp; A. E. Hartemink, </w:t>
      </w:r>
      <w:r>
        <w:rPr>
          <w:rFonts w:ascii="Times New Roman" w:hAnsi="Times New Roman"/>
          <w:i/>
          <w:color w:val="000000" w:themeColor="text1"/>
          <w:sz w:val="24"/>
          <w:szCs w:val="24"/>
          <w14:textFill>
            <w14:solidFill>
              <w14:schemeClr w14:val="tx1"/>
            </w14:solidFill>
          </w14:textFill>
        </w:rPr>
        <w:t>The Effects of pH on Nutrient Availability Depend on both Soils and Plants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Plant Soil</w:t>
      </w:r>
      <w:r>
        <w:rPr>
          <w:rFonts w:ascii="Times New Roman" w:hAnsi="Times New Roman"/>
          <w:color w:val="000000" w:themeColor="text1"/>
          <w:sz w:val="24"/>
          <w:szCs w:val="24"/>
          <w14:textFill>
            <w14:solidFill>
              <w14:schemeClr w14:val="tx1"/>
            </w14:solidFill>
          </w14:textFill>
        </w:rPr>
        <w:t>., 2023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O. E. Rebecca, D. Miles, C. Scott, S. T. Malinda, F. Xiaoli, S. Stephen &amp; Y. G. Linda, </w:t>
      </w:r>
      <w:r>
        <w:rPr>
          <w:rFonts w:ascii="Times New Roman" w:hAnsi="Times New Roman"/>
          <w:i/>
          <w:color w:val="000000" w:themeColor="text1"/>
          <w:sz w:val="24"/>
          <w:szCs w:val="24"/>
          <w14:textFill>
            <w14:solidFill>
              <w14:schemeClr w14:val="tx1"/>
            </w14:solidFill>
          </w14:textFill>
        </w:rPr>
        <w:t>Liming Remediates Soil Acidity and Improves Crop Yield and Profitability- a meta- 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 Agron.</w:t>
      </w:r>
      <w:r>
        <w:rPr>
          <w:rFonts w:ascii="Times New Roman" w:hAnsi="Times New Roman"/>
          <w:color w:val="000000" w:themeColor="text1"/>
          <w:sz w:val="24"/>
          <w:szCs w:val="24"/>
          <w14:textFill>
            <w14:solidFill>
              <w14:schemeClr w14:val="tx1"/>
            </w14:solidFill>
          </w14:textFill>
        </w:rPr>
        <w:t>, 5, 2023</w:t>
      </w:r>
    </w:p>
    <w:p>
      <w:pPr>
        <w:numPr>
          <w:ilvl w:val="0"/>
          <w:numId w:val="5"/>
        </w:numPr>
        <w:spacing w:after="240" w:line="276" w:lineRule="auto"/>
        <w:ind w:left="709" w:hanging="709"/>
        <w:jc w:val="both"/>
        <w:rPr>
          <w:rFonts w:ascii="Times New Roman" w:hAnsi="Times New Roman"/>
          <w:color w:val="000000" w:themeColor="text1"/>
          <w:sz w:val="24"/>
          <w:szCs w:val="24"/>
          <w14:textFill>
            <w14:solidFill>
              <w14:schemeClr w14:val="tx1"/>
            </w14:solidFill>
          </w14:textFill>
        </w:rPr>
      </w:pPr>
      <w:r>
        <w:rPr>
          <w:rFonts w:ascii="Times New Roman" w:hAnsi="Times New Roman"/>
          <w:bCs/>
          <w:color w:val="000000" w:themeColor="text1"/>
          <w:sz w:val="24"/>
          <w:szCs w:val="24"/>
          <w14:textFill>
            <w14:solidFill>
              <w14:schemeClr w14:val="tx1"/>
            </w14:solidFill>
          </w14:textFill>
        </w:rPr>
        <w:t>L. Huabin,</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Z. Rong,</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S. Kai,</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L. Weixiang,</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W. Song</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 xml:space="preserve">&amp; W. Chengliang, </w:t>
      </w:r>
      <w:r>
        <w:rPr>
          <w:rFonts w:ascii="Times New Roman" w:hAnsi="Times New Roman"/>
          <w:bCs/>
          <w:i/>
          <w:color w:val="000000" w:themeColor="text1"/>
          <w:sz w:val="24"/>
          <w:szCs w:val="24"/>
          <w14:textFill>
            <w14:solidFill>
              <w14:schemeClr w14:val="tx1"/>
            </w14:solidFill>
          </w14:textFill>
        </w:rPr>
        <w:t xml:space="preserve">Aluminum Stress Signaling, Response, and Adaptive Mechanisms in Plants. </w:t>
      </w:r>
      <w:r>
        <w:rPr>
          <w:rFonts w:ascii="Times New Roman" w:hAnsi="Times New Roman"/>
          <w:bCs/>
          <w:color w:val="000000" w:themeColor="text1"/>
          <w:sz w:val="24"/>
          <w:szCs w:val="24"/>
          <w14:textFill>
            <w14:solidFill>
              <w14:schemeClr w14:val="tx1"/>
            </w14:solidFill>
          </w14:textFill>
        </w:rPr>
        <w:t>17(1); 2022,</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color w:val="000000" w:themeColor="text1"/>
          <w:sz w:val="24"/>
          <w:szCs w:val="24"/>
          <w14:textFill>
            <w14:solidFill>
              <w14:schemeClr w14:val="tx1"/>
            </w14:solidFill>
          </w14:textFill>
        </w:rPr>
        <w:t>2057060, PMCID: PMC9045826</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L. Nicole, B. A. Schon, P. M. Stevenson, F. S. Shi, C. Anderson, S. Mansfield, R. Simpson, J. Cavanagh, K. H. Orwin, W. C. Gray, A. Mackay, G. Lear &amp; M. O’Callaghan, </w:t>
      </w:r>
      <w:r>
        <w:fldChar w:fldCharType="begin"/>
      </w:r>
      <w:r>
        <w:instrText xml:space="preserve"> HYPERLINK "https://www.tandfonline.com/doi/abs/10.1080/00288233.2023.2215532" </w:instrText>
      </w:r>
      <w:r>
        <w:fldChar w:fldCharType="separate"/>
      </w:r>
      <w:r>
        <w:rPr>
          <w:rFonts w:ascii="Times New Roman" w:hAnsi="Times New Roman"/>
          <w:i/>
          <w:color w:val="000000"/>
          <w:sz w:val="24"/>
          <w:szCs w:val="24"/>
        </w:rPr>
        <w:t>Impacts of Long-Term Phosphorus and Nitrogen Fertiliser Application on Soil Biology: a New Zealand Perspective</w:t>
      </w:r>
      <w:r>
        <w:rPr>
          <w:rFonts w:ascii="Times New Roman" w:hAnsi="Times New Roman"/>
          <w:i/>
          <w:color w:val="000000"/>
          <w:sz w:val="24"/>
          <w:szCs w:val="24"/>
        </w:rPr>
        <w:fldChar w:fldCharType="end"/>
      </w:r>
      <w:r>
        <w:rPr>
          <w:rFonts w:ascii="Times New Roman" w:hAnsi="Times New Roman"/>
          <w:i/>
          <w:color w:val="000000"/>
          <w:sz w:val="24"/>
          <w:szCs w:val="24"/>
        </w:rPr>
        <w:t>,</w:t>
      </w:r>
      <w:r>
        <w:rPr>
          <w:rFonts w:ascii="Times New Roman" w:hAnsi="Times New Roman"/>
          <w:color w:val="000000"/>
          <w:sz w:val="24"/>
          <w:szCs w:val="24"/>
        </w:rPr>
        <w:t> </w:t>
      </w:r>
      <w:r>
        <w:rPr>
          <w:rFonts w:ascii="Times New Roman" w:hAnsi="Times New Roman"/>
          <w:b/>
          <w:color w:val="000000"/>
          <w:sz w:val="24"/>
          <w:szCs w:val="24"/>
        </w:rPr>
        <w:t>New Zealand Journal of Agricultural Research</w:t>
      </w:r>
      <w:r>
        <w:rPr>
          <w:rFonts w:ascii="Times New Roman" w:hAnsi="Times New Roman"/>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2023, pages 1-25.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A. F. Fall, G. Nakabonge, J. Ssekandi, H. Founoune-Mboup, S. O. Apori, A. Ndiaye, A. Badji &amp; K. Ngom, </w:t>
      </w:r>
      <w:r>
        <w:rPr>
          <w:rFonts w:ascii="Times New Roman" w:hAnsi="Times New Roman"/>
          <w:i/>
          <w:color w:val="000000"/>
          <w:sz w:val="24"/>
          <w:szCs w:val="24"/>
        </w:rPr>
        <w:t>Roles of Arbuscular Mycorrhizal Fungi on Soil Fertility: Contribution in the Improvement of Physical, Chemical, and Biological Properties of the Soil</w:t>
      </w:r>
      <w:r>
        <w:rPr>
          <w:rFonts w:ascii="Times New Roman" w:hAnsi="Times New Roman"/>
          <w:color w:val="000000"/>
          <w:sz w:val="24"/>
          <w:szCs w:val="24"/>
        </w:rPr>
        <w:t>,</w:t>
      </w:r>
      <w:r>
        <w:rPr>
          <w:rFonts w:ascii="Times New Roman" w:hAnsi="Times New Roman"/>
          <w:b/>
          <w:color w:val="000000"/>
          <w:sz w:val="24"/>
          <w:szCs w:val="24"/>
        </w:rPr>
        <w:t> Front. Fungal Biol</w:t>
      </w:r>
      <w:r>
        <w:rPr>
          <w:rFonts w:ascii="Times New Roman" w:hAnsi="Times New Roman"/>
          <w:color w:val="000000"/>
          <w:sz w:val="24"/>
          <w:szCs w:val="24"/>
        </w:rPr>
        <w:t xml:space="preserve">., 3, 2022, 723892. doi: 10.3389/ffunb.2022.723892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G. M. Gadd, </w:t>
      </w:r>
      <w:r>
        <w:rPr>
          <w:rFonts w:ascii="Times New Roman" w:hAnsi="Times New Roman"/>
          <w:i/>
          <w:color w:val="000000"/>
          <w:sz w:val="24"/>
          <w:szCs w:val="24"/>
        </w:rPr>
        <w:t>Geomycology: Fungi as Agents of Biogeochemical Change. Biology and Environment</w:t>
      </w:r>
      <w:r>
        <w:rPr>
          <w:rFonts w:ascii="Times New Roman" w:hAnsi="Times New Roman"/>
          <w:color w:val="000000"/>
          <w:sz w:val="24"/>
          <w:szCs w:val="24"/>
        </w:rPr>
        <w:t xml:space="preserve">, </w:t>
      </w:r>
      <w:r>
        <w:rPr>
          <w:rFonts w:ascii="Times New Roman" w:hAnsi="Times New Roman"/>
          <w:b/>
          <w:color w:val="000000"/>
          <w:sz w:val="24"/>
          <w:szCs w:val="24"/>
        </w:rPr>
        <w:t xml:space="preserve">Proceedings of the Royal Irish Academy, </w:t>
      </w:r>
      <w:r>
        <w:rPr>
          <w:rFonts w:ascii="Times New Roman" w:hAnsi="Times New Roman"/>
          <w:color w:val="000000"/>
          <w:sz w:val="24"/>
          <w:szCs w:val="24"/>
        </w:rPr>
        <w:t xml:space="preserve">2018, https://doi.org/10.3318/bioe.2018.04pr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F. J. Bruggeman, R. Planqué, D. Molenaar &amp; B. Teusink, </w:t>
      </w:r>
      <w:r>
        <w:rPr>
          <w:rFonts w:ascii="Times New Roman" w:hAnsi="Times New Roman"/>
          <w:i/>
          <w:color w:val="000000"/>
          <w:sz w:val="24"/>
          <w:szCs w:val="24"/>
        </w:rPr>
        <w:t>Searching for principles of microbial physiology</w:t>
      </w:r>
      <w:r>
        <w:rPr>
          <w:rFonts w:ascii="Times New Roman" w:hAnsi="Times New Roman"/>
          <w:color w:val="000000"/>
          <w:sz w:val="24"/>
          <w:szCs w:val="24"/>
        </w:rPr>
        <w:t>, </w:t>
      </w:r>
      <w:r>
        <w:rPr>
          <w:rFonts w:ascii="Times New Roman" w:hAnsi="Times New Roman"/>
          <w:b/>
          <w:color w:val="000000"/>
          <w:sz w:val="24"/>
          <w:szCs w:val="24"/>
        </w:rPr>
        <w:t>FEMS Microbiology Reviews</w:t>
      </w:r>
      <w:r>
        <w:rPr>
          <w:rFonts w:ascii="Times New Roman" w:hAnsi="Times New Roman"/>
          <w:color w:val="000000"/>
          <w:sz w:val="24"/>
          <w:szCs w:val="24"/>
        </w:rPr>
        <w:t xml:space="preserve">, 44(6), 2020, 821-844 https://doi.org/10.1093/femsre/fuaa034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P. Chenyin, Y. Wu, F. Shi &amp; S. Yongbao, "</w:t>
      </w:r>
      <w:r>
        <w:rPr>
          <w:rFonts w:ascii="Times New Roman" w:hAnsi="Times New Roman"/>
          <w:i/>
          <w:color w:val="000000"/>
          <w:sz w:val="24"/>
          <w:szCs w:val="24"/>
        </w:rPr>
        <w:t>Review of the Current Research Progress of Seed Germination Inhibitors"</w:t>
      </w:r>
      <w:r>
        <w:rPr>
          <w:rFonts w:ascii="Times New Roman" w:hAnsi="Times New Roman"/>
          <w:color w:val="000000"/>
          <w:sz w:val="24"/>
          <w:szCs w:val="24"/>
        </w:rPr>
        <w:t> </w:t>
      </w:r>
      <w:r>
        <w:rPr>
          <w:rFonts w:ascii="Times New Roman" w:hAnsi="Times New Roman"/>
          <w:b/>
          <w:iCs/>
          <w:color w:val="000000"/>
          <w:sz w:val="24"/>
          <w:szCs w:val="24"/>
        </w:rPr>
        <w:t>Horticulturae</w:t>
      </w:r>
      <w:r>
        <w:rPr>
          <w:rFonts w:ascii="Times New Roman" w:hAnsi="Times New Roman"/>
          <w:color w:val="000000"/>
          <w:sz w:val="24"/>
          <w:szCs w:val="24"/>
        </w:rPr>
        <w:t xml:space="preserve">, 9(4), 2023, 462, https://doi.org/10.3390/horticulturae9040462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B. S. Campanhol, D. R. Beatriz, C. Fernando, K. J. D. Medina &amp; S. R. P. Sponchiado, "</w:t>
      </w:r>
      <w:r>
        <w:rPr>
          <w:rFonts w:ascii="Times New Roman" w:hAnsi="Times New Roman"/>
          <w:i/>
          <w:color w:val="000000"/>
          <w:sz w:val="24"/>
          <w:szCs w:val="24"/>
        </w:rPr>
        <w:t>Improvement of DOPA-Melanin Production by Aspergillus nidulans Using Eco-Friendly and Inexpensive Substrates</w:t>
      </w:r>
      <w:r>
        <w:rPr>
          <w:rFonts w:ascii="Times New Roman" w:hAnsi="Times New Roman"/>
          <w:color w:val="000000"/>
          <w:sz w:val="24"/>
          <w:szCs w:val="24"/>
        </w:rPr>
        <w:t>", </w:t>
      </w:r>
      <w:r>
        <w:rPr>
          <w:rFonts w:ascii="Times New Roman" w:hAnsi="Times New Roman"/>
          <w:b/>
          <w:iCs/>
          <w:color w:val="000000"/>
          <w:sz w:val="24"/>
          <w:szCs w:val="24"/>
        </w:rPr>
        <w:t>Journal of Fungi,</w:t>
      </w:r>
      <w:r>
        <w:rPr>
          <w:rFonts w:ascii="Times New Roman" w:hAnsi="Times New Roman"/>
          <w:b/>
          <w:color w:val="000000"/>
          <w:sz w:val="24"/>
          <w:szCs w:val="24"/>
        </w:rPr>
        <w:t> </w:t>
      </w:r>
      <w:r>
        <w:rPr>
          <w:rFonts w:ascii="Times New Roman" w:hAnsi="Times New Roman"/>
          <w:color w:val="000000"/>
          <w:sz w:val="24"/>
          <w:szCs w:val="24"/>
        </w:rPr>
        <w:t>9(7), 2023, 714, https://doi.org/10.3390/jof9070714</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S. Sohn, A. Jae-Hyung, P. Subramani, O. Young-Ju, S. Eun-Kyoung, H. Kang, W. Cho, Y. Cho &amp; K. Shin, "</w:t>
      </w:r>
      <w:r>
        <w:rPr>
          <w:rFonts w:ascii="Times New Roman" w:hAnsi="Times New Roman"/>
          <w:i/>
          <w:color w:val="000000"/>
          <w:sz w:val="24"/>
          <w:szCs w:val="24"/>
        </w:rPr>
        <w:t>Dynamics of Bacterial Community Structure in the Rhizosphere and Root Nodule of Soybean: Impacts of Growth Stages and Varieties</w:t>
      </w:r>
      <w:r>
        <w:rPr>
          <w:rFonts w:ascii="Times New Roman" w:hAnsi="Times New Roman"/>
          <w:color w:val="000000"/>
          <w:sz w:val="24"/>
          <w:szCs w:val="24"/>
        </w:rPr>
        <w:t>", </w:t>
      </w:r>
      <w:r>
        <w:rPr>
          <w:rFonts w:ascii="Times New Roman" w:hAnsi="Times New Roman"/>
          <w:b/>
          <w:iCs/>
          <w:color w:val="000000"/>
          <w:sz w:val="24"/>
          <w:szCs w:val="24"/>
        </w:rPr>
        <w:t>International Journal of Molecular Sciences</w:t>
      </w:r>
      <w:r>
        <w:rPr>
          <w:rFonts w:ascii="Times New Roman" w:hAnsi="Times New Roman"/>
          <w:color w:val="000000"/>
          <w:sz w:val="24"/>
          <w:szCs w:val="24"/>
        </w:rPr>
        <w:t xml:space="preserve">, 22(11), 2021, 5577. https://doi.org/10.3390/ijms22115577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E. Gamalero, B. Elisa, R. Bernard &amp; R. Glick, "</w:t>
      </w:r>
      <w:r>
        <w:rPr>
          <w:rFonts w:ascii="Times New Roman" w:hAnsi="Times New Roman"/>
          <w:i/>
          <w:color w:val="000000"/>
          <w:sz w:val="24"/>
          <w:szCs w:val="24"/>
        </w:rPr>
        <w:t>Current Techniques to Study Beneficial Plant-Microbe Interactions</w:t>
      </w:r>
      <w:r>
        <w:rPr>
          <w:rFonts w:ascii="Times New Roman" w:hAnsi="Times New Roman"/>
          <w:color w:val="000000"/>
          <w:sz w:val="24"/>
          <w:szCs w:val="24"/>
        </w:rPr>
        <w:t>", </w:t>
      </w:r>
      <w:r>
        <w:rPr>
          <w:rFonts w:ascii="Times New Roman" w:hAnsi="Times New Roman"/>
          <w:b/>
          <w:iCs/>
          <w:color w:val="000000"/>
          <w:sz w:val="24"/>
          <w:szCs w:val="24"/>
        </w:rPr>
        <w:t>Microorganisms,</w:t>
      </w:r>
      <w:r>
        <w:rPr>
          <w:rFonts w:ascii="Times New Roman" w:hAnsi="Times New Roman"/>
          <w:b/>
          <w:color w:val="000000"/>
          <w:sz w:val="24"/>
          <w:szCs w:val="24"/>
        </w:rPr>
        <w:t> </w:t>
      </w:r>
      <w:r>
        <w:rPr>
          <w:rFonts w:ascii="Times New Roman" w:hAnsi="Times New Roman"/>
          <w:color w:val="000000"/>
          <w:sz w:val="24"/>
          <w:szCs w:val="24"/>
        </w:rPr>
        <w:t xml:space="preserve">10(7), 2022, 1380, https://doi.org/10.3390/microorganisms10071380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S. Achinas, C. Nikolaos &amp; G. J. W. Euverink, "</w:t>
      </w:r>
      <w:r>
        <w:rPr>
          <w:rFonts w:ascii="Times New Roman" w:hAnsi="Times New Roman"/>
          <w:i/>
          <w:color w:val="000000"/>
          <w:sz w:val="24"/>
          <w:szCs w:val="24"/>
        </w:rPr>
        <w:t>A Brief Recap of Microbial Adhesion and Biofilms</w:t>
      </w:r>
      <w:r>
        <w:rPr>
          <w:rFonts w:ascii="Times New Roman" w:hAnsi="Times New Roman"/>
          <w:color w:val="000000"/>
          <w:sz w:val="24"/>
          <w:szCs w:val="24"/>
        </w:rPr>
        <w:t>", </w:t>
      </w:r>
      <w:r>
        <w:rPr>
          <w:rFonts w:ascii="Times New Roman" w:hAnsi="Times New Roman"/>
          <w:b/>
          <w:iCs/>
          <w:color w:val="000000"/>
          <w:sz w:val="24"/>
          <w:szCs w:val="24"/>
        </w:rPr>
        <w:t>Applied Sciences</w:t>
      </w:r>
      <w:r>
        <w:rPr>
          <w:rFonts w:ascii="Times New Roman" w:hAnsi="Times New Roman"/>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9(14), 2019, 2801. https://doi.org/10.3390/app9142801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K. Kokina, L. Mezule, K. Gruskevica, R. Neilands, K. Golovko &amp; T. Juhna, "</w:t>
      </w:r>
      <w:r>
        <w:rPr>
          <w:rFonts w:ascii="Times New Roman" w:hAnsi="Times New Roman"/>
          <w:i/>
          <w:color w:val="000000"/>
          <w:sz w:val="24"/>
          <w:szCs w:val="24"/>
        </w:rPr>
        <w:t>Impact of Rapid pH Changes on Activated Sludge Process</w:t>
      </w:r>
      <w:r>
        <w:rPr>
          <w:rFonts w:ascii="Times New Roman" w:hAnsi="Times New Roman"/>
          <w:color w:val="000000"/>
          <w:sz w:val="24"/>
          <w:szCs w:val="24"/>
        </w:rPr>
        <w:t>", </w:t>
      </w:r>
      <w:r>
        <w:rPr>
          <w:rFonts w:ascii="Times New Roman" w:hAnsi="Times New Roman"/>
          <w:b/>
          <w:iCs/>
          <w:color w:val="000000"/>
          <w:sz w:val="24"/>
          <w:szCs w:val="24"/>
        </w:rPr>
        <w:t>Applied Sciences</w:t>
      </w:r>
      <w:r>
        <w:rPr>
          <w:rFonts w:ascii="Times New Roman" w:hAnsi="Times New Roman"/>
          <w:iCs/>
          <w:color w:val="000000"/>
          <w:sz w:val="24"/>
          <w:szCs w:val="24"/>
        </w:rPr>
        <w:t>,</w:t>
      </w:r>
      <w:r>
        <w:rPr>
          <w:rFonts w:ascii="Times New Roman" w:hAnsi="Times New Roman"/>
          <w:color w:val="000000"/>
          <w:sz w:val="24"/>
          <w:szCs w:val="24"/>
        </w:rPr>
        <w:t> 12(11), 2022, 5754, https://doi.org/10.3390/app12115754.</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B. Kong, W. Qicong, Y. Li, T. Zhu, Y. Ming, C. Li, F. Wang, S. Jiao &amp; S. Lianhui, "</w:t>
      </w:r>
      <w:r>
        <w:rPr>
          <w:rFonts w:ascii="Times New Roman" w:hAnsi="Times New Roman"/>
          <w:i/>
          <w:color w:val="000000"/>
          <w:sz w:val="24"/>
          <w:szCs w:val="24"/>
        </w:rPr>
        <w:t>The Application of Humic Acid Urea Improves Nitrogen Use Efficiency and Crop Yield by Reducing the Nitrogen Loss Compared with Urea</w:t>
      </w:r>
      <w:r>
        <w:rPr>
          <w:rFonts w:ascii="Times New Roman" w:hAnsi="Times New Roman"/>
          <w:color w:val="000000"/>
          <w:sz w:val="24"/>
          <w:szCs w:val="24"/>
        </w:rPr>
        <w:t>", </w:t>
      </w:r>
      <w:r>
        <w:rPr>
          <w:rFonts w:ascii="Times New Roman" w:hAnsi="Times New Roman"/>
          <w:b/>
          <w:iCs/>
          <w:color w:val="000000"/>
          <w:sz w:val="24"/>
          <w:szCs w:val="24"/>
        </w:rPr>
        <w:t>Agriculture</w:t>
      </w:r>
      <w:r>
        <w:rPr>
          <w:rFonts w:ascii="Times New Roman" w:hAnsi="Times New Roman"/>
          <w:iCs/>
          <w:color w:val="000000"/>
          <w:sz w:val="24"/>
          <w:szCs w:val="24"/>
        </w:rPr>
        <w:t>,</w:t>
      </w:r>
      <w:r>
        <w:rPr>
          <w:rFonts w:ascii="Times New Roman" w:hAnsi="Times New Roman"/>
          <w:color w:val="000000"/>
          <w:sz w:val="24"/>
          <w:szCs w:val="24"/>
        </w:rPr>
        <w:t xml:space="preserve"> 12, 2022, 12, https://doi.org/10.3390/agriculture12121996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L. Xu, M. Yi, H. Yi, E. Guo, &amp; A. Zhang, </w:t>
      </w:r>
      <w:r>
        <w:rPr>
          <w:rFonts w:ascii="Times New Roman" w:hAnsi="Times New Roman"/>
          <w:i/>
          <w:color w:val="000000"/>
          <w:sz w:val="24"/>
          <w:szCs w:val="24"/>
        </w:rPr>
        <w:t>Manure and Mineral Fertilization Change Enzyme Activity and Bacterial Community in Millet Rhizosphere Soils</w:t>
      </w:r>
      <w:r>
        <w:rPr>
          <w:rFonts w:ascii="Times New Roman" w:hAnsi="Times New Roman"/>
          <w:color w:val="000000"/>
          <w:sz w:val="24"/>
          <w:szCs w:val="24"/>
        </w:rPr>
        <w:t xml:space="preserve">, </w:t>
      </w:r>
      <w:r>
        <w:rPr>
          <w:rFonts w:ascii="Times New Roman" w:hAnsi="Times New Roman"/>
          <w:b/>
          <w:bCs/>
          <w:color w:val="000000"/>
          <w:sz w:val="24"/>
          <w:szCs w:val="24"/>
        </w:rPr>
        <w:t xml:space="preserve">World J. </w:t>
      </w:r>
      <w:r>
        <w:rPr>
          <w:rFonts w:ascii="Times New Roman" w:hAnsi="Times New Roman"/>
          <w:b/>
          <w:color w:val="000000"/>
          <w:sz w:val="24"/>
          <w:szCs w:val="24"/>
        </w:rPr>
        <w:t>Microbiol. Biotechnol</w:t>
      </w:r>
      <w:r>
        <w:rPr>
          <w:rFonts w:ascii="Times New Roman" w:hAnsi="Times New Roman"/>
          <w:color w:val="000000"/>
          <w:sz w:val="24"/>
          <w:szCs w:val="24"/>
        </w:rPr>
        <w:t>., 34, 2018, 8, https://doi.org/10.1007/s11274-017-2394-3</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Z. Liu, X. Wenyan, Y. Zhenxing, H. Xuefang, &amp; Z. Huaiping, "</w:t>
      </w:r>
      <w:r>
        <w:rPr>
          <w:rFonts w:ascii="Times New Roman" w:hAnsi="Times New Roman"/>
          <w:i/>
          <w:color w:val="000000"/>
          <w:sz w:val="24"/>
          <w:szCs w:val="24"/>
        </w:rPr>
        <w:t>Effects of Manure and Chemical Fertilizer on Bacterial Community Structure and Soil Enzyme Activities in North China</w:t>
      </w:r>
      <w:r>
        <w:rPr>
          <w:rFonts w:ascii="Times New Roman" w:hAnsi="Times New Roman"/>
          <w:color w:val="000000"/>
          <w:sz w:val="24"/>
          <w:szCs w:val="24"/>
        </w:rPr>
        <w:t>", </w:t>
      </w:r>
      <w:r>
        <w:rPr>
          <w:rFonts w:ascii="Times New Roman" w:hAnsi="Times New Roman"/>
          <w:b/>
          <w:iCs/>
          <w:color w:val="000000"/>
          <w:sz w:val="24"/>
          <w:szCs w:val="24"/>
        </w:rPr>
        <w:t>Agronomy</w:t>
      </w:r>
      <w:r>
        <w:rPr>
          <w:rFonts w:ascii="Times New Roman" w:hAnsi="Times New Roman"/>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11(5), 2021, 1017, https://doi.org/10.3390/agronomy11051017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J. Chen, R. L. Sinsabaugh &amp; K. J. van Groenigen, </w:t>
      </w:r>
      <w:r>
        <w:rPr>
          <w:rFonts w:ascii="Times New Roman" w:hAnsi="Times New Roman"/>
          <w:i/>
          <w:color w:val="000000"/>
          <w:sz w:val="24"/>
          <w:szCs w:val="24"/>
        </w:rPr>
        <w:t>Soil Extracellular Enzymes for Climate-smart and Resource-Efficient Agroecosystems: Research priorities</w:t>
      </w:r>
      <w:r>
        <w:rPr>
          <w:rFonts w:ascii="Times New Roman" w:hAnsi="Times New Roman"/>
          <w:color w:val="000000"/>
          <w:sz w:val="24"/>
          <w:szCs w:val="24"/>
        </w:rPr>
        <w:t xml:space="preserve">. </w:t>
      </w:r>
      <w:r>
        <w:rPr>
          <w:rFonts w:ascii="Times New Roman" w:hAnsi="Times New Roman"/>
          <w:b/>
          <w:color w:val="000000"/>
          <w:sz w:val="24"/>
          <w:szCs w:val="24"/>
        </w:rPr>
        <w:t>PLOS Climate</w:t>
      </w:r>
      <w:r>
        <w:rPr>
          <w:rFonts w:ascii="Times New Roman" w:hAnsi="Times New Roman"/>
          <w:color w:val="000000"/>
          <w:sz w:val="24"/>
          <w:szCs w:val="24"/>
        </w:rPr>
        <w:t>,</w:t>
      </w:r>
      <w:r>
        <w:rPr>
          <w:rFonts w:ascii="Times New Roman" w:hAnsi="Times New Roman"/>
          <w:b/>
          <w:color w:val="000000"/>
          <w:sz w:val="24"/>
          <w:szCs w:val="24"/>
        </w:rPr>
        <w:t xml:space="preserve"> </w:t>
      </w:r>
      <w:r>
        <w:rPr>
          <w:rFonts w:ascii="Times New Roman" w:hAnsi="Times New Roman"/>
          <w:color w:val="000000"/>
          <w:sz w:val="24"/>
          <w:szCs w:val="24"/>
        </w:rPr>
        <w:t xml:space="preserve"> 2(5), 2023, e0000210. https://doi.org/10.1371/journal.pclm.0000210.</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P. M. Homyak, J. C. Blankinship, E. W. Slessarev, S. M. Schaeffer, S. Manzoni &amp; J. P. Schimel, </w:t>
      </w:r>
      <w:r>
        <w:rPr>
          <w:rFonts w:ascii="Times New Roman" w:hAnsi="Times New Roman"/>
          <w:i/>
          <w:color w:val="000000"/>
          <w:sz w:val="24"/>
          <w:szCs w:val="24"/>
        </w:rPr>
        <w:t>Effects of Altered Dry-Season Length and Plant Inputs on Soluble Soil Carbon</w:t>
      </w:r>
      <w:r>
        <w:rPr>
          <w:rFonts w:ascii="Times New Roman" w:hAnsi="Times New Roman"/>
          <w:color w:val="000000"/>
          <w:sz w:val="24"/>
          <w:szCs w:val="24"/>
        </w:rPr>
        <w:t xml:space="preserve">. </w:t>
      </w:r>
      <w:r>
        <w:rPr>
          <w:rFonts w:ascii="Times New Roman" w:hAnsi="Times New Roman"/>
          <w:b/>
          <w:color w:val="000000"/>
          <w:sz w:val="24"/>
          <w:szCs w:val="24"/>
        </w:rPr>
        <w:t>Ecology</w:t>
      </w:r>
      <w:r>
        <w:rPr>
          <w:rFonts w:ascii="Times New Roman" w:hAnsi="Times New Roman"/>
          <w:color w:val="000000"/>
          <w:sz w:val="24"/>
          <w:szCs w:val="24"/>
        </w:rPr>
        <w:t>, 2018, In press.</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X. Cui, P. Yue, W. Wu, Y. Gong, K. Li, K. Misselbrook, T. Goulding &amp; X. Liu, </w:t>
      </w:r>
      <w:r>
        <w:rPr>
          <w:rFonts w:ascii="Times New Roman" w:hAnsi="Times New Roman"/>
          <w:i/>
          <w:color w:val="000000"/>
          <w:sz w:val="24"/>
          <w:szCs w:val="24"/>
        </w:rPr>
        <w:t>The Growth and N Retention of Two Annual Desert Plants Varied Under Different Nitrogen Deposition Rates,</w:t>
      </w:r>
      <w:r>
        <w:rPr>
          <w:rFonts w:ascii="Times New Roman" w:hAnsi="Times New Roman"/>
          <w:color w:val="000000"/>
          <w:sz w:val="24"/>
          <w:szCs w:val="24"/>
        </w:rPr>
        <w:t> </w:t>
      </w:r>
      <w:r>
        <w:rPr>
          <w:rFonts w:ascii="Times New Roman" w:hAnsi="Times New Roman"/>
          <w:b/>
          <w:color w:val="000000"/>
          <w:sz w:val="24"/>
          <w:szCs w:val="24"/>
        </w:rPr>
        <w:t>Frontiers in Plant Science</w:t>
      </w:r>
      <w:r>
        <w:rPr>
          <w:rFonts w:ascii="Times New Roman" w:hAnsi="Times New Roman"/>
          <w:color w:val="000000"/>
          <w:sz w:val="24"/>
          <w:szCs w:val="24"/>
        </w:rPr>
        <w:t xml:space="preserve">, 10, 2019, 356, https://doi.org/10.3389/fpls.2019.00356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A. R. Possinger, M. J. Zachman &amp; A. Enders, </w:t>
      </w:r>
      <w:r>
        <w:rPr>
          <w:rFonts w:ascii="Times New Roman" w:hAnsi="Times New Roman"/>
          <w:i/>
          <w:color w:val="000000"/>
          <w:sz w:val="24"/>
          <w:szCs w:val="24"/>
        </w:rPr>
        <w:t>Organo–Organic and Organo–Mineral Interfaces in Soil at the Nanometer Scale,</w:t>
      </w:r>
      <w:r>
        <w:rPr>
          <w:rFonts w:ascii="Times New Roman" w:hAnsi="Times New Roman"/>
          <w:color w:val="000000"/>
          <w:sz w:val="24"/>
          <w:szCs w:val="24"/>
        </w:rPr>
        <w:t> </w:t>
      </w:r>
      <w:r>
        <w:rPr>
          <w:rFonts w:ascii="Times New Roman" w:hAnsi="Times New Roman"/>
          <w:b/>
          <w:color w:val="000000"/>
          <w:sz w:val="24"/>
          <w:szCs w:val="24"/>
        </w:rPr>
        <w:t>Nat. Commun.</w:t>
      </w:r>
      <w:r>
        <w:rPr>
          <w:rFonts w:ascii="Times New Roman" w:hAnsi="Times New Roman"/>
          <w:color w:val="000000"/>
          <w:sz w:val="24"/>
          <w:szCs w:val="24"/>
        </w:rPr>
        <w:t xml:space="preserve"> 11, 2020, 6103 </w:t>
      </w:r>
      <w:r>
        <w:fldChar w:fldCharType="begin"/>
      </w:r>
      <w:r>
        <w:instrText xml:space="preserve"> HYPERLINK "https://doi.org/10.1038/s41467-020-19792-9" </w:instrText>
      </w:r>
      <w:r>
        <w:fldChar w:fldCharType="separate"/>
      </w:r>
      <w:r>
        <w:rPr>
          <w:rFonts w:ascii="Times New Roman" w:hAnsi="Times New Roman"/>
          <w:color w:val="000000"/>
          <w:sz w:val="24"/>
          <w:szCs w:val="24"/>
        </w:rPr>
        <w:t>https://doi.org/10.1038/s41467-020-19792-9</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D. Kim, "</w:t>
      </w:r>
      <w:r>
        <w:rPr>
          <w:rFonts w:ascii="Times New Roman" w:hAnsi="Times New Roman"/>
          <w:i/>
          <w:color w:val="000000"/>
          <w:sz w:val="24"/>
          <w:szCs w:val="24"/>
        </w:rPr>
        <w:t>Effects of Soil Rewetting and Thawing on Soil Gas Fluxes: A Review of Current Literature and Suggestions for Future Research</w:t>
      </w:r>
      <w:r>
        <w:rPr>
          <w:rFonts w:ascii="Times New Roman" w:hAnsi="Times New Roman"/>
          <w:color w:val="000000"/>
          <w:sz w:val="24"/>
          <w:szCs w:val="24"/>
        </w:rPr>
        <w:t>", </w:t>
      </w:r>
      <w:r>
        <w:rPr>
          <w:rFonts w:ascii="Times New Roman" w:hAnsi="Times New Roman"/>
          <w:b/>
          <w:color w:val="000000"/>
          <w:sz w:val="24"/>
          <w:szCs w:val="24"/>
        </w:rPr>
        <w:t>Biogeosciences</w:t>
      </w:r>
      <w:r>
        <w:rPr>
          <w:rFonts w:ascii="Times New Roman" w:hAnsi="Times New Roman"/>
          <w:color w:val="000000"/>
          <w:sz w:val="24"/>
          <w:szCs w:val="24"/>
        </w:rPr>
        <w:t>, 9(7), 2018, 2459, Gale Academic OneFile, link.gale.com/apps/doc/A481419013/AONE?u</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S. Leitner, P. M. Homyak, J. C. Blankinship, J. Eberwein &amp; G. D. Jenerette, </w:t>
      </w:r>
      <w:r>
        <w:rPr>
          <w:rFonts w:ascii="Times New Roman" w:hAnsi="Times New Roman"/>
          <w:i/>
          <w:iCs/>
          <w:color w:val="000000"/>
          <w:sz w:val="24"/>
          <w:szCs w:val="24"/>
        </w:rPr>
        <w:t>Linking NO and N2O Emission Pulses with the Mobilization of Mineral and Organic N upon Rewetting Dry Soils,</w:t>
      </w:r>
      <w:r>
        <w:rPr>
          <w:rFonts w:ascii="Times New Roman" w:hAnsi="Times New Roman"/>
          <w:color w:val="000000"/>
          <w:sz w:val="24"/>
          <w:szCs w:val="24"/>
        </w:rPr>
        <w:t xml:space="preserve"> </w:t>
      </w:r>
      <w:r>
        <w:rPr>
          <w:rFonts w:ascii="Times New Roman" w:hAnsi="Times New Roman"/>
          <w:b/>
          <w:bCs/>
          <w:color w:val="000000"/>
          <w:sz w:val="24"/>
          <w:szCs w:val="24"/>
        </w:rPr>
        <w:t>Soil Biol. Biochem</w:t>
      </w:r>
      <w:r>
        <w:rPr>
          <w:rFonts w:ascii="Times New Roman" w:hAnsi="Times New Roman"/>
          <w:color w:val="000000"/>
          <w:sz w:val="24"/>
          <w:szCs w:val="24"/>
        </w:rPr>
        <w:t>., 115, 2018, 461–466</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R. M. Fokeng, Z. N. Fogwe &amp; N. T. Yemelong, </w:t>
      </w:r>
      <w:r>
        <w:rPr>
          <w:rFonts w:ascii="Times New Roman" w:hAnsi="Times New Roman"/>
          <w:i/>
          <w:color w:val="000000"/>
          <w:sz w:val="24"/>
          <w:szCs w:val="24"/>
        </w:rPr>
        <w:t>Modelling Alternatives for Highland Soil Structural Degradation and Erodibility, Bui Plateau, Cameroon</w:t>
      </w:r>
      <w:r>
        <w:rPr>
          <w:rFonts w:ascii="Times New Roman" w:hAnsi="Times New Roman"/>
          <w:color w:val="000000"/>
          <w:sz w:val="24"/>
          <w:szCs w:val="24"/>
        </w:rPr>
        <w:t>, </w:t>
      </w:r>
      <w:r>
        <w:rPr>
          <w:rFonts w:ascii="Times New Roman" w:hAnsi="Times New Roman"/>
          <w:b/>
          <w:color w:val="000000"/>
          <w:sz w:val="24"/>
          <w:szCs w:val="24"/>
        </w:rPr>
        <w:t>European Journal of Environment and Earth Sciences</w:t>
      </w:r>
      <w:r>
        <w:rPr>
          <w:rFonts w:ascii="Times New Roman" w:hAnsi="Times New Roman"/>
          <w:color w:val="000000"/>
          <w:sz w:val="24"/>
          <w:szCs w:val="24"/>
        </w:rPr>
        <w:t>, 1(6), 2020, https://doi.org/10.24018/ejgeo.2020.1.6.84.</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X. Li, Y. Yan, X. Lu, L. Fu &amp; Y. Liu, </w:t>
      </w:r>
      <w:r>
        <w:rPr>
          <w:rFonts w:ascii="Times New Roman" w:hAnsi="Times New Roman"/>
          <w:i/>
          <w:color w:val="000000"/>
          <w:sz w:val="24"/>
          <w:szCs w:val="24"/>
        </w:rPr>
        <w:t>Responses of Soil Bacterial Communities to Precipitation Change in the Semi-Arid Alpine Grassland of Northern Tibet</w:t>
      </w:r>
      <w:r>
        <w:rPr>
          <w:rFonts w:ascii="Times New Roman" w:hAnsi="Times New Roman"/>
          <w:color w:val="000000"/>
          <w:sz w:val="24"/>
          <w:szCs w:val="24"/>
        </w:rPr>
        <w:t>, </w:t>
      </w:r>
      <w:r>
        <w:rPr>
          <w:rFonts w:ascii="Times New Roman" w:hAnsi="Times New Roman"/>
          <w:b/>
          <w:color w:val="000000"/>
          <w:sz w:val="24"/>
          <w:szCs w:val="24"/>
        </w:rPr>
        <w:t>Front. Plant Science</w:t>
      </w:r>
      <w:r>
        <w:rPr>
          <w:rFonts w:ascii="Times New Roman" w:hAnsi="Times New Roman"/>
          <w:color w:val="000000"/>
          <w:sz w:val="24"/>
          <w:szCs w:val="24"/>
        </w:rPr>
        <w:t xml:space="preserve">, 13, 2022, 1036369, doi: 10.3389/fpls.2022.1036369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T. Liu, X. Li &amp; S. S. Yekta, </w:t>
      </w:r>
      <w:r>
        <w:rPr>
          <w:rFonts w:ascii="Times New Roman" w:hAnsi="Times New Roman"/>
          <w:i/>
          <w:color w:val="000000"/>
          <w:sz w:val="24"/>
          <w:szCs w:val="24"/>
        </w:rPr>
        <w:t>Absence of Oxygen Effect on Microbial Structure and Methane Production during Drying and Rewetting Events,</w:t>
      </w:r>
      <w:r>
        <w:rPr>
          <w:rFonts w:ascii="Times New Roman" w:hAnsi="Times New Roman"/>
          <w:color w:val="000000"/>
          <w:sz w:val="24"/>
          <w:szCs w:val="24"/>
        </w:rPr>
        <w:t> </w:t>
      </w:r>
      <w:r>
        <w:rPr>
          <w:rFonts w:ascii="Times New Roman" w:hAnsi="Times New Roman"/>
          <w:b/>
          <w:color w:val="000000"/>
          <w:sz w:val="24"/>
          <w:szCs w:val="24"/>
        </w:rPr>
        <w:t>Sci. Rep.</w:t>
      </w:r>
      <w:r>
        <w:rPr>
          <w:rFonts w:ascii="Times New Roman" w:hAnsi="Times New Roman"/>
          <w:color w:val="000000"/>
          <w:sz w:val="24"/>
          <w:szCs w:val="24"/>
        </w:rPr>
        <w:t xml:space="preserve">, 12, 2022, 16570, </w:t>
      </w:r>
      <w:r>
        <w:fldChar w:fldCharType="begin"/>
      </w:r>
      <w:r>
        <w:instrText xml:space="preserve"> HYPERLINK "https://doi.org/10.1038/s41598-022-20448-5" </w:instrText>
      </w:r>
      <w:r>
        <w:fldChar w:fldCharType="separate"/>
      </w:r>
      <w:r>
        <w:rPr>
          <w:rFonts w:ascii="Times New Roman" w:hAnsi="Times New Roman"/>
          <w:color w:val="000000"/>
          <w:sz w:val="24"/>
          <w:szCs w:val="24"/>
        </w:rPr>
        <w:t>https://doi.org/10.1038/s41598-022-20448-5</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H. Ma, Y. Zhiying, P. Shenghai &amp; M. Xingwang, "</w:t>
      </w:r>
      <w:r>
        <w:rPr>
          <w:rFonts w:ascii="Times New Roman" w:hAnsi="Times New Roman"/>
          <w:i/>
          <w:color w:val="000000"/>
          <w:sz w:val="24"/>
          <w:szCs w:val="24"/>
        </w:rPr>
        <w:t>The Effect of Drying–Wetting Cycles on Soil Inorganic Nitrogen Transformation in Drip-Irrigated Cotton Field Soil in Northwestern China</w:t>
      </w:r>
      <w:r>
        <w:rPr>
          <w:rFonts w:ascii="Times New Roman" w:hAnsi="Times New Roman"/>
          <w:color w:val="000000"/>
          <w:sz w:val="24"/>
          <w:szCs w:val="24"/>
        </w:rPr>
        <w:t>", </w:t>
      </w:r>
      <w:r>
        <w:rPr>
          <w:rFonts w:ascii="Times New Roman" w:hAnsi="Times New Roman"/>
          <w:b/>
          <w:iCs/>
          <w:color w:val="000000"/>
          <w:sz w:val="24"/>
          <w:szCs w:val="24"/>
        </w:rPr>
        <w:t>Applied Sciences</w:t>
      </w:r>
      <w:r>
        <w:rPr>
          <w:rFonts w:ascii="Times New Roman" w:hAnsi="Times New Roman"/>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13(6), 2023, 3892, </w:t>
      </w:r>
      <w:r>
        <w:fldChar w:fldCharType="begin"/>
      </w:r>
      <w:r>
        <w:instrText xml:space="preserve"> HYPERLINK "https://doi.org/10.3390/app13063892" </w:instrText>
      </w:r>
      <w:r>
        <w:fldChar w:fldCharType="separate"/>
      </w:r>
      <w:r>
        <w:rPr>
          <w:rFonts w:ascii="Times New Roman" w:hAnsi="Times New Roman"/>
          <w:color w:val="000000"/>
          <w:sz w:val="24"/>
          <w:szCs w:val="24"/>
        </w:rPr>
        <w:t>https://doi.org/10.3390/app13063892</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X. B. Wang, H. Azarbad, L. Leclerc, J.  Dozois, E. Mukula &amp; E. Yergeau, </w:t>
      </w:r>
      <w:r>
        <w:rPr>
          <w:rFonts w:ascii="Times New Roman" w:hAnsi="Times New Roman"/>
          <w:i/>
          <w:color w:val="000000"/>
          <w:sz w:val="24"/>
          <w:szCs w:val="24"/>
        </w:rPr>
        <w:t>A Drying-Rewetting Cycle Imposes More Important Shifts on Soil Microbial Communities than Does Reduced Precipitation</w:t>
      </w:r>
      <w:r>
        <w:rPr>
          <w:rFonts w:ascii="Times New Roman" w:hAnsi="Times New Roman"/>
          <w:color w:val="000000"/>
          <w:sz w:val="24"/>
          <w:szCs w:val="24"/>
        </w:rPr>
        <w:t>, </w:t>
      </w:r>
      <w:r>
        <w:rPr>
          <w:rFonts w:ascii="Times New Roman" w:hAnsi="Times New Roman"/>
          <w:b/>
          <w:color w:val="000000"/>
          <w:sz w:val="24"/>
          <w:szCs w:val="24"/>
        </w:rPr>
        <w:t>Systems</w:t>
      </w:r>
      <w:r>
        <w:rPr>
          <w:rFonts w:ascii="Times New Roman" w:hAnsi="Times New Roman"/>
          <w:color w:val="000000"/>
          <w:sz w:val="24"/>
          <w:szCs w:val="24"/>
        </w:rPr>
        <w:t>,</w:t>
      </w:r>
      <w:r>
        <w:rPr>
          <w:rFonts w:ascii="Times New Roman" w:hAnsi="Times New Roman"/>
          <w:b/>
          <w:color w:val="000000"/>
          <w:sz w:val="24"/>
          <w:szCs w:val="24"/>
        </w:rPr>
        <w:t xml:space="preserve"> </w:t>
      </w:r>
      <w:r>
        <w:rPr>
          <w:rFonts w:ascii="Times New Roman" w:hAnsi="Times New Roman"/>
          <w:color w:val="000000"/>
          <w:sz w:val="24"/>
          <w:szCs w:val="24"/>
        </w:rPr>
        <w:t xml:space="preserve"> 7(4), 2022, e0024722, </w:t>
      </w:r>
      <w:r>
        <w:fldChar w:fldCharType="begin"/>
      </w:r>
      <w:r>
        <w:instrText xml:space="preserve"> HYPERLINK "https://doi.org/10.1128/msystems.00247-22" </w:instrText>
      </w:r>
      <w:r>
        <w:fldChar w:fldCharType="separate"/>
      </w:r>
      <w:r>
        <w:rPr>
          <w:rFonts w:ascii="Times New Roman" w:hAnsi="Times New Roman"/>
          <w:color w:val="000000"/>
          <w:sz w:val="24"/>
          <w:szCs w:val="24"/>
        </w:rPr>
        <w:t>https://doi.org/10.1128/msystems.00247-22</w:t>
      </w:r>
      <w:r>
        <w:rPr>
          <w:rFonts w:ascii="Times New Roman" w:hAnsi="Times New Roman"/>
          <w:color w:val="000000"/>
          <w:sz w:val="24"/>
          <w:szCs w:val="24"/>
        </w:rPr>
        <w:fldChar w:fldCharType="end"/>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P. Jurado-Guerra, R. Saucedo-Terán, C. Morales-Nieto, M. Juárez-Morales, G. Sosa-Pérez &amp; A. Álvarez-Holguín, </w:t>
      </w:r>
      <w:r>
        <w:rPr>
          <w:rFonts w:ascii="Times New Roman" w:hAnsi="Times New Roman"/>
          <w:i/>
          <w:color w:val="000000"/>
          <w:sz w:val="24"/>
          <w:szCs w:val="24"/>
        </w:rPr>
        <w:t>Soil Carbon Stocks of Semi-Arid Grasslands in Northern Mexico</w:t>
      </w:r>
      <w:r>
        <w:rPr>
          <w:rFonts w:ascii="Times New Roman" w:hAnsi="Times New Roman"/>
          <w:color w:val="000000"/>
          <w:sz w:val="24"/>
          <w:szCs w:val="24"/>
        </w:rPr>
        <w:t>, </w:t>
      </w:r>
      <w:r>
        <w:rPr>
          <w:rFonts w:ascii="Times New Roman" w:hAnsi="Times New Roman"/>
          <w:b/>
          <w:color w:val="000000"/>
          <w:sz w:val="24"/>
          <w:szCs w:val="24"/>
        </w:rPr>
        <w:t>The Rangeland Journal,</w:t>
      </w:r>
      <w:r>
        <w:rPr>
          <w:rFonts w:ascii="Times New Roman" w:hAnsi="Times New Roman"/>
          <w:color w:val="000000"/>
          <w:sz w:val="24"/>
          <w:szCs w:val="24"/>
        </w:rPr>
        <w:t> </w:t>
      </w:r>
      <w:r>
        <w:rPr>
          <w:rFonts w:ascii="Times New Roman" w:hAnsi="Times New Roman"/>
          <w:bCs/>
          <w:color w:val="000000"/>
          <w:sz w:val="24"/>
          <w:szCs w:val="24"/>
        </w:rPr>
        <w:t>43</w:t>
      </w:r>
      <w:r>
        <w:rPr>
          <w:rFonts w:ascii="Times New Roman" w:hAnsi="Times New Roman"/>
          <w:color w:val="000000"/>
          <w:sz w:val="24"/>
          <w:szCs w:val="24"/>
        </w:rPr>
        <w:t xml:space="preserve">, 2021, 247-255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Y. Zhu, L. Yaying, Z. Ningguo, J. S. Chapma &amp; Y. Huaiying, "</w:t>
      </w:r>
      <w:r>
        <w:rPr>
          <w:rFonts w:ascii="Times New Roman" w:hAnsi="Times New Roman"/>
          <w:i/>
          <w:color w:val="000000"/>
          <w:sz w:val="24"/>
          <w:szCs w:val="24"/>
        </w:rPr>
        <w:t>Similar but Not Identical Resuscitation Trajectories of the Soil Microbial Community Based on Either DNA or RNA after Flooding</w:t>
      </w:r>
      <w:r>
        <w:rPr>
          <w:rFonts w:ascii="Times New Roman" w:hAnsi="Times New Roman"/>
          <w:color w:val="000000"/>
          <w:sz w:val="24"/>
          <w:szCs w:val="24"/>
        </w:rPr>
        <w:t>", </w:t>
      </w:r>
      <w:r>
        <w:rPr>
          <w:rFonts w:ascii="Times New Roman" w:hAnsi="Times New Roman"/>
          <w:b/>
          <w:iCs/>
          <w:color w:val="000000"/>
          <w:sz w:val="24"/>
          <w:szCs w:val="24"/>
        </w:rPr>
        <w:t>Agronomy</w:t>
      </w:r>
      <w:r>
        <w:rPr>
          <w:rFonts w:ascii="Times New Roman" w:hAnsi="Times New Roman"/>
          <w:iCs/>
          <w:color w:val="000000"/>
          <w:sz w:val="24"/>
          <w:szCs w:val="24"/>
        </w:rPr>
        <w:t>,</w:t>
      </w:r>
      <w:r>
        <w:rPr>
          <w:rFonts w:ascii="Times New Roman" w:hAnsi="Times New Roman"/>
          <w:color w:val="000000"/>
          <w:sz w:val="24"/>
          <w:szCs w:val="24"/>
        </w:rPr>
        <w:t xml:space="preserve"> 10(4), 2020, 502, https://doi.org/10.3390/agronomy10040502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D. Naylor, R. McClure &amp; J. Jansson, "</w:t>
      </w:r>
      <w:r>
        <w:rPr>
          <w:rFonts w:ascii="Times New Roman" w:hAnsi="Times New Roman"/>
          <w:i/>
          <w:color w:val="000000"/>
          <w:sz w:val="24"/>
          <w:szCs w:val="24"/>
        </w:rPr>
        <w:t>Trends in Microbial Community Composition and Function by Soil Depth",</w:t>
      </w:r>
      <w:r>
        <w:rPr>
          <w:rFonts w:ascii="Times New Roman" w:hAnsi="Times New Roman"/>
          <w:color w:val="000000"/>
          <w:sz w:val="24"/>
          <w:szCs w:val="24"/>
        </w:rPr>
        <w:t> </w:t>
      </w:r>
      <w:r>
        <w:rPr>
          <w:rFonts w:ascii="Times New Roman" w:hAnsi="Times New Roman"/>
          <w:b/>
          <w:iCs/>
          <w:color w:val="000000"/>
          <w:sz w:val="24"/>
          <w:szCs w:val="24"/>
        </w:rPr>
        <w:t>Microorganisms</w:t>
      </w:r>
      <w:r>
        <w:rPr>
          <w:rFonts w:ascii="Times New Roman" w:hAnsi="Times New Roman"/>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10(3), 2022, 540, https://doi.org/10.3390/microorganisms10030540 </w:t>
      </w:r>
    </w:p>
    <w:p>
      <w:pPr>
        <w:numPr>
          <w:ilvl w:val="0"/>
          <w:numId w:val="5"/>
        </w:numPr>
        <w:spacing w:after="240" w:line="276" w:lineRule="auto"/>
        <w:ind w:left="709" w:hanging="709"/>
        <w:jc w:val="both"/>
        <w:rPr>
          <w:rFonts w:ascii="Times New Roman" w:hAnsi="Times New Roman"/>
          <w:color w:val="000000"/>
          <w:sz w:val="24"/>
          <w:szCs w:val="24"/>
        </w:rPr>
      </w:pPr>
      <w:r>
        <w:rPr>
          <w:rFonts w:ascii="Times New Roman" w:hAnsi="Times New Roman"/>
          <w:color w:val="000000"/>
          <w:sz w:val="24"/>
          <w:szCs w:val="24"/>
        </w:rPr>
        <w:t xml:space="preserve">N. J. Bouskill, T. E. Wood, R. Baran, Z. Ye, B. P. Bowen, H. Lim, J. Zhou, J. D., Van Nostrand, P. Nico, T. R. Northen, W. L. Silver &amp; E. L. Brodie, </w:t>
      </w:r>
      <w:r>
        <w:rPr>
          <w:rFonts w:ascii="Times New Roman" w:hAnsi="Times New Roman"/>
          <w:i/>
          <w:color w:val="000000"/>
          <w:sz w:val="24"/>
          <w:szCs w:val="24"/>
        </w:rPr>
        <w:t>Belowground Response to Drought in a Tropical Forest Soil. I. Changes in Microbial Functional Potential and Metabolism,</w:t>
      </w:r>
      <w:r>
        <w:rPr>
          <w:rFonts w:ascii="Times New Roman" w:hAnsi="Times New Roman"/>
          <w:color w:val="000000"/>
          <w:sz w:val="24"/>
          <w:szCs w:val="24"/>
        </w:rPr>
        <w:t> </w:t>
      </w:r>
      <w:r>
        <w:rPr>
          <w:rFonts w:ascii="Times New Roman" w:hAnsi="Times New Roman"/>
          <w:b/>
          <w:color w:val="000000"/>
          <w:sz w:val="24"/>
          <w:szCs w:val="24"/>
        </w:rPr>
        <w:t>Front. Microbiol</w:t>
      </w:r>
      <w:r>
        <w:rPr>
          <w:rFonts w:ascii="Times New Roman" w:hAnsi="Times New Roman"/>
          <w:color w:val="000000"/>
          <w:sz w:val="24"/>
          <w:szCs w:val="24"/>
        </w:rPr>
        <w:t>., 7, 2018, 525. doi: 10.3389/fmicb.2016.00525</w:t>
      </w:r>
    </w:p>
    <w:p>
      <w:pPr>
        <w:numPr>
          <w:ilvl w:val="0"/>
          <w:numId w:val="5"/>
        </w:numPr>
        <w:spacing w:after="240" w:line="276" w:lineRule="auto"/>
        <w:ind w:left="709" w:hanging="709"/>
        <w:jc w:val="both"/>
        <w:rPr>
          <w:rFonts w:ascii="Times New Roman" w:hAnsi="Times New Roman" w:eastAsia="Times New Roman"/>
          <w:sz w:val="24"/>
          <w:szCs w:val="24"/>
        </w:rPr>
      </w:pPr>
      <w:r>
        <w:rPr>
          <w:rFonts w:ascii="Times New Roman" w:hAnsi="Times New Roman"/>
          <w:color w:val="000000"/>
          <w:sz w:val="24"/>
          <w:szCs w:val="24"/>
        </w:rPr>
        <w:t xml:space="preserve">S. Singh, M. A. Mayes, A. Shekoofa, S. N. Kivlin, S. Bansal &amp; S. Jagadamma, </w:t>
      </w:r>
      <w:r>
        <w:rPr>
          <w:rFonts w:ascii="Times New Roman" w:hAnsi="Times New Roman"/>
          <w:i/>
          <w:color w:val="000000"/>
          <w:sz w:val="24"/>
          <w:szCs w:val="24"/>
        </w:rPr>
        <w:t>Soil Organic Carbon Cycling in Response to Simulated Soil Moisture Variation under Field Conditions</w:t>
      </w:r>
      <w:r>
        <w:rPr>
          <w:rFonts w:ascii="Times New Roman" w:hAnsi="Times New Roman"/>
          <w:color w:val="000000"/>
          <w:sz w:val="24"/>
          <w:szCs w:val="24"/>
        </w:rPr>
        <w:t>, </w:t>
      </w:r>
      <w:r>
        <w:rPr>
          <w:rFonts w:ascii="Times New Roman" w:hAnsi="Times New Roman"/>
          <w:b/>
          <w:color w:val="000000"/>
          <w:sz w:val="24"/>
          <w:szCs w:val="24"/>
        </w:rPr>
        <w:t>Scientific reports</w:t>
      </w:r>
      <w:r>
        <w:rPr>
          <w:rFonts w:ascii="Times New Roman" w:hAnsi="Times New Roman"/>
          <w:color w:val="000000"/>
          <w:sz w:val="24"/>
          <w:szCs w:val="24"/>
        </w:rPr>
        <w:t xml:space="preserve">, 11(1), 2021, 10841. https://doi.org/10.1038/s41598-021-90359-4 </w:t>
      </w:r>
    </w:p>
    <w:p>
      <w:pPr>
        <w:numPr>
          <w:ilvl w:val="0"/>
          <w:numId w:val="5"/>
        </w:numPr>
        <w:spacing w:after="240" w:line="276" w:lineRule="auto"/>
        <w:ind w:left="709" w:hanging="709"/>
        <w:jc w:val="both"/>
        <w:rPr>
          <w:rFonts w:ascii="Times New Roman" w:hAnsi="Times New Roman" w:eastAsia="Times New Roman"/>
          <w:sz w:val="24"/>
          <w:szCs w:val="24"/>
        </w:rPr>
      </w:pPr>
      <w:r>
        <w:rPr>
          <w:rFonts w:ascii="Times New Roman" w:hAnsi="Times New Roman" w:eastAsia="Times New Roman"/>
          <w:sz w:val="24"/>
          <w:szCs w:val="24"/>
        </w:rPr>
        <w:t xml:space="preserve">C. Tatsumi, T. Taniguchi, S. Du, N. Yamanaka &amp; R. Tateno, </w:t>
      </w:r>
      <w:r>
        <w:rPr>
          <w:rFonts w:ascii="Times New Roman" w:hAnsi="Times New Roman" w:eastAsia="Times New Roman"/>
          <w:i/>
          <w:sz w:val="24"/>
          <w:szCs w:val="24"/>
        </w:rPr>
        <w:t>The Steps in the Soil Nitrogen Transformation Process vary Along an Aridity Gradient Via Changes in the Microbial Community</w:t>
      </w:r>
      <w:r>
        <w:rPr>
          <w:rFonts w:ascii="Times New Roman" w:hAnsi="Times New Roman" w:eastAsia="Times New Roman"/>
          <w:sz w:val="24"/>
          <w:szCs w:val="24"/>
        </w:rPr>
        <w:t xml:space="preserve">. </w:t>
      </w:r>
      <w:r>
        <w:rPr>
          <w:rFonts w:ascii="Times New Roman" w:hAnsi="Times New Roman" w:eastAsia="Times New Roman"/>
          <w:b/>
          <w:iCs/>
          <w:sz w:val="24"/>
          <w:szCs w:val="24"/>
        </w:rPr>
        <w:t>Biogeochemistry</w:t>
      </w:r>
      <w:r>
        <w:rPr>
          <w:rFonts w:ascii="Times New Roman" w:hAnsi="Times New Roman" w:eastAsia="Times New Roman"/>
          <w:sz w:val="24"/>
          <w:szCs w:val="24"/>
        </w:rPr>
        <w:t xml:space="preserve">, </w:t>
      </w:r>
      <w:r>
        <w:rPr>
          <w:rFonts w:ascii="Times New Roman" w:hAnsi="Times New Roman" w:eastAsia="Times New Roman"/>
          <w:i/>
          <w:iCs/>
          <w:sz w:val="24"/>
          <w:szCs w:val="24"/>
        </w:rPr>
        <w:t>144</w:t>
      </w:r>
      <w:r>
        <w:rPr>
          <w:rFonts w:ascii="Times New Roman" w:hAnsi="Times New Roman" w:eastAsia="Times New Roman"/>
          <w:sz w:val="24"/>
          <w:szCs w:val="24"/>
        </w:rPr>
        <w:t>(1), 2019, 15-29, https://www.jstor.org/stable/48701406</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A. P. Smith, B. Bond-Lamberty, B. W. Benscoter, M. M. Tfaily &amp; C. R. Hinkle. </w:t>
      </w:r>
      <w:r>
        <w:rPr>
          <w:rFonts w:ascii="Times New Roman" w:hAnsi="Times New Roman"/>
          <w:i/>
          <w:iCs/>
          <w:color w:val="000000"/>
          <w:sz w:val="24"/>
          <w:szCs w:val="24"/>
        </w:rPr>
        <w:t xml:space="preserve">Shifts in Pore Connectivity from Precipitation versus Groundwater Wetting Increases Soil Carbon Loss after Drought. </w:t>
      </w:r>
      <w:r>
        <w:rPr>
          <w:rFonts w:ascii="Times New Roman" w:hAnsi="Times New Roman"/>
          <w:b/>
          <w:bCs/>
          <w:color w:val="000000"/>
          <w:sz w:val="24"/>
          <w:szCs w:val="24"/>
        </w:rPr>
        <w:t>Nat. Commun</w:t>
      </w:r>
      <w:r>
        <w:rPr>
          <w:rFonts w:ascii="Times New Roman" w:hAnsi="Times New Roman"/>
          <w:color w:val="000000"/>
          <w:sz w:val="24"/>
          <w:szCs w:val="24"/>
        </w:rPr>
        <w:t>. 8: 2018, 1–11.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A. Shi, &amp; P. Marschner. </w:t>
      </w:r>
      <w:r>
        <w:rPr>
          <w:rFonts w:ascii="Times New Roman" w:hAnsi="Times New Roman"/>
          <w:i/>
          <w:iCs/>
          <w:color w:val="000000"/>
          <w:sz w:val="24"/>
          <w:szCs w:val="24"/>
        </w:rPr>
        <w:t>The Number of Moist Days Determines Respiration in Drying and Rewetting Cycles.</w:t>
      </w:r>
      <w:r>
        <w:rPr>
          <w:rFonts w:ascii="Times New Roman" w:hAnsi="Times New Roman"/>
          <w:color w:val="000000"/>
          <w:sz w:val="24"/>
          <w:szCs w:val="24"/>
        </w:rPr>
        <w:t xml:space="preserve"> </w:t>
      </w:r>
      <w:r>
        <w:rPr>
          <w:rFonts w:ascii="Times New Roman" w:hAnsi="Times New Roman"/>
          <w:b/>
          <w:bCs/>
          <w:color w:val="000000"/>
          <w:sz w:val="24"/>
          <w:szCs w:val="24"/>
        </w:rPr>
        <w:t>Biol. Fertil. Soils</w:t>
      </w:r>
      <w:r>
        <w:rPr>
          <w:rFonts w:ascii="Times New Roman" w:hAnsi="Times New Roman"/>
          <w:color w:val="000000"/>
          <w:sz w:val="24"/>
          <w:szCs w:val="24"/>
        </w:rPr>
        <w:t>, 51: 2019, 33–41.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J. Schimel, C. A. Becerra, &amp; J. Blankinship. </w:t>
      </w:r>
      <w:r>
        <w:rPr>
          <w:rFonts w:ascii="Times New Roman" w:hAnsi="Times New Roman"/>
          <w:i/>
          <w:iCs/>
          <w:color w:val="000000"/>
          <w:sz w:val="24"/>
          <w:szCs w:val="24"/>
        </w:rPr>
        <w:t>Estimating Decay Dynamics for Enzyme Activities in Soils from Different Ecosystems</w:t>
      </w:r>
      <w:r>
        <w:rPr>
          <w:rFonts w:ascii="Times New Roman" w:hAnsi="Times New Roman"/>
          <w:color w:val="000000"/>
          <w:sz w:val="24"/>
          <w:szCs w:val="24"/>
        </w:rPr>
        <w:t xml:space="preserve">. </w:t>
      </w:r>
      <w:r>
        <w:rPr>
          <w:rFonts w:ascii="Times New Roman" w:hAnsi="Times New Roman"/>
          <w:b/>
          <w:bCs/>
          <w:color w:val="000000"/>
          <w:sz w:val="24"/>
          <w:szCs w:val="24"/>
        </w:rPr>
        <w:t>Soil Biol. Biochem</w:t>
      </w:r>
      <w:r>
        <w:rPr>
          <w:rFonts w:ascii="Times New Roman" w:hAnsi="Times New Roman"/>
          <w:color w:val="000000"/>
          <w:sz w:val="24"/>
          <w:szCs w:val="24"/>
        </w:rPr>
        <w:t>. 2018, 114:5–11.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J. Schimel, T. C. Balser, &amp; M. Wallenstein. </w:t>
      </w:r>
      <w:r>
        <w:rPr>
          <w:rFonts w:ascii="Times New Roman" w:hAnsi="Times New Roman"/>
          <w:i/>
          <w:iCs/>
          <w:color w:val="000000"/>
          <w:sz w:val="24"/>
          <w:szCs w:val="24"/>
        </w:rPr>
        <w:t xml:space="preserve">Microbial Stress-Response </w:t>
      </w:r>
      <w:r>
        <w:rPr>
          <w:rFonts w:ascii="Times New Roman" w:hAnsi="Times New Roman"/>
          <w:color w:val="000000"/>
          <w:sz w:val="24"/>
          <w:szCs w:val="24"/>
        </w:rPr>
        <w:t xml:space="preserve">Physiology and Its Implications for Ecosystem Function. </w:t>
      </w:r>
      <w:r>
        <w:rPr>
          <w:rFonts w:ascii="Times New Roman" w:hAnsi="Times New Roman"/>
          <w:b/>
          <w:color w:val="000000"/>
          <w:sz w:val="24"/>
          <w:szCs w:val="24"/>
        </w:rPr>
        <w:t>Ecology</w:t>
      </w:r>
      <w:r>
        <w:rPr>
          <w:rFonts w:ascii="Times New Roman" w:hAnsi="Times New Roman"/>
          <w:color w:val="000000"/>
          <w:sz w:val="24"/>
          <w:szCs w:val="24"/>
        </w:rPr>
        <w:t>, 88 (6): 2018, 1386–1394.</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M. L. Vargas-Terminel, D. Flores-Rentería, Z. M. Sánchez-Mejía, N. E Rojas-Robles, M. Sandoval-Aguilar, B. Chávez-Vergara, A. Robles-Morua, J. Garatuza-Payan, &amp; E. A. Yépez. </w:t>
      </w:r>
      <w:r>
        <w:rPr>
          <w:rFonts w:ascii="Times New Roman" w:hAnsi="Times New Roman"/>
          <w:i/>
          <w:color w:val="000000"/>
          <w:sz w:val="24"/>
          <w:szCs w:val="24"/>
        </w:rPr>
        <w:t>Soil Respiration Is Influenced by Seasonality, Forest Succession and Contrasting Biophysical Controls in a Tropical Dry Forest in Northwestern Mexico.</w:t>
      </w:r>
      <w:r>
        <w:rPr>
          <w:rFonts w:ascii="Times New Roman" w:hAnsi="Times New Roman"/>
          <w:color w:val="000000"/>
          <w:sz w:val="24"/>
          <w:szCs w:val="24"/>
        </w:rPr>
        <w:t> </w:t>
      </w:r>
      <w:r>
        <w:rPr>
          <w:rFonts w:ascii="Times New Roman" w:hAnsi="Times New Roman"/>
          <w:i/>
          <w:iCs/>
          <w:color w:val="000000"/>
          <w:sz w:val="24"/>
          <w:szCs w:val="24"/>
        </w:rPr>
        <w:t>Soil Syst.</w:t>
      </w:r>
      <w:r>
        <w:rPr>
          <w:rFonts w:ascii="Times New Roman" w:hAnsi="Times New Roman"/>
          <w:color w:val="000000"/>
          <w:sz w:val="24"/>
          <w:szCs w:val="24"/>
        </w:rPr>
        <w:t> 2022, </w:t>
      </w:r>
      <w:r>
        <w:rPr>
          <w:rFonts w:ascii="Times New Roman" w:hAnsi="Times New Roman"/>
          <w:i/>
          <w:iCs/>
          <w:color w:val="000000"/>
          <w:sz w:val="24"/>
          <w:szCs w:val="24"/>
        </w:rPr>
        <w:t>6</w:t>
      </w:r>
      <w:r>
        <w:rPr>
          <w:rFonts w:ascii="Times New Roman" w:hAnsi="Times New Roman"/>
          <w:color w:val="000000"/>
          <w:sz w:val="24"/>
          <w:szCs w:val="24"/>
        </w:rPr>
        <w:t xml:space="preserve">, 75. https://doi.org/10.3390/soilsystems6040075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R. T. Conant, J. M. Klopatek, R. C. Malin, &amp; C. C. Klopatek. </w:t>
      </w:r>
      <w:r>
        <w:rPr>
          <w:rFonts w:ascii="Times New Roman" w:hAnsi="Times New Roman"/>
          <w:i/>
          <w:iCs/>
          <w:color w:val="000000"/>
          <w:sz w:val="24"/>
          <w:szCs w:val="24"/>
        </w:rPr>
        <w:t xml:space="preserve">Carbon Pools and Fluxes along an Environmental Gradient in Northern Arizona. </w:t>
      </w:r>
      <w:r>
        <w:rPr>
          <w:rFonts w:ascii="Times New Roman" w:hAnsi="Times New Roman"/>
          <w:b/>
          <w:bCs/>
          <w:color w:val="000000"/>
          <w:sz w:val="24"/>
          <w:szCs w:val="24"/>
        </w:rPr>
        <w:t>Biogeochemistry</w:t>
      </w:r>
      <w:r>
        <w:rPr>
          <w:rFonts w:ascii="Times New Roman" w:hAnsi="Times New Roman"/>
          <w:color w:val="000000"/>
          <w:sz w:val="24"/>
          <w:szCs w:val="24"/>
        </w:rPr>
        <w:t>, 43 (1): 2018, 43–61.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W. Dong &amp; Y. Song, </w:t>
      </w:r>
      <w:r>
        <w:rPr>
          <w:rFonts w:ascii="Times New Roman" w:hAnsi="Times New Roman"/>
          <w:i/>
          <w:color w:val="000000"/>
          <w:sz w:val="24"/>
          <w:szCs w:val="24"/>
        </w:rPr>
        <w:t>The Significance of Flavonoids in the Process of Biological Nitrogen Fixation</w:t>
      </w:r>
      <w:r>
        <w:rPr>
          <w:rFonts w:ascii="Times New Roman" w:hAnsi="Times New Roman"/>
          <w:color w:val="000000"/>
          <w:sz w:val="24"/>
          <w:szCs w:val="24"/>
        </w:rPr>
        <w:t>. </w:t>
      </w:r>
      <w:r>
        <w:rPr>
          <w:rFonts w:ascii="Times New Roman" w:hAnsi="Times New Roman"/>
          <w:b/>
          <w:iCs/>
          <w:color w:val="000000"/>
          <w:sz w:val="24"/>
          <w:szCs w:val="24"/>
        </w:rPr>
        <w:t>International Journal on Molecular</w:t>
      </w:r>
      <w:r>
        <w:rPr>
          <w:rFonts w:ascii="Times New Roman" w:hAnsi="Times New Roman"/>
          <w:i/>
          <w:iCs/>
          <w:color w:val="000000"/>
          <w:sz w:val="24"/>
          <w:szCs w:val="24"/>
        </w:rPr>
        <w:t xml:space="preserve"> </w:t>
      </w:r>
      <w:r>
        <w:rPr>
          <w:rFonts w:ascii="Times New Roman" w:hAnsi="Times New Roman"/>
          <w:b/>
          <w:iCs/>
          <w:color w:val="000000"/>
          <w:sz w:val="24"/>
          <w:szCs w:val="24"/>
        </w:rPr>
        <w:t>Science</w:t>
      </w:r>
      <w:r>
        <w:rPr>
          <w:rFonts w:ascii="Times New Roman" w:hAnsi="Times New Roman"/>
          <w:color w:val="000000"/>
          <w:sz w:val="24"/>
          <w:szCs w:val="24"/>
        </w:rPr>
        <w:t> </w:t>
      </w:r>
      <w:r>
        <w:rPr>
          <w:rFonts w:ascii="Times New Roman" w:hAnsi="Times New Roman"/>
          <w:i/>
          <w:iCs/>
          <w:color w:val="000000"/>
          <w:sz w:val="24"/>
          <w:szCs w:val="24"/>
        </w:rPr>
        <w:t>21</w:t>
      </w:r>
      <w:r>
        <w:rPr>
          <w:rFonts w:ascii="Times New Roman" w:hAnsi="Times New Roman"/>
          <w:color w:val="000000"/>
          <w:sz w:val="24"/>
          <w:szCs w:val="24"/>
        </w:rPr>
        <w:t xml:space="preserve">, 2020, 5926. https://doi.org/10.3390/ijms21165926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F. Afendi, M. Ono, N. Y. Nakamura, K. Nakamura, L. K., Darusman, &amp; N. Kibinge,</w:t>
      </w:r>
      <w:r>
        <w:rPr>
          <w:rFonts w:ascii="Times New Roman" w:hAnsi="Times New Roman"/>
          <w:i/>
          <w:iCs/>
          <w:color w:val="000000"/>
          <w:sz w:val="24"/>
          <w:szCs w:val="24"/>
        </w:rPr>
        <w:t xml:space="preserve"> Data Mining Methods for Omics and Knowledge of Crude Medicinal Plants toward Big Data Biology.</w:t>
      </w:r>
      <w:r>
        <w:rPr>
          <w:rFonts w:ascii="Times New Roman" w:hAnsi="Times New Roman"/>
          <w:color w:val="000000"/>
          <w:sz w:val="24"/>
          <w:szCs w:val="24"/>
        </w:rPr>
        <w:t xml:space="preserve"> </w:t>
      </w:r>
      <w:r>
        <w:rPr>
          <w:rFonts w:ascii="Times New Roman" w:hAnsi="Times New Roman"/>
          <w:b/>
          <w:bCs/>
          <w:color w:val="000000"/>
          <w:sz w:val="24"/>
          <w:szCs w:val="24"/>
        </w:rPr>
        <w:t>Comput. Struct. Biotechnol. J</w:t>
      </w:r>
      <w:r>
        <w:rPr>
          <w:rFonts w:ascii="Times New Roman" w:hAnsi="Times New Roman"/>
          <w:color w:val="000000"/>
          <w:sz w:val="24"/>
          <w:szCs w:val="24"/>
        </w:rPr>
        <w:t>. 2019, 4:e201301010 10.5936/csbj.201301010</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M. Ahemad, &amp; M. Kibret. </w:t>
      </w:r>
      <w:r>
        <w:rPr>
          <w:rFonts w:ascii="Times New Roman" w:hAnsi="Times New Roman"/>
          <w:i/>
          <w:iCs/>
          <w:color w:val="000000"/>
          <w:sz w:val="24"/>
          <w:szCs w:val="24"/>
        </w:rPr>
        <w:t xml:space="preserve">Mechanisms and Applications of Plant Growth Promoting Rhizobacteria: Current Perspective. </w:t>
      </w:r>
      <w:r>
        <w:rPr>
          <w:rFonts w:ascii="Times New Roman" w:hAnsi="Times New Roman"/>
          <w:b/>
          <w:bCs/>
          <w:color w:val="000000"/>
          <w:sz w:val="24"/>
          <w:szCs w:val="24"/>
        </w:rPr>
        <w:t xml:space="preserve">J. King Saud Univ. Sci. </w:t>
      </w:r>
      <w:r>
        <w:rPr>
          <w:rFonts w:ascii="Times New Roman" w:hAnsi="Times New Roman"/>
          <w:color w:val="000000"/>
          <w:sz w:val="24"/>
          <w:szCs w:val="24"/>
        </w:rPr>
        <w:t xml:space="preserve">26 2018, 1–20. 10.1016/j.jksus.2013.05.001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R. Amundson, A. A. Berhe, J. W Hopmans, C. Olson, A.E Sztein, &amp; D.L Sparks.</w:t>
      </w:r>
      <w:r>
        <w:rPr>
          <w:rFonts w:ascii="Times New Roman" w:hAnsi="Times New Roman"/>
          <w:i/>
          <w:iCs/>
          <w:color w:val="000000"/>
          <w:sz w:val="24"/>
          <w:szCs w:val="24"/>
        </w:rPr>
        <w:t xml:space="preserve"> Soil and Human Security in the 21st Century.</w:t>
      </w:r>
      <w:r>
        <w:rPr>
          <w:rFonts w:ascii="Times New Roman" w:hAnsi="Times New Roman"/>
          <w:b/>
          <w:bCs/>
          <w:color w:val="000000"/>
          <w:sz w:val="24"/>
          <w:szCs w:val="24"/>
        </w:rPr>
        <w:t xml:space="preserve"> Science</w:t>
      </w:r>
      <w:r>
        <w:rPr>
          <w:rFonts w:ascii="Times New Roman" w:hAnsi="Times New Roman"/>
          <w:color w:val="000000"/>
          <w:sz w:val="24"/>
          <w:szCs w:val="24"/>
        </w:rPr>
        <w:t xml:space="preserve"> 348: 2019, 1261071 10.1126/science.1261071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J. Wang, R. Li, H. Zhang, G. Wei, &amp; Z. Li. </w:t>
      </w:r>
      <w:r>
        <w:rPr>
          <w:rFonts w:ascii="Times New Roman" w:hAnsi="Times New Roman"/>
          <w:i/>
          <w:color w:val="000000"/>
          <w:sz w:val="24"/>
          <w:szCs w:val="24"/>
        </w:rPr>
        <w:t>Beneficial Bacteria Activate Nutrients and Promote Wheat Growth under Conditions of Reduced Fertilizer Application</w:t>
      </w:r>
      <w:r>
        <w:rPr>
          <w:rFonts w:ascii="Times New Roman" w:hAnsi="Times New Roman"/>
          <w:color w:val="000000"/>
          <w:sz w:val="24"/>
          <w:szCs w:val="24"/>
        </w:rPr>
        <w:t>.</w:t>
      </w:r>
      <w:r>
        <w:rPr>
          <w:rFonts w:ascii="Times New Roman" w:hAnsi="Times New Roman"/>
          <w:b/>
          <w:bCs/>
          <w:color w:val="000000"/>
          <w:sz w:val="24"/>
          <w:szCs w:val="24"/>
        </w:rPr>
        <w:t xml:space="preserve"> BMC Microbiol.</w:t>
      </w:r>
      <w:r>
        <w:rPr>
          <w:rFonts w:ascii="Times New Roman" w:hAnsi="Times New Roman"/>
          <w:color w:val="000000"/>
          <w:sz w:val="24"/>
          <w:szCs w:val="24"/>
        </w:rPr>
        <w:t xml:space="preserve"> 20, 2020, 38, https://doi.org/10.1186/s12866-020-1708-z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Q. Zhang, </w:t>
      </w:r>
      <w:r>
        <w:rPr>
          <w:rFonts w:ascii="Times New Roman" w:hAnsi="Times New Roman"/>
          <w:i/>
          <w:color w:val="000000"/>
          <w:sz w:val="24"/>
          <w:szCs w:val="24"/>
        </w:rPr>
        <w:t>Optimal Schemes and Correlation Analysis between Soil Nutrient, pH and Microorganism Population in Orchard of Beijing Suburb</w:t>
      </w:r>
      <w:r>
        <w:rPr>
          <w:rFonts w:ascii="Times New Roman" w:hAnsi="Times New Roman"/>
          <w:b/>
          <w:bCs/>
          <w:color w:val="000000"/>
          <w:sz w:val="24"/>
          <w:szCs w:val="24"/>
        </w:rPr>
        <w:t xml:space="preserve">. Fruit. Sci. </w:t>
      </w:r>
      <w:r>
        <w:rPr>
          <w:rFonts w:ascii="Times New Roman" w:hAnsi="Times New Roman"/>
          <w:color w:val="000000"/>
          <w:sz w:val="24"/>
          <w:szCs w:val="24"/>
        </w:rPr>
        <w:t>28, 2011, 15–19.</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L. Fu </w:t>
      </w:r>
      <w:r>
        <w:rPr>
          <w:rFonts w:ascii="Times New Roman" w:hAnsi="Times New Roman"/>
          <w:i/>
          <w:color w:val="000000"/>
          <w:sz w:val="24"/>
          <w:szCs w:val="24"/>
        </w:rPr>
        <w:t>Inducing the Rhizosphere Microbiome by Biofertilizer Application to Suppress Banana Fusarium Wilt Disease</w:t>
      </w:r>
      <w:r>
        <w:rPr>
          <w:rFonts w:ascii="Times New Roman" w:hAnsi="Times New Roman"/>
          <w:b/>
          <w:bCs/>
          <w:color w:val="000000"/>
          <w:sz w:val="24"/>
          <w:szCs w:val="24"/>
        </w:rPr>
        <w:t>. Soil. Biol. Biochem.</w:t>
      </w:r>
      <w:r>
        <w:rPr>
          <w:rFonts w:ascii="Times New Roman" w:hAnsi="Times New Roman"/>
          <w:color w:val="000000"/>
          <w:sz w:val="24"/>
          <w:szCs w:val="24"/>
        </w:rPr>
        <w:t xml:space="preserve"> 104, 2019, 39–48,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J. S. A. Deryqe, K. A. A. Kader, &amp; H. B. Albaba.</w:t>
      </w:r>
      <w:r>
        <w:rPr>
          <w:rFonts w:ascii="Times New Roman" w:hAnsi="Times New Roman"/>
          <w:i/>
          <w:color w:val="000000"/>
          <w:sz w:val="24"/>
          <w:szCs w:val="24"/>
        </w:rPr>
        <w:t xml:space="preserve"> Effect of Poultry Manure on Soil Phosphorus Availability and Vegetative Growth of Maize Plant</w:t>
      </w:r>
      <w:r>
        <w:rPr>
          <w:rFonts w:ascii="Times New Roman" w:hAnsi="Times New Roman"/>
          <w:b/>
          <w:bCs/>
          <w:color w:val="000000"/>
          <w:sz w:val="24"/>
          <w:szCs w:val="24"/>
        </w:rPr>
        <w:t>. J. Agric. Veter.</w:t>
      </w:r>
      <w:r>
        <w:rPr>
          <w:rFonts w:ascii="Times New Roman" w:hAnsi="Times New Roman"/>
          <w:color w:val="000000"/>
          <w:sz w:val="24"/>
          <w:szCs w:val="24"/>
        </w:rPr>
        <w:t xml:space="preserve"> Sci., 9, 2018, 12–18.</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W., Liu, Y., Yuan, &amp; L. Koropeckyj-Cox, </w:t>
      </w:r>
      <w:r>
        <w:rPr>
          <w:rFonts w:ascii="Times New Roman" w:hAnsi="Times New Roman"/>
          <w:i/>
          <w:color w:val="000000"/>
          <w:sz w:val="24"/>
          <w:szCs w:val="24"/>
        </w:rPr>
        <w:t>Effectiveness of Nutrient Management on Water Quality Improvement: A Synthesis on Nitrate-Nitrogen Loss from Subsurface Drainage. </w:t>
      </w:r>
      <w:r>
        <w:rPr>
          <w:rFonts w:ascii="Times New Roman" w:hAnsi="Times New Roman"/>
          <w:color w:val="000000"/>
          <w:sz w:val="24"/>
          <w:szCs w:val="24"/>
        </w:rPr>
        <w:t xml:space="preserve">Transactions of the ASABE, 64(2), 2021, 675–689. https://doi.org/10.13031/trans.14078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C. Currell, </w:t>
      </w:r>
      <w:r>
        <w:rPr>
          <w:rFonts w:ascii="Times New Roman" w:hAnsi="Times New Roman"/>
          <w:i/>
          <w:color w:val="000000"/>
          <w:sz w:val="24"/>
          <w:szCs w:val="24"/>
        </w:rPr>
        <w:t>Manure and Soil Organic Matter: When It Comes to Building Soil Organic Matter, Manure Sources Are not All Created Equal</w:t>
      </w:r>
      <w:r>
        <w:rPr>
          <w:rFonts w:ascii="Times New Roman" w:hAnsi="Times New Roman"/>
          <w:color w:val="000000"/>
          <w:sz w:val="24"/>
          <w:szCs w:val="24"/>
        </w:rPr>
        <w:t xml:space="preserve">; Michigan State University Extension: East Lansing, MI, USA, 2018; Available online:https://www.canr.msu.edu/news/manure_and_soil_organic_matter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G. T. Bergmann, S. T. Bates, K. G. Eilers, C. L. Lauber, J. G. Caporaso, &amp; W. A. Walters. </w:t>
      </w:r>
      <w:r>
        <w:rPr>
          <w:rFonts w:ascii="Times New Roman" w:hAnsi="Times New Roman"/>
          <w:i/>
          <w:color w:val="000000"/>
          <w:sz w:val="24"/>
          <w:szCs w:val="24"/>
        </w:rPr>
        <w:t>The Under-Recognized Dominance of Verrucomicrobia in Soil Bacterial Communities</w:t>
      </w:r>
      <w:r>
        <w:rPr>
          <w:rFonts w:ascii="Times New Roman" w:hAnsi="Times New Roman"/>
          <w:color w:val="000000"/>
          <w:sz w:val="24"/>
          <w:szCs w:val="24"/>
        </w:rPr>
        <w:t xml:space="preserve">. </w:t>
      </w:r>
      <w:r>
        <w:rPr>
          <w:rFonts w:ascii="Times New Roman" w:hAnsi="Times New Roman"/>
          <w:b/>
          <w:bCs/>
          <w:color w:val="000000"/>
          <w:sz w:val="24"/>
          <w:szCs w:val="24"/>
        </w:rPr>
        <w:t xml:space="preserve">Soil Biol. Biochem. </w:t>
      </w:r>
      <w:r>
        <w:rPr>
          <w:rFonts w:ascii="Times New Roman" w:hAnsi="Times New Roman"/>
          <w:color w:val="000000"/>
          <w:sz w:val="24"/>
          <w:szCs w:val="24"/>
        </w:rPr>
        <w:t>43, 2011, 1450–1455.</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G. Bonanomi, F. D. Filippis, G. Cesarano, A. L. Storia, D. Ercolini, &amp; F. Scala</w:t>
      </w:r>
      <w:r>
        <w:rPr>
          <w:rFonts w:ascii="Times New Roman" w:hAnsi="Times New Roman"/>
          <w:i/>
          <w:color w:val="000000"/>
          <w:sz w:val="24"/>
          <w:szCs w:val="24"/>
        </w:rPr>
        <w:t>. Organic Farming Induces Changes in Soil Microbiota that Affect Agroecosystem Functions.</w:t>
      </w:r>
      <w:r>
        <w:rPr>
          <w:rFonts w:ascii="Times New Roman" w:hAnsi="Times New Roman"/>
          <w:b/>
          <w:bCs/>
          <w:i/>
          <w:color w:val="000000"/>
          <w:sz w:val="24"/>
          <w:szCs w:val="24"/>
        </w:rPr>
        <w:t xml:space="preserve"> </w:t>
      </w:r>
      <w:r>
        <w:rPr>
          <w:rFonts w:ascii="Times New Roman" w:hAnsi="Times New Roman"/>
          <w:b/>
          <w:bCs/>
          <w:color w:val="000000"/>
          <w:sz w:val="24"/>
          <w:szCs w:val="24"/>
        </w:rPr>
        <w:t>Soil Biol. Biochem</w:t>
      </w:r>
      <w:r>
        <w:rPr>
          <w:rFonts w:ascii="Times New Roman" w:hAnsi="Times New Roman"/>
          <w:color w:val="000000"/>
          <w:sz w:val="24"/>
          <w:szCs w:val="24"/>
        </w:rPr>
        <w:t xml:space="preserve">. 103, 2019, 327–336.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N. Bonilla, C. Vida, M. Martinez-Alonso, B. B. Landa, N. Gaju, &amp; F. M. Cazorla. </w:t>
      </w:r>
      <w:r>
        <w:rPr>
          <w:rFonts w:ascii="Times New Roman" w:hAnsi="Times New Roman"/>
          <w:i/>
          <w:color w:val="000000"/>
          <w:sz w:val="24"/>
          <w:szCs w:val="24"/>
        </w:rPr>
        <w:t>Organic Amendments to Avocado Crops Induce Suppressiveness and Influence the Composition and Activity of Soil Microbial Communities.</w:t>
      </w:r>
      <w:r>
        <w:rPr>
          <w:rFonts w:ascii="Times New Roman" w:hAnsi="Times New Roman"/>
          <w:color w:val="000000"/>
          <w:sz w:val="24"/>
          <w:szCs w:val="24"/>
        </w:rPr>
        <w:t xml:space="preserve"> </w:t>
      </w:r>
      <w:r>
        <w:rPr>
          <w:rFonts w:ascii="Times New Roman" w:hAnsi="Times New Roman"/>
          <w:b/>
          <w:bCs/>
          <w:color w:val="000000"/>
          <w:sz w:val="24"/>
          <w:szCs w:val="24"/>
        </w:rPr>
        <w:t>Appl. Environ. Microbiol.</w:t>
      </w:r>
      <w:r>
        <w:rPr>
          <w:rFonts w:ascii="Times New Roman" w:hAnsi="Times New Roman"/>
          <w:color w:val="000000"/>
          <w:sz w:val="24"/>
          <w:szCs w:val="24"/>
        </w:rPr>
        <w:t xml:space="preserve"> 81, 2019, 3405–3418.</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B. Breidenbach, J. Pump, &amp; M. G. Dumont. </w:t>
      </w:r>
      <w:r>
        <w:rPr>
          <w:rFonts w:ascii="Times New Roman" w:hAnsi="Times New Roman"/>
          <w:i/>
          <w:color w:val="000000"/>
          <w:sz w:val="24"/>
          <w:szCs w:val="24"/>
        </w:rPr>
        <w:t>Microbial Community Structure in the Rhizosphere of Rice Plants. Front.</w:t>
      </w:r>
      <w:r>
        <w:rPr>
          <w:rFonts w:ascii="Times New Roman" w:hAnsi="Times New Roman"/>
          <w:color w:val="000000"/>
          <w:sz w:val="24"/>
          <w:szCs w:val="24"/>
        </w:rPr>
        <w:t xml:space="preserve"> </w:t>
      </w:r>
      <w:r>
        <w:rPr>
          <w:rFonts w:ascii="Times New Roman" w:hAnsi="Times New Roman"/>
          <w:b/>
          <w:bCs/>
          <w:color w:val="000000"/>
          <w:sz w:val="24"/>
          <w:szCs w:val="24"/>
        </w:rPr>
        <w:t>Microbiol</w:t>
      </w:r>
      <w:r>
        <w:rPr>
          <w:rFonts w:ascii="Times New Roman" w:hAnsi="Times New Roman"/>
          <w:color w:val="000000"/>
          <w:sz w:val="24"/>
          <w:szCs w:val="24"/>
        </w:rPr>
        <w:t xml:space="preserve">. 6: 2018, 1537.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R. G. Burns, J. L. Deforest, J. Marxsen, R. L. Sinsabaugh, M. E. Stromberger, &amp; M. D. Wallenstein. </w:t>
      </w:r>
      <w:r>
        <w:rPr>
          <w:rFonts w:ascii="Times New Roman" w:hAnsi="Times New Roman"/>
          <w:i/>
          <w:color w:val="000000"/>
          <w:sz w:val="24"/>
          <w:szCs w:val="24"/>
        </w:rPr>
        <w:t>Soil Enzymes in a Changing Environment: Current Knowledge and Future Directions</w:t>
      </w:r>
      <w:r>
        <w:rPr>
          <w:rFonts w:ascii="Times New Roman" w:hAnsi="Times New Roman"/>
          <w:color w:val="000000"/>
          <w:sz w:val="24"/>
          <w:szCs w:val="24"/>
        </w:rPr>
        <w:t xml:space="preserve">. </w:t>
      </w:r>
      <w:r>
        <w:rPr>
          <w:rFonts w:ascii="Times New Roman" w:hAnsi="Times New Roman"/>
          <w:b/>
          <w:bCs/>
          <w:color w:val="000000"/>
          <w:sz w:val="24"/>
          <w:szCs w:val="24"/>
        </w:rPr>
        <w:t xml:space="preserve">Soil Biol. Biochem. </w:t>
      </w:r>
      <w:r>
        <w:rPr>
          <w:rFonts w:ascii="Times New Roman" w:hAnsi="Times New Roman"/>
          <w:color w:val="000000"/>
          <w:sz w:val="24"/>
          <w:szCs w:val="24"/>
        </w:rPr>
        <w:t>58, 2018. 216–234.</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J. G. Caporaso, C. L. Lauber, W. A. Walters, D. Berg-Lyon, J. Huntley, &amp; N. Fierer. </w:t>
      </w:r>
      <w:r>
        <w:rPr>
          <w:rFonts w:ascii="Times New Roman" w:hAnsi="Times New Roman"/>
          <w:i/>
          <w:color w:val="000000"/>
          <w:sz w:val="24"/>
          <w:szCs w:val="24"/>
        </w:rPr>
        <w:t>Ultra-High-Throughput Microbial Community Analysis on the Illumina HiSeq and MiSeq Platforms</w:t>
      </w:r>
      <w:r>
        <w:rPr>
          <w:rFonts w:ascii="Times New Roman" w:hAnsi="Times New Roman"/>
          <w:color w:val="000000"/>
          <w:sz w:val="24"/>
          <w:szCs w:val="24"/>
        </w:rPr>
        <w:t xml:space="preserve">. </w:t>
      </w:r>
      <w:r>
        <w:rPr>
          <w:rFonts w:ascii="Times New Roman" w:hAnsi="Times New Roman"/>
          <w:b/>
          <w:bCs/>
          <w:color w:val="000000"/>
          <w:sz w:val="24"/>
          <w:szCs w:val="24"/>
        </w:rPr>
        <w:t>ISME J.</w:t>
      </w:r>
      <w:r>
        <w:rPr>
          <w:rFonts w:ascii="Times New Roman" w:hAnsi="Times New Roman"/>
          <w:color w:val="000000"/>
          <w:sz w:val="24"/>
          <w:szCs w:val="24"/>
        </w:rPr>
        <w:t xml:space="preserve"> 6, 2019, 1621–1624.</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B. Chen, E. K. Liu, Q. Tian, C. Yan, &amp; Y. Zhang, </w:t>
      </w:r>
      <w:r>
        <w:rPr>
          <w:rFonts w:ascii="Times New Roman" w:hAnsi="Times New Roman"/>
          <w:i/>
          <w:color w:val="000000"/>
          <w:sz w:val="24"/>
          <w:szCs w:val="24"/>
        </w:rPr>
        <w:t>Soil Nitrogen Dynamics and Crop Residues.</w:t>
      </w:r>
      <w:r>
        <w:rPr>
          <w:rFonts w:ascii="Times New Roman" w:hAnsi="Times New Roman"/>
          <w:b/>
          <w:bCs/>
          <w:color w:val="000000"/>
          <w:sz w:val="24"/>
          <w:szCs w:val="24"/>
        </w:rPr>
        <w:t xml:space="preserve"> A review. Agron. Sustain. Dev. </w:t>
      </w:r>
      <w:r>
        <w:rPr>
          <w:rFonts w:ascii="Times New Roman" w:hAnsi="Times New Roman"/>
          <w:color w:val="000000"/>
          <w:sz w:val="24"/>
          <w:szCs w:val="24"/>
        </w:rPr>
        <w:t xml:space="preserve">34, 2018, 429–442.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S. Das, &amp; T. K. Adhya. </w:t>
      </w:r>
      <w:r>
        <w:rPr>
          <w:rFonts w:ascii="Times New Roman" w:hAnsi="Times New Roman"/>
          <w:i/>
          <w:color w:val="000000"/>
          <w:sz w:val="24"/>
          <w:szCs w:val="24"/>
        </w:rPr>
        <w:t>Effect of Combine Application of Organic Manure and Inorganic Fertilizer on Methane and Nitrous Oxide Emissions from A Tropical Flooded Soil Planted to Rice</w:t>
      </w:r>
      <w:r>
        <w:rPr>
          <w:rFonts w:ascii="Times New Roman" w:hAnsi="Times New Roman"/>
          <w:color w:val="000000"/>
          <w:sz w:val="24"/>
          <w:szCs w:val="24"/>
        </w:rPr>
        <w:t xml:space="preserve">. </w:t>
      </w:r>
      <w:r>
        <w:rPr>
          <w:rFonts w:ascii="Times New Roman" w:hAnsi="Times New Roman"/>
          <w:b/>
          <w:bCs/>
          <w:color w:val="000000"/>
          <w:sz w:val="24"/>
          <w:szCs w:val="24"/>
        </w:rPr>
        <w:t xml:space="preserve">Geoderma </w:t>
      </w:r>
      <w:r>
        <w:rPr>
          <w:rFonts w:ascii="Times New Roman" w:hAnsi="Times New Roman"/>
          <w:color w:val="000000"/>
          <w:sz w:val="24"/>
          <w:szCs w:val="24"/>
        </w:rPr>
        <w:t>213, 2020, 185–192.</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S. Das, M. L. Chou, J. S. Jean, C. C. Liu, &amp; H. J. Yang</w:t>
      </w:r>
      <w:r>
        <w:rPr>
          <w:rFonts w:ascii="Times New Roman" w:hAnsi="Times New Roman"/>
          <w:i/>
          <w:color w:val="000000"/>
          <w:sz w:val="24"/>
          <w:szCs w:val="24"/>
        </w:rPr>
        <w:t>. Water Management Impacts on Arsenic Behavior and Rhizosphere Bacterial Communities and Activities in a Rice Agro-Ecosystem</w:t>
      </w:r>
      <w:r>
        <w:rPr>
          <w:rFonts w:ascii="Times New Roman" w:hAnsi="Times New Roman"/>
          <w:color w:val="000000"/>
          <w:sz w:val="24"/>
          <w:szCs w:val="24"/>
        </w:rPr>
        <w:t xml:space="preserve">. </w:t>
      </w:r>
      <w:r>
        <w:rPr>
          <w:rFonts w:ascii="Times New Roman" w:hAnsi="Times New Roman"/>
          <w:b/>
          <w:bCs/>
          <w:color w:val="000000"/>
          <w:sz w:val="24"/>
          <w:szCs w:val="24"/>
        </w:rPr>
        <w:t>Sci. Tot. Environ.</w:t>
      </w:r>
      <w:r>
        <w:rPr>
          <w:rFonts w:ascii="Times New Roman" w:hAnsi="Times New Roman"/>
          <w:color w:val="000000"/>
          <w:sz w:val="24"/>
          <w:szCs w:val="24"/>
        </w:rPr>
        <w:t xml:space="preserve"> 542, 2018, 642–652.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R. C Edgar. </w:t>
      </w:r>
      <w:r>
        <w:rPr>
          <w:rFonts w:ascii="Times New Roman" w:hAnsi="Times New Roman"/>
          <w:i/>
          <w:color w:val="000000"/>
          <w:sz w:val="24"/>
          <w:szCs w:val="24"/>
        </w:rPr>
        <w:t>Search and Clustering Orders of Magnitude Faster than BLAST</w:t>
      </w:r>
      <w:r>
        <w:rPr>
          <w:rFonts w:ascii="Times New Roman" w:hAnsi="Times New Roman"/>
          <w:color w:val="000000"/>
          <w:sz w:val="24"/>
          <w:szCs w:val="24"/>
        </w:rPr>
        <w:t xml:space="preserve">. </w:t>
      </w:r>
      <w:r>
        <w:rPr>
          <w:rFonts w:ascii="Times New Roman" w:hAnsi="Times New Roman"/>
          <w:b/>
          <w:bCs/>
          <w:color w:val="000000"/>
          <w:sz w:val="24"/>
          <w:szCs w:val="24"/>
        </w:rPr>
        <w:t xml:space="preserve">Bioinformatics </w:t>
      </w:r>
      <w:r>
        <w:rPr>
          <w:rFonts w:ascii="Times New Roman" w:hAnsi="Times New Roman"/>
          <w:color w:val="000000"/>
          <w:sz w:val="24"/>
          <w:szCs w:val="24"/>
        </w:rPr>
        <w:t>26, 2020, 2460–2461.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A. J. Escribano, </w:t>
      </w:r>
      <w:r>
        <w:rPr>
          <w:rFonts w:ascii="Times New Roman" w:hAnsi="Times New Roman"/>
          <w:i/>
          <w:color w:val="000000"/>
          <w:sz w:val="24"/>
          <w:szCs w:val="24"/>
        </w:rPr>
        <w:t>“Organic Livestock Farming – Challenges, Perspectives, and Strategies to Increase its Contribution to the Agrifood System’s Sustainability – A Review,” in Organic Farming</w:t>
      </w:r>
      <w:r>
        <w:rPr>
          <w:rFonts w:ascii="Times New Roman" w:hAnsi="Times New Roman"/>
          <w:color w:val="000000"/>
          <w:sz w:val="24"/>
          <w:szCs w:val="24"/>
        </w:rPr>
        <w:t xml:space="preserve"> –</w:t>
      </w:r>
      <w:r>
        <w:rPr>
          <w:rFonts w:ascii="Times New Roman" w:hAnsi="Times New Roman"/>
          <w:b/>
          <w:bCs/>
          <w:color w:val="000000"/>
          <w:sz w:val="24"/>
          <w:szCs w:val="24"/>
        </w:rPr>
        <w:t xml:space="preserve"> </w:t>
      </w:r>
      <w:r>
        <w:rPr>
          <w:rFonts w:ascii="Times New Roman" w:hAnsi="Times New Roman"/>
          <w:color w:val="000000"/>
          <w:sz w:val="24"/>
          <w:szCs w:val="24"/>
        </w:rPr>
        <w:t>A Promising Way of Food Production, ed. P. Konvalina</w:t>
      </w:r>
      <w:r>
        <w:rPr>
          <w:rFonts w:ascii="Times New Roman" w:hAnsi="Times New Roman"/>
          <w:b/>
          <w:bCs/>
          <w:color w:val="000000"/>
          <w:sz w:val="24"/>
          <w:szCs w:val="24"/>
        </w:rPr>
        <w:t xml:space="preserve"> </w:t>
      </w:r>
      <w:r>
        <w:rPr>
          <w:rFonts w:ascii="Times New Roman" w:hAnsi="Times New Roman"/>
          <w:color w:val="000000"/>
          <w:sz w:val="24"/>
          <w:szCs w:val="24"/>
        </w:rPr>
        <w:t>(Rijeka: InTech). 2018. doi: 10.5772/61272</w:t>
      </w:r>
    </w:p>
    <w:p>
      <w:pPr>
        <w:numPr>
          <w:ilvl w:val="0"/>
          <w:numId w:val="5"/>
        </w:numPr>
        <w:spacing w:after="240" w:line="276" w:lineRule="auto"/>
        <w:ind w:hanging="720"/>
        <w:rPr>
          <w:rFonts w:ascii="Times New Roman" w:hAnsi="Times New Roman"/>
          <w:color w:val="000000"/>
          <w:sz w:val="24"/>
          <w:szCs w:val="24"/>
        </w:rPr>
      </w:pPr>
      <w:r>
        <w:rPr>
          <w:rFonts w:ascii="Times New Roman" w:hAnsi="Times New Roman"/>
          <w:color w:val="000000"/>
          <w:sz w:val="24"/>
          <w:szCs w:val="24"/>
        </w:rPr>
        <w:t xml:space="preserve">M. Hartmann, B. Frey, J. Mayer, P. Mader, &amp; F. Widmer, </w:t>
      </w:r>
      <w:r>
        <w:rPr>
          <w:rFonts w:ascii="Times New Roman" w:hAnsi="Times New Roman"/>
          <w:i/>
          <w:color w:val="000000"/>
          <w:sz w:val="24"/>
          <w:szCs w:val="24"/>
        </w:rPr>
        <w:t>Distinct Soil Microbial Diversity under Long-Term Organic and Conventional Farming</w:t>
      </w:r>
      <w:r>
        <w:rPr>
          <w:rFonts w:ascii="Times New Roman" w:hAnsi="Times New Roman"/>
          <w:color w:val="000000"/>
          <w:sz w:val="24"/>
          <w:szCs w:val="24"/>
        </w:rPr>
        <w:t xml:space="preserve">. </w:t>
      </w:r>
      <w:r>
        <w:rPr>
          <w:rFonts w:ascii="Times New Roman" w:hAnsi="Times New Roman"/>
          <w:b/>
          <w:color w:val="000000"/>
          <w:sz w:val="24"/>
          <w:szCs w:val="24"/>
        </w:rPr>
        <w:t>ISME J</w:t>
      </w:r>
      <w:r>
        <w:rPr>
          <w:rFonts w:ascii="Times New Roman" w:hAnsi="Times New Roman"/>
          <w:color w:val="000000"/>
          <w:sz w:val="24"/>
          <w:szCs w:val="24"/>
        </w:rPr>
        <w:t xml:space="preserve">., 9, 2015, 1177–1194. </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C. T. Kraamwinkel, A. Beaulieu, &amp; T. Dias. </w:t>
      </w:r>
      <w:r>
        <w:rPr>
          <w:rFonts w:ascii="Times New Roman" w:hAnsi="Times New Roman"/>
          <w:i/>
          <w:color w:val="000000"/>
          <w:sz w:val="24"/>
          <w:szCs w:val="24"/>
        </w:rPr>
        <w:t>Planetary Limits to Soil Degradation</w:t>
      </w:r>
      <w:r>
        <w:rPr>
          <w:rFonts w:ascii="Times New Roman" w:hAnsi="Times New Roman"/>
          <w:color w:val="000000"/>
          <w:sz w:val="24"/>
          <w:szCs w:val="24"/>
        </w:rPr>
        <w:t>. </w:t>
      </w:r>
      <w:r>
        <w:rPr>
          <w:rFonts w:ascii="Times New Roman" w:hAnsi="Times New Roman"/>
          <w:b/>
          <w:color w:val="000000"/>
          <w:sz w:val="24"/>
          <w:szCs w:val="24"/>
        </w:rPr>
        <w:t>Commun Earth Environ </w:t>
      </w:r>
      <w:r>
        <w:rPr>
          <w:rFonts w:ascii="Times New Roman" w:hAnsi="Times New Roman"/>
          <w:color w:val="000000"/>
          <w:sz w:val="24"/>
          <w:szCs w:val="24"/>
        </w:rPr>
        <w:t xml:space="preserve">2, 2021, 249. </w:t>
      </w:r>
      <w:r>
        <w:fldChar w:fldCharType="begin"/>
      </w:r>
      <w:r>
        <w:instrText xml:space="preserve"> HYPERLINK "https://doi.org/10.1038/s43247-021-00323-3" </w:instrText>
      </w:r>
      <w:r>
        <w:fldChar w:fldCharType="separate"/>
      </w:r>
      <w:r>
        <w:rPr>
          <w:rFonts w:ascii="Times New Roman" w:hAnsi="Times New Roman"/>
          <w:color w:val="000000"/>
          <w:sz w:val="24"/>
          <w:szCs w:val="24"/>
        </w:rPr>
        <w:t>https://doi.org/10.1038/s43247-021-00323-3</w:t>
      </w:r>
      <w:r>
        <w:rPr>
          <w:rFonts w:ascii="Times New Roman" w:hAnsi="Times New Roman"/>
          <w:color w:val="000000"/>
          <w:sz w:val="24"/>
          <w:szCs w:val="24"/>
        </w:rPr>
        <w:fldChar w:fldCharType="end"/>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N. Rayne &amp; L. Aula. </w:t>
      </w:r>
      <w:r>
        <w:rPr>
          <w:rFonts w:ascii="Times New Roman" w:hAnsi="Times New Roman"/>
          <w:i/>
          <w:color w:val="000000"/>
          <w:sz w:val="24"/>
          <w:szCs w:val="24"/>
        </w:rPr>
        <w:t>Livestock Manure and the Impacts on Soil Health: A Review</w:t>
      </w:r>
      <w:r>
        <w:rPr>
          <w:rFonts w:ascii="Times New Roman" w:hAnsi="Times New Roman"/>
          <w:color w:val="000000"/>
          <w:sz w:val="24"/>
          <w:szCs w:val="24"/>
        </w:rPr>
        <w:t>. </w:t>
      </w:r>
      <w:r>
        <w:rPr>
          <w:rFonts w:ascii="Times New Roman" w:hAnsi="Times New Roman"/>
          <w:b/>
          <w:iCs/>
          <w:color w:val="000000"/>
          <w:sz w:val="24"/>
          <w:szCs w:val="24"/>
        </w:rPr>
        <w:t>Soil Systems,</w:t>
      </w:r>
      <w:r>
        <w:rPr>
          <w:rFonts w:ascii="Times New Roman" w:hAnsi="Times New Roman"/>
          <w:color w:val="000000"/>
          <w:sz w:val="24"/>
          <w:szCs w:val="24"/>
        </w:rPr>
        <w:t xml:space="preserve"> 4(4): 2020, 64. </w:t>
      </w:r>
      <w:r>
        <w:fldChar w:fldCharType="begin"/>
      </w:r>
      <w:r>
        <w:instrText xml:space="preserve"> HYPERLINK "https://doi.org/10.3390/soilsystems4040064" </w:instrText>
      </w:r>
      <w:r>
        <w:fldChar w:fldCharType="separate"/>
      </w:r>
      <w:r>
        <w:rPr>
          <w:rFonts w:ascii="Times New Roman" w:hAnsi="Times New Roman"/>
          <w:color w:val="000000"/>
          <w:sz w:val="24"/>
          <w:szCs w:val="24"/>
        </w:rPr>
        <w:t>https://doi.org/10.3390/soilsystems4040064</w:t>
      </w:r>
      <w:r>
        <w:rPr>
          <w:rFonts w:ascii="Times New Roman" w:hAnsi="Times New Roman"/>
          <w:color w:val="000000"/>
          <w:sz w:val="24"/>
          <w:szCs w:val="24"/>
        </w:rPr>
        <w:fldChar w:fldCharType="end"/>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color w:val="000000"/>
          <w:sz w:val="24"/>
          <w:szCs w:val="24"/>
        </w:rPr>
        <w:t xml:space="preserve">F. Gianoli, M. Weynants &amp; M. Cherlet. </w:t>
      </w:r>
      <w:r>
        <w:rPr>
          <w:rFonts w:ascii="Times New Roman" w:hAnsi="Times New Roman"/>
          <w:i/>
          <w:color w:val="000000"/>
          <w:sz w:val="24"/>
          <w:szCs w:val="24"/>
        </w:rPr>
        <w:t>Land Degradation in the European Union: Where Does the Evidence Converge?</w:t>
      </w:r>
      <w:r>
        <w:rPr>
          <w:rFonts w:ascii="Times New Roman" w:hAnsi="Times New Roman"/>
          <w:color w:val="000000"/>
          <w:sz w:val="24"/>
          <w:szCs w:val="24"/>
        </w:rPr>
        <w:t xml:space="preserve"> </w:t>
      </w:r>
      <w:r>
        <w:rPr>
          <w:rFonts w:ascii="Times New Roman" w:hAnsi="Times New Roman"/>
          <w:b/>
          <w:bCs/>
          <w:color w:val="000000"/>
          <w:sz w:val="24"/>
          <w:szCs w:val="24"/>
        </w:rPr>
        <w:t>Land Degradation &amp; Development</w:t>
      </w:r>
      <w:r>
        <w:rPr>
          <w:rFonts w:ascii="Times New Roman" w:hAnsi="Times New Roman"/>
          <w:color w:val="000000"/>
          <w:sz w:val="24"/>
          <w:szCs w:val="24"/>
        </w:rPr>
        <w:t xml:space="preserve">, 34(8), 2023, 2256–2275. </w:t>
      </w:r>
      <w:r>
        <w:fldChar w:fldCharType="begin"/>
      </w:r>
      <w:r>
        <w:instrText xml:space="preserve"> HYPERLINK "https://doi.org/10.1002/ldr.4606" </w:instrText>
      </w:r>
      <w:r>
        <w:fldChar w:fldCharType="separate"/>
      </w:r>
      <w:r>
        <w:rPr>
          <w:rStyle w:val="13"/>
          <w:rFonts w:ascii="Times New Roman" w:hAnsi="Times New Roman"/>
          <w:color w:val="000000" w:themeColor="text1"/>
          <w:sz w:val="24"/>
          <w:szCs w:val="24"/>
          <w:u w:val="none"/>
          <w14:textFill>
            <w14:solidFill>
              <w14:schemeClr w14:val="tx1"/>
            </w14:solidFill>
          </w14:textFill>
        </w:rPr>
        <w:t>https://doi.org/10.1002/ldr.4606</w:t>
      </w:r>
      <w:r>
        <w:rPr>
          <w:rStyle w:val="13"/>
          <w:rFonts w:ascii="Times New Roman" w:hAnsi="Times New Roman"/>
          <w:color w:val="000000" w:themeColor="text1"/>
          <w:sz w:val="24"/>
          <w:szCs w:val="24"/>
          <w:u w:val="none"/>
          <w14:textFill>
            <w14:solidFill>
              <w14:schemeClr w14:val="tx1"/>
            </w14:solidFill>
          </w14:textFill>
        </w:rPr>
        <w:fldChar w:fldCharType="end"/>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sz w:val="24"/>
          <w:szCs w:val="24"/>
        </w:rPr>
        <w:t xml:space="preserve">A. L. Tetengi. </w:t>
      </w:r>
      <w:r>
        <w:rPr>
          <w:rFonts w:ascii="Times New Roman" w:hAnsi="Times New Roman"/>
          <w:i/>
          <w:sz w:val="24"/>
          <w:szCs w:val="24"/>
        </w:rPr>
        <w:t>Evaluation of Chemical Composition of Poultry Waste</w:t>
      </w:r>
      <w:r>
        <w:rPr>
          <w:rFonts w:ascii="Times New Roman" w:hAnsi="Times New Roman"/>
          <w:sz w:val="24"/>
          <w:szCs w:val="24"/>
        </w:rPr>
        <w:t>. B. Sc. Thesis Submitted to the Department of Animal Production, University of Agriculture, Makurdi- Nigeria, 1991</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sz w:val="24"/>
          <w:szCs w:val="24"/>
        </w:rPr>
        <w:t xml:space="preserve">J. M. Olomu. </w:t>
      </w:r>
      <w:r>
        <w:rPr>
          <w:rFonts w:ascii="Times New Roman" w:hAnsi="Times New Roman"/>
          <w:i/>
          <w:sz w:val="24"/>
          <w:szCs w:val="24"/>
        </w:rPr>
        <w:t>Monogastric Animal Nutrition. Principles and Practice</w:t>
      </w:r>
      <w:r>
        <w:rPr>
          <w:rFonts w:ascii="Times New Roman" w:hAnsi="Times New Roman"/>
          <w:sz w:val="24"/>
          <w:szCs w:val="24"/>
        </w:rPr>
        <w:t>. A Jachem Publication, Benin City, 1995, 164-177.</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sz w:val="24"/>
          <w:szCs w:val="24"/>
        </w:rPr>
        <w:t xml:space="preserve">E. A. Adebowale. </w:t>
      </w:r>
      <w:r>
        <w:rPr>
          <w:rFonts w:ascii="Times New Roman" w:hAnsi="Times New Roman"/>
          <w:i/>
          <w:sz w:val="24"/>
          <w:szCs w:val="24"/>
        </w:rPr>
        <w:t>Non – Conventional Feeds Resources in Nigeria</w:t>
      </w:r>
      <w:r>
        <w:rPr>
          <w:rFonts w:ascii="Times New Roman" w:hAnsi="Times New Roman"/>
          <w:sz w:val="24"/>
          <w:szCs w:val="24"/>
        </w:rPr>
        <w:t xml:space="preserve">. </w:t>
      </w:r>
      <w:r>
        <w:rPr>
          <w:rFonts w:ascii="Times New Roman" w:hAnsi="Times New Roman"/>
          <w:b/>
          <w:sz w:val="24"/>
          <w:szCs w:val="24"/>
        </w:rPr>
        <w:t>NIFOJ</w:t>
      </w:r>
      <w:r>
        <w:rPr>
          <w:rFonts w:ascii="Times New Roman" w:hAnsi="Times New Roman"/>
          <w:sz w:val="24"/>
          <w:szCs w:val="24"/>
        </w:rPr>
        <w:t>, 3, 1985, 181-189.</w:t>
      </w:r>
    </w:p>
    <w:p>
      <w:pPr>
        <w:numPr>
          <w:ilvl w:val="0"/>
          <w:numId w:val="5"/>
        </w:numPr>
        <w:spacing w:after="240" w:line="276" w:lineRule="auto"/>
        <w:ind w:hanging="720"/>
        <w:jc w:val="both"/>
        <w:rPr>
          <w:rFonts w:ascii="Times New Roman" w:hAnsi="Times New Roman"/>
          <w:color w:val="000000"/>
          <w:sz w:val="24"/>
          <w:szCs w:val="24"/>
        </w:rPr>
      </w:pPr>
      <w:r>
        <w:rPr>
          <w:rFonts w:ascii="Times New Roman" w:hAnsi="Times New Roman"/>
          <w:sz w:val="24"/>
          <w:szCs w:val="24"/>
        </w:rPr>
        <w:t xml:space="preserve">C. Coker, </w:t>
      </w:r>
      <w:r>
        <w:rPr>
          <w:rFonts w:ascii="Times New Roman" w:hAnsi="Times New Roman"/>
          <w:i/>
          <w:iCs/>
          <w:color w:val="131C2A"/>
          <w:sz w:val="24"/>
          <w:szCs w:val="24"/>
          <w:shd w:val="clear" w:color="auto" w:fill="FFFFFF"/>
        </w:rPr>
        <w:t xml:space="preserve">Poultry litter — a heterogeneous and fairly dry mix that includes manure and bedding — can be diluted to improve its digestibility, </w:t>
      </w:r>
      <w:r>
        <w:rPr>
          <w:rFonts w:ascii="Times New Roman" w:hAnsi="Times New Roman"/>
          <w:iCs/>
          <w:color w:val="131C2A"/>
          <w:sz w:val="24"/>
          <w:szCs w:val="24"/>
          <w:shd w:val="clear" w:color="auto" w:fill="FFFFFF"/>
        </w:rPr>
        <w:t>Poultry Litter Digestion, BioCycle, 2017, https://www.biocycle.net/poultry-litter-digestion/</w:t>
      </w:r>
      <w:r>
        <w:rPr>
          <w:rFonts w:ascii="Times New Roman" w:hAnsi="Times New Roman"/>
          <w:sz w:val="24"/>
          <w:szCs w:val="24"/>
        </w:rPr>
        <w:br w:type="page"/>
      </w:r>
    </w:p>
    <w:p>
      <w:pPr>
        <w:pStyle w:val="2"/>
        <w:rPr>
          <w:rFonts w:eastAsia="Calibri"/>
        </w:rPr>
      </w:pPr>
      <w:r>
        <w:rPr>
          <w:rFonts w:eastAsia="Calibri"/>
        </w:rPr>
        <w:t>Chapter Three</w:t>
      </w:r>
      <w:bookmarkStart w:id="33" w:name="_Toc132200946"/>
    </w:p>
    <w:p>
      <w:pPr>
        <w:pStyle w:val="2"/>
        <w:rPr>
          <w:rFonts w:eastAsia="Calibri"/>
        </w:rPr>
      </w:pPr>
      <w:r>
        <w:t>Methodology</w:t>
      </w:r>
      <w:bookmarkEnd w:id="33"/>
      <w:bookmarkStart w:id="34" w:name="_Toc132200947"/>
    </w:p>
    <w:p>
      <w:pPr>
        <w:pStyle w:val="2"/>
        <w:jc w:val="left"/>
        <w:rPr>
          <w:rFonts w:eastAsia="Calibri"/>
        </w:rPr>
      </w:pPr>
      <w:r>
        <w:t>3.1</w:t>
      </w:r>
      <w:r>
        <w:tab/>
      </w:r>
      <w:r>
        <w:t>Research Design</w:t>
      </w:r>
      <w:bookmarkEnd w:id="34"/>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Research design was a completely randomized design. Soils exposed to five different treatments: T1- Litter free soil with pH between 6-7; T2- Top soil with Poultry litter; T3- Top soil with Pig excreta, T4: Top Soil with Goat excreta, T5: Top Soil with Cattle dung with three replicat</w:t>
      </w:r>
      <w:bookmarkStart w:id="35" w:name="_Toc132200948"/>
      <w:r>
        <w:rPr>
          <w:rFonts w:ascii="Times New Roman" w:hAnsi="Times New Roman"/>
          <w:color w:val="000000"/>
          <w:sz w:val="24"/>
          <w:szCs w:val="24"/>
        </w:rPr>
        <w:t xml:space="preserve">es. </w:t>
      </w:r>
    </w:p>
    <w:p>
      <w:pPr>
        <w:spacing w:after="120" w:line="480" w:lineRule="auto"/>
        <w:jc w:val="both"/>
        <w:rPr>
          <w:rFonts w:ascii="Times New Roman" w:hAnsi="Times New Roman"/>
          <w:b/>
          <w:color w:val="000000"/>
          <w:sz w:val="24"/>
          <w:szCs w:val="24"/>
        </w:rPr>
      </w:pPr>
      <w:r>
        <w:rPr>
          <w:rFonts w:ascii="Times New Roman" w:hAnsi="Times New Roman"/>
          <w:b/>
          <w:sz w:val="24"/>
          <w:szCs w:val="24"/>
        </w:rPr>
        <w:t>3.2</w:t>
      </w:r>
      <w:r>
        <w:rPr>
          <w:rFonts w:ascii="Times New Roman" w:hAnsi="Times New Roman"/>
          <w:b/>
          <w:sz w:val="24"/>
          <w:szCs w:val="24"/>
        </w:rPr>
        <w:tab/>
      </w:r>
      <w:r>
        <w:rPr>
          <w:rFonts w:ascii="Times New Roman" w:hAnsi="Times New Roman"/>
          <w:b/>
          <w:sz w:val="24"/>
          <w:szCs w:val="24"/>
        </w:rPr>
        <w:t>Sampling Sites</w:t>
      </w:r>
      <w:bookmarkEnd w:id="35"/>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Soil samples were collected from two medium scale livestock farms in Ibadan North and Ido Local Government Area of Ibadan, Oyo State, Nigeria. These locations were the Teaching &amp; Research farms of the University of Ibadan and Moor Pl</w:t>
      </w:r>
      <w:bookmarkStart w:id="36" w:name="_Toc132200949"/>
      <w:r>
        <w:rPr>
          <w:rFonts w:ascii="Times New Roman" w:hAnsi="Times New Roman"/>
          <w:color w:val="000000"/>
          <w:sz w:val="24"/>
          <w:szCs w:val="24"/>
        </w:rPr>
        <w:t xml:space="preserve">antation Farms, Apata, Ibadan. </w:t>
      </w:r>
    </w:p>
    <w:p>
      <w:pPr>
        <w:spacing w:after="120" w:line="480" w:lineRule="auto"/>
        <w:jc w:val="both"/>
        <w:rPr>
          <w:rFonts w:ascii="Times New Roman" w:hAnsi="Times New Roman"/>
          <w:b/>
          <w:color w:val="000000"/>
          <w:sz w:val="24"/>
          <w:szCs w:val="24"/>
        </w:rPr>
      </w:pPr>
      <w:r>
        <w:rPr>
          <w:rFonts w:ascii="Times New Roman" w:hAnsi="Times New Roman"/>
          <w:b/>
          <w:sz w:val="24"/>
          <w:szCs w:val="24"/>
        </w:rPr>
        <w:t>3.3</w:t>
      </w:r>
      <w:r>
        <w:rPr>
          <w:rFonts w:ascii="Times New Roman" w:hAnsi="Times New Roman"/>
          <w:b/>
          <w:sz w:val="24"/>
          <w:szCs w:val="24"/>
        </w:rPr>
        <w:tab/>
      </w:r>
      <w:r>
        <w:rPr>
          <w:rFonts w:ascii="Times New Roman" w:hAnsi="Times New Roman"/>
          <w:b/>
          <w:sz w:val="24"/>
          <w:szCs w:val="24"/>
        </w:rPr>
        <w:t>Soil Sampling and Storage</w:t>
      </w:r>
      <w:bookmarkEnd w:id="36"/>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Soil sub-samples from the top 0–10 cm were collected and homogenized following standard procedure (AOAC, 2005). Approximately 500 g of soil sample from each site was kept in individual Ziploc bag, labelled and instantly stored in an ice pack. For long-term storage, samples were frozen in a −20 ◦C freezer </w:t>
      </w:r>
      <w:bookmarkStart w:id="37" w:name="_Toc132200950"/>
      <w:r>
        <w:rPr>
          <w:rFonts w:ascii="Times New Roman" w:hAnsi="Times New Roman"/>
          <w:color w:val="000000"/>
          <w:sz w:val="24"/>
          <w:szCs w:val="24"/>
        </w:rPr>
        <w:t>upon arrival at the laboratory.</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w:t>
      </w:r>
      <w:r>
        <w:rPr>
          <w:rFonts w:ascii="Times New Roman" w:hAnsi="Times New Roman"/>
          <w:b/>
          <w:sz w:val="24"/>
          <w:szCs w:val="24"/>
        </w:rPr>
        <w:tab/>
      </w:r>
      <w:r>
        <w:rPr>
          <w:rFonts w:ascii="Times New Roman" w:hAnsi="Times New Roman"/>
          <w:b/>
          <w:sz w:val="24"/>
          <w:szCs w:val="24"/>
        </w:rPr>
        <w:t>Physicochemical Analyses of Each Soil Samples</w:t>
      </w:r>
      <w:bookmarkEnd w:id="37"/>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The following parameters which are pointers to healthiness of any soil were assessed using the method described by AOAC: pH, Ca </w:t>
      </w:r>
      <w:r>
        <w:rPr>
          <w:rFonts w:ascii="Times New Roman" w:hAnsi="Times New Roman"/>
          <w:color w:val="000000"/>
          <w:sz w:val="24"/>
          <w:szCs w:val="24"/>
          <w:vertAlign w:val="superscript"/>
        </w:rPr>
        <w:t>2+</w:t>
      </w:r>
      <w:r>
        <w:rPr>
          <w:rFonts w:ascii="Times New Roman" w:hAnsi="Times New Roman"/>
          <w:color w:val="000000"/>
          <w:sz w:val="24"/>
          <w:szCs w:val="24"/>
        </w:rPr>
        <w:t xml:space="preserve">, Mg </w:t>
      </w:r>
      <w:r>
        <w:rPr>
          <w:rFonts w:ascii="Times New Roman" w:hAnsi="Times New Roman"/>
          <w:color w:val="000000"/>
          <w:sz w:val="24"/>
          <w:szCs w:val="24"/>
          <w:vertAlign w:val="superscript"/>
        </w:rPr>
        <w:t>2+</w:t>
      </w:r>
      <w:r>
        <w:rPr>
          <w:rFonts w:ascii="Times New Roman" w:hAnsi="Times New Roman"/>
          <w:color w:val="000000"/>
          <w:sz w:val="24"/>
          <w:szCs w:val="24"/>
        </w:rPr>
        <w:t xml:space="preserve"> , Mo</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 Al </w:t>
      </w:r>
      <w:r>
        <w:rPr>
          <w:rFonts w:ascii="Times New Roman" w:hAnsi="Times New Roman"/>
          <w:color w:val="000000"/>
          <w:sz w:val="24"/>
          <w:szCs w:val="24"/>
          <w:vertAlign w:val="superscript"/>
        </w:rPr>
        <w:t xml:space="preserve">3+ </w:t>
      </w:r>
      <w:r>
        <w:rPr>
          <w:rFonts w:ascii="Times New Roman" w:hAnsi="Times New Roman"/>
          <w:color w:val="000000"/>
          <w:sz w:val="24"/>
          <w:szCs w:val="24"/>
        </w:rPr>
        <w:t>, Cu</w:t>
      </w:r>
      <w:r>
        <w:rPr>
          <w:rFonts w:ascii="Times New Roman" w:hAnsi="Times New Roman"/>
          <w:color w:val="000000"/>
          <w:sz w:val="24"/>
          <w:szCs w:val="24"/>
          <w:vertAlign w:val="superscript"/>
        </w:rPr>
        <w:t xml:space="preserve"> 2+ </w:t>
      </w:r>
      <w:r>
        <w:rPr>
          <w:rFonts w:ascii="Times New Roman" w:hAnsi="Times New Roman"/>
          <w:color w:val="000000"/>
          <w:sz w:val="24"/>
          <w:szCs w:val="24"/>
        </w:rPr>
        <w:t>, Mn</w:t>
      </w:r>
      <w:r>
        <w:rPr>
          <w:rFonts w:ascii="Times New Roman" w:hAnsi="Times New Roman"/>
          <w:color w:val="000000"/>
          <w:sz w:val="24"/>
          <w:szCs w:val="24"/>
          <w:vertAlign w:val="superscript"/>
        </w:rPr>
        <w:t xml:space="preserve"> 2+ </w:t>
      </w:r>
      <w:r>
        <w:rPr>
          <w:rFonts w:ascii="Times New Roman" w:hAnsi="Times New Roman"/>
          <w:color w:val="000000"/>
          <w:sz w:val="24"/>
          <w:szCs w:val="24"/>
        </w:rPr>
        <w:t>,</w:t>
      </w:r>
      <w:r>
        <w:rPr>
          <w:rFonts w:ascii="Times New Roman" w:hAnsi="Times New Roman"/>
          <w:color w:val="000000"/>
          <w:sz w:val="24"/>
          <w:szCs w:val="24"/>
          <w:vertAlign w:val="superscript"/>
        </w:rPr>
        <w:t xml:space="preserve"> </w:t>
      </w:r>
      <w:r>
        <w:rPr>
          <w:rFonts w:ascii="Times New Roman" w:hAnsi="Times New Roman"/>
          <w:color w:val="000000"/>
          <w:sz w:val="24"/>
          <w:szCs w:val="24"/>
        </w:rPr>
        <w:t>Total C, total N (AOAC, 2005</w:t>
      </w:r>
      <w:bookmarkStart w:id="38" w:name="_Toc132200951"/>
      <w:r>
        <w:rPr>
          <w:rFonts w:ascii="Times New Roman" w:hAnsi="Times New Roman"/>
          <w:color w:val="000000"/>
          <w:sz w:val="24"/>
          <w:szCs w:val="24"/>
        </w:rPr>
        <w:t>).</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3.4.1</w:t>
      </w:r>
      <w:r>
        <w:rPr>
          <w:rFonts w:ascii="Times New Roman" w:hAnsi="Times New Roman"/>
          <w:b/>
          <w:sz w:val="24"/>
          <w:szCs w:val="24"/>
        </w:rPr>
        <w:tab/>
      </w:r>
      <w:r>
        <w:rPr>
          <w:rFonts w:ascii="Times New Roman" w:hAnsi="Times New Roman"/>
          <w:b/>
          <w:sz w:val="24"/>
          <w:szCs w:val="24"/>
        </w:rPr>
        <w:t>pH Measurement</w:t>
      </w:r>
      <w:bookmarkEnd w:id="38"/>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pH Meter was calibrated by switching on the pH meter and allowed to warm for 5 minutes. The pH meter was first standardized with pH buffer solutions of pH 4, pH 7 and pH 9 to ensure the sensitivity and accuracy of the meter. This was done by dipping the electrode of the meter into the respective buffer solutions with thorough rinsing after each dipping.</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pH of sample was taken by dipping the same electrode after thorough rinsing in distilled water into the sample solutions and pH values consequently rea</w:t>
      </w:r>
      <w:bookmarkStart w:id="39" w:name="_Toc132200952"/>
      <w:r>
        <w:rPr>
          <w:rFonts w:ascii="Times New Roman" w:hAnsi="Times New Roman"/>
          <w:color w:val="000000"/>
          <w:sz w:val="24"/>
          <w:szCs w:val="24"/>
        </w:rPr>
        <w:t>dout on the meter readout unit.</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3.4.2</w:t>
      </w:r>
      <w:r>
        <w:rPr>
          <w:rFonts w:ascii="Times New Roman" w:hAnsi="Times New Roman"/>
          <w:b/>
          <w:sz w:val="24"/>
          <w:szCs w:val="24"/>
        </w:rPr>
        <w:tab/>
      </w:r>
      <w:r>
        <w:rPr>
          <w:rFonts w:ascii="Times New Roman" w:hAnsi="Times New Roman"/>
          <w:b/>
          <w:sz w:val="24"/>
          <w:szCs w:val="24"/>
        </w:rPr>
        <w:t>Determination of Mineral Element Calcium</w:t>
      </w:r>
      <w:bookmarkEnd w:id="39"/>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One gram each of the soil samples were weighed into a 250ml Erlenmeyer flask, 5ml of concentrated nitric acid, 10ml of perchloric acid and few glass beads were added to each of the soil sample. The sample was heated slowly on a hot plate to the lowest volume. Heating continued until the digestion is completed as shown by a clear solution with the acid. After this, the digested were made ready for reading of concentration of Calcium on the Jenway Digital Flame Photometer (PFP7 Model) using the filter corresponding to each mineral element.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concentration of each of the element was calculated using the formula:</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 %Ca = </w:t>
      </w:r>
      <w:r>
        <w:rPr>
          <w:rFonts w:ascii="Times New Roman" w:hAnsi="Times New Roman"/>
          <w:color w:val="000000"/>
          <w:sz w:val="24"/>
          <w:szCs w:val="24"/>
          <w:u w:val="single"/>
        </w:rPr>
        <w:t xml:space="preserve">    Meter Reading(MR) x Slope x Dilution factor </w:t>
      </w:r>
    </w:p>
    <w:p>
      <w:pPr>
        <w:spacing w:after="120" w:line="480" w:lineRule="auto"/>
        <w:jc w:val="both"/>
        <w:rPr>
          <w:rFonts w:ascii="Times New Roman" w:hAnsi="Times New Roman"/>
          <w:color w:val="000000"/>
          <w:sz w:val="24"/>
          <w:szCs w:val="24"/>
          <w:u w:val="single"/>
        </w:rPr>
      </w:pPr>
      <w:r>
        <w:rPr>
          <w:rFonts w:ascii="Times New Roman" w:hAnsi="Times New Roman"/>
          <w:color w:val="000000"/>
          <w:sz w:val="24"/>
          <w:szCs w:val="24"/>
        </w:rPr>
        <w:t xml:space="preserve">                                            1000</w:t>
      </w:r>
      <w:r>
        <w:rPr>
          <w:rFonts w:ascii="Times New Roman" w:hAnsi="Times New Roman"/>
          <w:color w:val="000000"/>
          <w:sz w:val="24"/>
          <w:szCs w:val="24"/>
          <w:u w:val="single"/>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NB: MR x slope x dilution factor will give you the concentration in part per million (ppm or mg/kg). You get concentration</w:t>
      </w:r>
      <w:bookmarkStart w:id="40" w:name="_Toc132200953"/>
      <w:r>
        <w:rPr>
          <w:rFonts w:ascii="Times New Roman" w:hAnsi="Times New Roman"/>
          <w:color w:val="000000"/>
          <w:sz w:val="24"/>
          <w:szCs w:val="24"/>
        </w:rPr>
        <w:t xml:space="preserve"> in % when you divide by 10000.</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3.4.3</w:t>
      </w:r>
      <w:r>
        <w:rPr>
          <w:rFonts w:ascii="Times New Roman" w:hAnsi="Times New Roman"/>
          <w:b/>
          <w:sz w:val="24"/>
          <w:szCs w:val="24"/>
        </w:rPr>
        <w:tab/>
      </w:r>
      <w:r>
        <w:rPr>
          <w:rFonts w:ascii="Times New Roman" w:hAnsi="Times New Roman"/>
          <w:b/>
          <w:sz w:val="24"/>
          <w:szCs w:val="24"/>
        </w:rPr>
        <w:t xml:space="preserve">Determination of Mg </w:t>
      </w:r>
      <w:r>
        <w:rPr>
          <w:rFonts w:ascii="Times New Roman" w:hAnsi="Times New Roman"/>
          <w:b/>
          <w:sz w:val="24"/>
          <w:szCs w:val="24"/>
          <w:vertAlign w:val="superscript"/>
        </w:rPr>
        <w:t>2+</w:t>
      </w:r>
      <w:r>
        <w:rPr>
          <w:rFonts w:ascii="Times New Roman" w:hAnsi="Times New Roman"/>
          <w:b/>
          <w:sz w:val="24"/>
          <w:szCs w:val="24"/>
        </w:rPr>
        <w:t>, Mo</w:t>
      </w:r>
      <w:r>
        <w:rPr>
          <w:rFonts w:ascii="Times New Roman" w:hAnsi="Times New Roman"/>
          <w:b/>
          <w:sz w:val="24"/>
          <w:szCs w:val="24"/>
          <w:vertAlign w:val="superscript"/>
        </w:rPr>
        <w:t xml:space="preserve"> 6+</w:t>
      </w:r>
      <w:r>
        <w:rPr>
          <w:rFonts w:ascii="Times New Roman" w:hAnsi="Times New Roman"/>
          <w:b/>
          <w:sz w:val="24"/>
          <w:szCs w:val="24"/>
        </w:rPr>
        <w:t xml:space="preserve">, Al </w:t>
      </w:r>
      <w:r>
        <w:rPr>
          <w:rFonts w:ascii="Times New Roman" w:hAnsi="Times New Roman"/>
          <w:b/>
          <w:sz w:val="24"/>
          <w:szCs w:val="24"/>
          <w:vertAlign w:val="superscript"/>
        </w:rPr>
        <w:t xml:space="preserve">3+ </w:t>
      </w:r>
      <w:r>
        <w:rPr>
          <w:rFonts w:ascii="Times New Roman" w:hAnsi="Times New Roman"/>
          <w:b/>
          <w:sz w:val="24"/>
          <w:szCs w:val="24"/>
        </w:rPr>
        <w:t>, Cu</w:t>
      </w:r>
      <w:r>
        <w:rPr>
          <w:rFonts w:ascii="Times New Roman" w:hAnsi="Times New Roman"/>
          <w:b/>
          <w:sz w:val="24"/>
          <w:szCs w:val="24"/>
          <w:vertAlign w:val="superscript"/>
        </w:rPr>
        <w:t xml:space="preserve"> 2+ </w:t>
      </w:r>
      <w:r>
        <w:rPr>
          <w:rFonts w:ascii="Times New Roman" w:hAnsi="Times New Roman"/>
          <w:b/>
          <w:sz w:val="24"/>
          <w:szCs w:val="24"/>
        </w:rPr>
        <w:t>, Mn</w:t>
      </w:r>
      <w:r>
        <w:rPr>
          <w:rFonts w:ascii="Times New Roman" w:hAnsi="Times New Roman"/>
          <w:b/>
          <w:sz w:val="24"/>
          <w:szCs w:val="24"/>
          <w:vertAlign w:val="superscript"/>
        </w:rPr>
        <w:t xml:space="preserve"> 2+ </w:t>
      </w:r>
      <w:r>
        <w:rPr>
          <w:rFonts w:ascii="Times New Roman" w:hAnsi="Times New Roman"/>
          <w:b/>
          <w:sz w:val="24"/>
          <w:szCs w:val="24"/>
        </w:rPr>
        <w:t xml:space="preserve"> Using Buck 200 AAS</w:t>
      </w:r>
      <w:bookmarkEnd w:id="40"/>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Each sample's contents, including calcium and others, were washed into a 100ml volumetric flask with either deionized or distilled water and brought to the desired volume. This solution was then drawn into the Buck 200 Atomic Absorption Spectrophotometer (AAS) through a suction tube. Each specific trace mineral element was read at its corresponding wavelength using appropriate fuel and oxidant combinations, and the readings were taken with their respective hollow cathode lamps.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meter reading for each element will be used to calculate for the concentration of each element using the formula:</w:t>
      </w:r>
    </w:p>
    <w:p>
      <w:pPr>
        <w:spacing w:after="120" w:line="480" w:lineRule="auto"/>
        <w:jc w:val="both"/>
        <w:rPr>
          <w:rFonts w:ascii="Times New Roman" w:hAnsi="Times New Roman"/>
          <w:bCs/>
          <w:color w:val="000000"/>
          <w:sz w:val="24"/>
          <w:szCs w:val="24"/>
        </w:rPr>
      </w:pPr>
      <w:r>
        <w:rPr>
          <w:rFonts w:ascii="Times New Roman" w:hAnsi="Times New Roman"/>
          <w:bCs/>
          <w:color w:val="000000"/>
          <w:sz w:val="24"/>
          <w:szCs w:val="24"/>
        </w:rPr>
        <w:t xml:space="preserve"> Ppm or mg/kg (any of the elements) = Meter reading x Slope or Gradient x dilution factor.</w:t>
      </w:r>
    </w:p>
    <w:p>
      <w:pPr>
        <w:spacing w:after="120" w:line="480" w:lineRule="auto"/>
        <w:jc w:val="both"/>
        <w:rPr>
          <w:rFonts w:ascii="Times New Roman" w:hAnsi="Times New Roman"/>
          <w:bCs/>
          <w:color w:val="000000"/>
          <w:sz w:val="24"/>
          <w:szCs w:val="24"/>
        </w:rPr>
      </w:pPr>
      <w:r>
        <w:rPr>
          <w:rFonts w:ascii="Times New Roman" w:hAnsi="Times New Roman"/>
          <w:bCs/>
          <w:color w:val="000000"/>
          <w:sz w:val="24"/>
          <w:szCs w:val="24"/>
        </w:rPr>
        <w:t>% (any of the elements) = ppm or mg/kg divided by 10000</w:t>
      </w:r>
    </w:p>
    <w:p>
      <w:pPr>
        <w:spacing w:after="120" w:line="480" w:lineRule="auto"/>
        <w:jc w:val="both"/>
        <w:rPr>
          <w:rFonts w:ascii="Times New Roman" w:hAnsi="Times New Roman"/>
          <w:bCs/>
          <w:color w:val="000000"/>
          <w:sz w:val="24"/>
          <w:szCs w:val="24"/>
        </w:rPr>
      </w:pPr>
      <w:r>
        <w:rPr>
          <w:rFonts w:ascii="Times New Roman" w:hAnsi="Times New Roman"/>
          <w:b/>
          <w:bCs/>
          <w:color w:val="000000"/>
          <w:sz w:val="24"/>
          <w:szCs w:val="24"/>
        </w:rPr>
        <w:t>3.4.4</w:t>
      </w:r>
      <w:r>
        <w:rPr>
          <w:rFonts w:ascii="Times New Roman" w:hAnsi="Times New Roman"/>
          <w:b/>
          <w:bCs/>
          <w:color w:val="000000"/>
          <w:sz w:val="24"/>
          <w:szCs w:val="24"/>
        </w:rPr>
        <w:tab/>
      </w:r>
      <w:r>
        <w:rPr>
          <w:rFonts w:ascii="Times New Roman" w:hAnsi="Times New Roman"/>
          <w:b/>
          <w:bCs/>
          <w:color w:val="000000"/>
          <w:sz w:val="24"/>
          <w:szCs w:val="24"/>
        </w:rPr>
        <w:t>Total Organic Carbon and Total Organic Matter</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organic carbon and organic matter was determined by the wet oxidation method of Walkley and Black (1934) and Jackson (1958). 1g of the sample was utilised by pipetting 10ml of K</w:t>
      </w:r>
      <w:r>
        <w:rPr>
          <w:rFonts w:ascii="Times New Roman" w:hAnsi="Times New Roman"/>
          <w:color w:val="000000"/>
          <w:sz w:val="24"/>
          <w:szCs w:val="24"/>
          <w:vertAlign w:val="subscript"/>
        </w:rPr>
        <w:t>2</w:t>
      </w:r>
      <w:r>
        <w:rPr>
          <w:rFonts w:ascii="Times New Roman" w:hAnsi="Times New Roman"/>
          <w:color w:val="000000"/>
          <w:sz w:val="24"/>
          <w:szCs w:val="24"/>
        </w:rPr>
        <w:t>Cr</w:t>
      </w:r>
      <w:r>
        <w:rPr>
          <w:rFonts w:ascii="Times New Roman" w:hAnsi="Times New Roman"/>
          <w:color w:val="000000"/>
          <w:sz w:val="24"/>
          <w:szCs w:val="24"/>
          <w:vertAlign w:val="subscript"/>
        </w:rPr>
        <w:t>2</w:t>
      </w:r>
      <w:r>
        <w:rPr>
          <w:rFonts w:ascii="Times New Roman" w:hAnsi="Times New Roman"/>
          <w:color w:val="000000"/>
          <w:sz w:val="24"/>
          <w:szCs w:val="24"/>
        </w:rPr>
        <w:t>O</w:t>
      </w:r>
      <w:r>
        <w:rPr>
          <w:rFonts w:ascii="Times New Roman" w:hAnsi="Times New Roman"/>
          <w:color w:val="000000"/>
          <w:sz w:val="24"/>
          <w:szCs w:val="24"/>
          <w:vertAlign w:val="subscript"/>
        </w:rPr>
        <w:t xml:space="preserve">7 </w:t>
      </w:r>
      <w:r>
        <w:rPr>
          <w:rFonts w:ascii="Times New Roman" w:hAnsi="Times New Roman"/>
          <w:color w:val="000000"/>
          <w:sz w:val="24"/>
          <w:szCs w:val="24"/>
        </w:rPr>
        <w:t>solution to the sample inside the flask. 20ml of concentrated H</w:t>
      </w:r>
      <w:r>
        <w:rPr>
          <w:rFonts w:ascii="Times New Roman" w:hAnsi="Times New Roman"/>
          <w:color w:val="000000"/>
          <w:sz w:val="24"/>
          <w:szCs w:val="24"/>
          <w:vertAlign w:val="subscript"/>
        </w:rPr>
        <w:t>2</w:t>
      </w:r>
      <w:r>
        <w:rPr>
          <w:rFonts w:ascii="Times New Roman" w:hAnsi="Times New Roman"/>
          <w:color w:val="000000"/>
          <w:sz w:val="24"/>
          <w:szCs w:val="24"/>
        </w:rPr>
        <w:t>SO</w:t>
      </w:r>
      <w:r>
        <w:rPr>
          <w:rFonts w:ascii="Times New Roman" w:hAnsi="Times New Roman"/>
          <w:color w:val="000000"/>
          <w:sz w:val="24"/>
          <w:szCs w:val="24"/>
          <w:vertAlign w:val="subscript"/>
        </w:rPr>
        <w:t>4</w:t>
      </w:r>
      <w:r>
        <w:rPr>
          <w:rFonts w:ascii="Times New Roman" w:hAnsi="Times New Roman"/>
          <w:color w:val="000000"/>
          <w:sz w:val="24"/>
          <w:szCs w:val="24"/>
        </w:rPr>
        <w:t xml:space="preserve"> was added instantly, mixed and shaken vigorously and allowed to remain for 30mins until it cooled. Another 100ml of distilled water was added, later 4 drops of ferroin indicator was added and titration was done with ferrous ammonium sulphate till the colour change to maroon.</w:t>
      </w:r>
    </w:p>
    <w:p>
      <w:pPr>
        <w:spacing w:after="120" w:line="480" w:lineRule="auto"/>
        <w:ind w:firstLine="720"/>
        <w:jc w:val="both"/>
        <w:rPr>
          <w:rFonts w:ascii="Times New Roman" w:hAnsi="Times New Roman"/>
          <w:color w:val="000000"/>
          <w:sz w:val="24"/>
          <w:szCs w:val="24"/>
        </w:rPr>
      </w:pPr>
      <w:r>
        <w:rPr>
          <w:rFonts w:ascii="Times New Roman" w:hAnsi="Times New Roman"/>
          <w:color w:val="000000"/>
          <w:sz w:val="24"/>
          <w:szCs w:val="24"/>
        </w:rPr>
        <w:t>Percentage organic carbon is obtained as;</w:t>
      </w:r>
    </w:p>
    <w:p>
      <w:pPr>
        <w:spacing w:after="120" w:line="480" w:lineRule="auto"/>
        <w:ind w:firstLine="720"/>
        <w:jc w:val="both"/>
        <w:rPr>
          <w:rFonts w:ascii="Times New Roman" w:hAnsi="Times New Roman"/>
          <w:color w:val="000000"/>
          <w:sz w:val="24"/>
          <w:szCs w:val="24"/>
        </w:rPr>
      </w:pPr>
      <w:r>
        <w:rPr>
          <w:rFonts w:ascii="Times New Roman" w:hAnsi="Times New Roman"/>
          <w:color w:val="000000"/>
          <w:sz w:val="24"/>
          <w:szCs w:val="24"/>
        </w:rPr>
        <w:t>% organic carbon= (B-S) ×0.4N×0.003×100×F×mass of sample</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Where B is a constant called the blank=28.1</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           S = titre value</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           N = normality of the solution</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           F </w:t>
      </w:r>
      <w:bookmarkStart w:id="41" w:name="_Toc132200954"/>
      <w:r>
        <w:rPr>
          <w:rFonts w:ascii="Times New Roman" w:hAnsi="Times New Roman"/>
          <w:color w:val="000000"/>
          <w:sz w:val="24"/>
          <w:szCs w:val="24"/>
        </w:rPr>
        <w:t>(correction factor) = 1.33</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3.4.5</w:t>
      </w:r>
      <w:r>
        <w:rPr>
          <w:rFonts w:ascii="Times New Roman" w:hAnsi="Times New Roman"/>
          <w:b/>
          <w:sz w:val="24"/>
          <w:szCs w:val="24"/>
        </w:rPr>
        <w:tab/>
      </w:r>
      <w:r>
        <w:rPr>
          <w:rFonts w:ascii="Times New Roman" w:hAnsi="Times New Roman"/>
          <w:b/>
          <w:sz w:val="24"/>
          <w:szCs w:val="24"/>
        </w:rPr>
        <w:t>Crude Protein Determination (AOAC OFFICIAL METHOD 988.05 )</w:t>
      </w:r>
      <w:bookmarkEnd w:id="41"/>
    </w:p>
    <w:p>
      <w:pPr>
        <w:spacing w:after="120" w:line="480" w:lineRule="auto"/>
        <w:jc w:val="both"/>
        <w:rPr>
          <w:rFonts w:ascii="Times New Roman" w:hAnsi="Times New Roman"/>
          <w:color w:val="000000"/>
          <w:sz w:val="24"/>
          <w:szCs w:val="24"/>
        </w:rPr>
      </w:pPr>
      <w:bookmarkStart w:id="42" w:name="_Toc132200955"/>
      <w:r>
        <w:rPr>
          <w:rFonts w:ascii="Times New Roman" w:hAnsi="Times New Roman"/>
          <w:color w:val="000000"/>
          <w:sz w:val="24"/>
          <w:szCs w:val="24"/>
        </w:rPr>
        <w:t>The crude protein content in the sample was determined using the routine semi-micro Kjeldahl procedure (AOAC, 2005), which involves three analytical techniques: Digestion, Distillation, and Titration.</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Equipment: Analytical Balance, Digestion Tubes, Digestion Block Heaters, 50ml Burette, 5ml Pipette, 10ml Pipette, 10ml Measuring Cylinder, 100ml Beakers, Fume Cupboard.</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Reagents: Concentrated H2SO4, 0.01N HCl, 40% (W/V) NaOH, 2% Boric Acid Solution, Methyl Red – Bromocresol green mixed indicator, Kjeldahl Catalyst tablet.</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3.4.5.1</w:t>
      </w:r>
      <w:r>
        <w:rPr>
          <w:rFonts w:ascii="Times New Roman" w:hAnsi="Times New Roman"/>
          <w:b/>
          <w:sz w:val="24"/>
          <w:szCs w:val="24"/>
        </w:rPr>
        <w:tab/>
      </w:r>
      <w:r>
        <w:rPr>
          <w:rFonts w:ascii="Times New Roman" w:hAnsi="Times New Roman"/>
          <w:b/>
          <w:sz w:val="24"/>
          <w:szCs w:val="24"/>
        </w:rPr>
        <w:t>Digestion</w:t>
      </w:r>
      <w:bookmarkEnd w:id="42"/>
    </w:p>
    <w:p>
      <w:pPr>
        <w:spacing w:after="120" w:line="480" w:lineRule="auto"/>
        <w:jc w:val="both"/>
        <w:rPr>
          <w:rFonts w:ascii="Times New Roman" w:hAnsi="Times New Roman"/>
          <w:color w:val="000000"/>
          <w:sz w:val="24"/>
          <w:szCs w:val="24"/>
        </w:rPr>
      </w:pPr>
      <w:bookmarkStart w:id="43" w:name="_Toc132200956"/>
      <w:r>
        <w:rPr>
          <w:rFonts w:ascii="Times New Roman" w:hAnsi="Times New Roman"/>
          <w:color w:val="000000"/>
          <w:sz w:val="24"/>
          <w:szCs w:val="24"/>
        </w:rPr>
        <w:t>0.5g of each finely ground dried sample was meticulously weighed and placed into the Kjeldahl digestion tubes, ensuring that all the sample material settled at the bottom of the tubes. To this, 1 Kjeldahl catalyst tablet and 10ml of concentrated H2SO4 were added. The tubes were then placed in the appropriate holes of the Digestion Block Heaters, which were located in a fume cupboard. The digestion process was allowed to proceed for 4 hours, resulting in a clear and colorless solution in the tubes. After the digestion, the solution was cooled and carefully transferred into a 100ml volumetric flask, ensuring thorough rinsing of the digestion tube with distilled water. The flask was then filled to the mark with distilled water.</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3.4.5.2</w:t>
      </w:r>
      <w:r>
        <w:rPr>
          <w:rFonts w:ascii="Times New Roman" w:hAnsi="Times New Roman"/>
          <w:b/>
          <w:sz w:val="24"/>
          <w:szCs w:val="24"/>
        </w:rPr>
        <w:tab/>
      </w:r>
      <w:r>
        <w:rPr>
          <w:rFonts w:ascii="Times New Roman" w:hAnsi="Times New Roman"/>
          <w:b/>
          <w:sz w:val="24"/>
          <w:szCs w:val="24"/>
        </w:rPr>
        <w:t>Distillation</w:t>
      </w:r>
      <w:bookmarkEnd w:id="43"/>
    </w:p>
    <w:p>
      <w:pPr>
        <w:spacing w:after="120" w:line="480" w:lineRule="auto"/>
        <w:jc w:val="both"/>
        <w:rPr>
          <w:rFonts w:ascii="Times New Roman" w:hAnsi="Times New Roman"/>
          <w:color w:val="000000"/>
          <w:sz w:val="24"/>
          <w:szCs w:val="24"/>
        </w:rPr>
      </w:pPr>
      <w:bookmarkStart w:id="44" w:name="_Toc132200957"/>
      <w:r>
        <w:rPr>
          <w:rFonts w:ascii="Times New Roman" w:hAnsi="Times New Roman"/>
          <w:color w:val="000000"/>
          <w:sz w:val="24"/>
          <w:szCs w:val="24"/>
        </w:rPr>
        <w:t>The distillation process was conducted using the Markham Distillation Apparatus, which enables the complete collection of volatile substances like ammonia through steam distillation. Initially, the apparatus was steamed out for approximately ten minutes to prepare it. The steam generator was then detached from the heat source to create a vacuum for removing condensed water. Afterward, the steam generator was placed back on the heat source (heating mantle), and each component of the apparatus was appropriately assembled and set up for the distillation process.</w:t>
      </w:r>
    </w:p>
    <w:p>
      <w:pPr>
        <w:spacing w:after="120" w:line="480" w:lineRule="auto"/>
        <w:jc w:val="both"/>
        <w:rPr>
          <w:rFonts w:ascii="Times New Roman" w:hAnsi="Times New Roman"/>
          <w:b/>
          <w:color w:val="000000"/>
          <w:sz w:val="24"/>
          <w:szCs w:val="24"/>
        </w:rPr>
      </w:pPr>
      <w:r>
        <w:rPr>
          <w:rFonts w:ascii="Times New Roman" w:hAnsi="Times New Roman"/>
          <w:b/>
          <w:sz w:val="24"/>
          <w:szCs w:val="24"/>
        </w:rPr>
        <w:t>Determination</w:t>
      </w:r>
      <w:bookmarkEnd w:id="44"/>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 </w:t>
      </w:r>
      <w:bookmarkStart w:id="45" w:name="_Toc132200958"/>
      <w:r>
        <w:rPr>
          <w:rFonts w:ascii="Times New Roman" w:hAnsi="Times New Roman"/>
          <w:color w:val="000000"/>
          <w:sz w:val="24"/>
          <w:szCs w:val="24"/>
        </w:rPr>
        <w:t>A 5ml aliquot of the aforementioned digest was carefully pipetted into the apparatus through the small funnel aperture. Then, 5ml of 40% (W/V) NaOH was added through the same opening using the 5ml pipette. The mixture was subjected to steam distillation for 2 minutes, with the distillate collected in a 50ml conical flask containing 10ml of 2% Boric Acid plus mixed indicator solution placed at the condenser's receiving tip. The change in color of the Boric Acid plus indicator solution from red to green indicated that all the liberated ammonia had been effectively trapped.</w:t>
      </w:r>
    </w:p>
    <w:p>
      <w:pPr>
        <w:spacing w:after="120" w:line="480" w:lineRule="auto"/>
        <w:jc w:val="both"/>
        <w:rPr>
          <w:rFonts w:ascii="Times New Roman" w:hAnsi="Times New Roman"/>
          <w:b/>
          <w:color w:val="000000"/>
          <w:sz w:val="24"/>
          <w:szCs w:val="24"/>
        </w:rPr>
      </w:pPr>
      <w:r>
        <w:rPr>
          <w:rFonts w:ascii="Times New Roman" w:hAnsi="Times New Roman"/>
          <w:b/>
          <w:sz w:val="24"/>
          <w:szCs w:val="24"/>
        </w:rPr>
        <w:t>3.4.5.3</w:t>
      </w:r>
      <w:r>
        <w:rPr>
          <w:rFonts w:ascii="Times New Roman" w:hAnsi="Times New Roman"/>
          <w:b/>
          <w:sz w:val="24"/>
          <w:szCs w:val="24"/>
        </w:rPr>
        <w:tab/>
      </w:r>
      <w:r>
        <w:rPr>
          <w:rFonts w:ascii="Times New Roman" w:hAnsi="Times New Roman"/>
          <w:b/>
          <w:sz w:val="24"/>
          <w:szCs w:val="24"/>
        </w:rPr>
        <w:t>Titration</w:t>
      </w:r>
      <w:bookmarkEnd w:id="45"/>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green solution obtained was subsequently titrated against 0.01N HCl using a 50ml Burette. At the endpoint or equivalent point, the green color changed to a wine color, indicating that all the nitrogen trapped as Ammonium Borate [(NH4)2BO3] had been converted to Ammonium chloride (NH4Cl) and removed.</w:t>
      </w:r>
    </w:p>
    <w:p>
      <w:pPr>
        <w:spacing w:after="120" w:line="480" w:lineRule="auto"/>
        <w:ind w:firstLine="720"/>
        <w:jc w:val="both"/>
        <w:rPr>
          <w:rFonts w:ascii="Times New Roman" w:hAnsi="Times New Roman"/>
          <w:color w:val="000000"/>
          <w:sz w:val="24"/>
          <w:szCs w:val="24"/>
        </w:rPr>
      </w:pPr>
      <w:r>
        <w:rPr>
          <w:rFonts w:ascii="Times New Roman" w:hAnsi="Times New Roman"/>
          <w:color w:val="000000"/>
          <w:sz w:val="24"/>
          <w:szCs w:val="24"/>
        </w:rPr>
        <w:t>The percentage nitrogen in this analysis was calculated using the formula:</w:t>
      </w:r>
    </w:p>
    <w:p>
      <w:pPr>
        <w:spacing w:after="120" w:line="480" w:lineRule="auto"/>
        <w:ind w:firstLine="720"/>
        <w:jc w:val="both"/>
        <w:rPr>
          <w:rFonts w:ascii="Times New Roman" w:hAnsi="Times New Roman"/>
          <w:color w:val="000000"/>
          <w:sz w:val="24"/>
          <w:szCs w:val="24"/>
        </w:rPr>
      </w:pPr>
      <w:r>
        <w:rPr>
          <w:rFonts w:ascii="Times New Roman" w:hAnsi="Times New Roman"/>
          <w:color w:val="000000"/>
          <w:sz w:val="24"/>
          <w:szCs w:val="24"/>
        </w:rPr>
        <w:t>% N = Titre value x Atomic mass of Nitrogen x Normality of HCL used x 4</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      or   % N = Titre value x Normality/Molarity of HCL used x Atomic mass of </w:t>
      </w:r>
    </w:p>
    <w:p>
      <w:pPr>
        <w:spacing w:after="120" w:line="480" w:lineRule="auto"/>
        <w:jc w:val="both"/>
        <w:rPr>
          <w:rFonts w:ascii="Times New Roman" w:hAnsi="Times New Roman"/>
          <w:color w:val="000000"/>
          <w:sz w:val="24"/>
          <w:szCs w:val="24"/>
          <w:u w:val="single"/>
        </w:rPr>
      </w:pP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N x Volume of flask containing the digest x </w:t>
      </w:r>
      <w:r>
        <w:rPr>
          <w:rFonts w:ascii="Times New Roman" w:hAnsi="Times New Roman"/>
          <w:color w:val="000000"/>
          <w:sz w:val="24"/>
          <w:szCs w:val="24"/>
          <w:u w:val="single"/>
        </w:rPr>
        <w:t>100</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 1</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Weight of sample digested in milligram x Vol. of digest for steam distillation. The crude protein content is determined by multiplying percentage Nitrogen by a constant factor of 6.25 i.e. % CP = % N x 6.25.</w:t>
      </w:r>
      <w:bookmarkStart w:id="46" w:name="_Toc132200959"/>
    </w:p>
    <w:p>
      <w:pPr>
        <w:spacing w:after="120" w:line="480" w:lineRule="auto"/>
        <w:jc w:val="both"/>
        <w:rPr>
          <w:rFonts w:ascii="Times New Roman" w:hAnsi="Times New Roman"/>
          <w:b/>
          <w:color w:val="000000"/>
          <w:sz w:val="24"/>
          <w:szCs w:val="24"/>
        </w:rPr>
      </w:pPr>
      <w:r>
        <w:rPr>
          <w:rFonts w:ascii="Times New Roman" w:hAnsi="Times New Roman"/>
          <w:b/>
          <w:sz w:val="24"/>
          <w:szCs w:val="24"/>
        </w:rPr>
        <w:t>3.5</w:t>
      </w:r>
      <w:r>
        <w:rPr>
          <w:rFonts w:ascii="Times New Roman" w:hAnsi="Times New Roman"/>
          <w:b/>
          <w:sz w:val="24"/>
          <w:szCs w:val="24"/>
        </w:rPr>
        <w:tab/>
      </w:r>
      <w:r>
        <w:rPr>
          <w:rFonts w:ascii="Times New Roman" w:hAnsi="Times New Roman"/>
          <w:b/>
          <w:sz w:val="24"/>
          <w:szCs w:val="24"/>
        </w:rPr>
        <w:t>Microbial Analyses</w:t>
      </w:r>
      <w:bookmarkEnd w:id="46"/>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lang w:val="en-GB"/>
        </w:rPr>
      </w:pPr>
      <w:r>
        <w:rPr>
          <w:rFonts w:ascii="Times New Roman" w:hAnsi="Times New Roman"/>
          <w:color w:val="000000"/>
          <w:sz w:val="24"/>
          <w:szCs w:val="24"/>
        </w:rPr>
        <w:t>Total heterotrophic plate count and total fungi count of each sample were determined using standard pour plate technique. Isolation of the following bacteria which help to maintain soil health will be carried</w:t>
      </w:r>
      <w:bookmarkStart w:id="47" w:name="_Toc132200960"/>
      <w:r>
        <w:rPr>
          <w:rFonts w:ascii="Times New Roman" w:hAnsi="Times New Roman"/>
          <w:color w:val="000000"/>
          <w:sz w:val="24"/>
          <w:szCs w:val="24"/>
        </w:rPr>
        <w:t xml:space="preserve"> following standard procedures: Cellulolytic bacteria, Nitrogen fixing bacteria, Phosphate solubilizing bacteria, Actinomycetes bacteria, Amylolytic bacteria, and Proteolytic, isolated by different formulated medias.</w:t>
      </w:r>
      <w:r>
        <w:rPr>
          <w:rFonts w:ascii="Times New Roman" w:hAnsi="Times New Roman"/>
          <w:color w:val="000000"/>
          <w:sz w:val="24"/>
          <w:szCs w:val="24"/>
          <w:lang w:val="en-GB"/>
        </w:rPr>
        <w:tab/>
      </w:r>
    </w:p>
    <w:bookmarkEnd w:id="47"/>
    <w:p>
      <w:pPr>
        <w:spacing w:after="120" w:line="480" w:lineRule="auto"/>
        <w:jc w:val="both"/>
        <w:rPr>
          <w:rFonts w:ascii="Times New Roman" w:hAnsi="Times New Roman"/>
          <w:b/>
          <w:color w:val="000000"/>
          <w:sz w:val="24"/>
          <w:szCs w:val="24"/>
        </w:rPr>
      </w:pPr>
      <w:bookmarkStart w:id="48" w:name="_Toc132200962"/>
      <w:r>
        <w:rPr>
          <w:rFonts w:ascii="Times New Roman" w:hAnsi="Times New Roman"/>
          <w:b/>
          <w:sz w:val="24"/>
          <w:szCs w:val="24"/>
        </w:rPr>
        <w:t>3.5.1</w:t>
      </w:r>
      <w:r>
        <w:rPr>
          <w:rFonts w:ascii="Times New Roman" w:hAnsi="Times New Roman"/>
          <w:b/>
          <w:sz w:val="24"/>
          <w:szCs w:val="24"/>
        </w:rPr>
        <w:tab/>
      </w:r>
      <w:r>
        <w:rPr>
          <w:rFonts w:ascii="Times New Roman" w:hAnsi="Times New Roman"/>
          <w:b/>
          <w:sz w:val="24"/>
          <w:szCs w:val="24"/>
        </w:rPr>
        <w:t xml:space="preserve">Total Heterotrophic and Fungal Isolation </w:t>
      </w:r>
      <w:r>
        <w:rPr>
          <w:rFonts w:ascii="Times New Roman" w:hAnsi="Times New Roman"/>
          <w:b/>
          <w:sz w:val="24"/>
          <w:szCs w:val="24"/>
        </w:rPr>
        <w:tab/>
      </w:r>
      <w:r>
        <w:rPr>
          <w:rFonts w:ascii="Times New Roman" w:hAnsi="Times New Roman"/>
          <w:b/>
          <w:sz w:val="24"/>
          <w:szCs w:val="24"/>
        </w:rPr>
        <w:tab/>
      </w:r>
    </w:p>
    <w:p>
      <w:pPr>
        <w:spacing w:after="120" w:line="480" w:lineRule="auto"/>
        <w:jc w:val="both"/>
        <w:rPr>
          <w:rFonts w:ascii="Times New Roman" w:hAnsi="Times New Roman"/>
          <w:color w:val="000000"/>
          <w:sz w:val="24"/>
          <w:szCs w:val="24"/>
          <w:lang w:val="en-GB"/>
        </w:rPr>
      </w:pPr>
      <w:r>
        <w:rPr>
          <w:rFonts w:ascii="Times New Roman" w:hAnsi="Times New Roman"/>
          <w:color w:val="000000"/>
          <w:sz w:val="24"/>
          <w:szCs w:val="24"/>
          <w:lang w:val="en-GB"/>
        </w:rPr>
        <w:t>One gram of each soil samples were weighed under sterile condition and mixed with 9ml of sterile distilled water and this was used to prepare dilutions from 10</w:t>
      </w:r>
      <w:r>
        <w:rPr>
          <w:rFonts w:ascii="Times New Roman" w:hAnsi="Times New Roman"/>
          <w:b/>
          <w:color w:val="000000"/>
          <w:sz w:val="24"/>
          <w:szCs w:val="24"/>
          <w:vertAlign w:val="superscript"/>
          <w:lang w:val="en-GB"/>
        </w:rPr>
        <w:t xml:space="preserve">-1 </w:t>
      </w:r>
      <w:r>
        <w:rPr>
          <w:rFonts w:ascii="Times New Roman" w:hAnsi="Times New Roman"/>
          <w:color w:val="000000"/>
          <w:sz w:val="24"/>
          <w:szCs w:val="24"/>
          <w:lang w:val="en-GB"/>
        </w:rPr>
        <w:t>to10</w:t>
      </w:r>
      <w:r>
        <w:rPr>
          <w:rFonts w:ascii="Times New Roman" w:hAnsi="Times New Roman"/>
          <w:b/>
          <w:color w:val="000000"/>
          <w:sz w:val="24"/>
          <w:szCs w:val="24"/>
          <w:vertAlign w:val="superscript"/>
          <w:lang w:val="en-GB"/>
        </w:rPr>
        <w:t>-6</w:t>
      </w:r>
      <w:r>
        <w:rPr>
          <w:rFonts w:ascii="Times New Roman" w:hAnsi="Times New Roman"/>
          <w:color w:val="000000"/>
          <w:sz w:val="24"/>
          <w:szCs w:val="24"/>
          <w:lang w:val="en-GB"/>
        </w:rPr>
        <w:t xml:space="preserve"> Appropriate dilutions were inoculated into sterile petri dishes on which molten Nutrient agar(NA) and potato dextrose agar (PDA) amended were added. The plates were left to solidify and incubated at 37± 2ºC for 24 </w:t>
      </w:r>
      <w:r>
        <w:rPr>
          <w:rFonts w:ascii="Times New Roman" w:hAnsi="Times New Roman"/>
          <w:b/>
          <w:color w:val="000000"/>
          <w:sz w:val="24"/>
          <w:szCs w:val="24"/>
          <w:lang w:val="en-GB"/>
        </w:rPr>
        <w:t xml:space="preserve">– </w:t>
      </w:r>
      <w:r>
        <w:rPr>
          <w:rFonts w:ascii="Times New Roman" w:hAnsi="Times New Roman"/>
          <w:color w:val="000000"/>
          <w:sz w:val="24"/>
          <w:szCs w:val="24"/>
          <w:lang w:val="en-GB"/>
        </w:rPr>
        <w:t>72 hour</w:t>
      </w:r>
      <w:r>
        <w:rPr>
          <w:rFonts w:ascii="Times New Roman" w:hAnsi="Times New Roman"/>
          <w:b/>
          <w:color w:val="000000"/>
          <w:sz w:val="24"/>
          <w:szCs w:val="24"/>
          <w:lang w:val="en-GB"/>
        </w:rPr>
        <w:t xml:space="preserve">s </w:t>
      </w:r>
      <w:r>
        <w:rPr>
          <w:rFonts w:ascii="Times New Roman" w:hAnsi="Times New Roman"/>
          <w:color w:val="000000"/>
          <w:sz w:val="24"/>
          <w:szCs w:val="24"/>
          <w:lang w:val="en-GB"/>
        </w:rPr>
        <w:t>until visible growth was observed from the plates. The bacterial and fungal colonies were subculture until pure cultu</w:t>
      </w:r>
      <w:bookmarkStart w:id="49" w:name="_Toc132200961"/>
      <w:r>
        <w:rPr>
          <w:rFonts w:ascii="Times New Roman" w:hAnsi="Times New Roman"/>
          <w:color w:val="000000"/>
          <w:sz w:val="24"/>
          <w:szCs w:val="24"/>
          <w:lang w:val="en-GB"/>
        </w:rPr>
        <w:t>re was obtained (purification).</w:t>
      </w:r>
    </w:p>
    <w:p>
      <w:pPr>
        <w:spacing w:after="120" w:line="480" w:lineRule="auto"/>
        <w:jc w:val="both"/>
        <w:rPr>
          <w:rFonts w:ascii="Times New Roman" w:hAnsi="Times New Roman"/>
          <w:b/>
          <w:color w:val="000000"/>
          <w:sz w:val="24"/>
          <w:szCs w:val="24"/>
          <w:lang w:val="en-GB"/>
        </w:rPr>
      </w:pPr>
      <w:r>
        <w:rPr>
          <w:rFonts w:ascii="Times New Roman" w:hAnsi="Times New Roman"/>
          <w:b/>
          <w:sz w:val="24"/>
          <w:szCs w:val="24"/>
        </w:rPr>
        <w:t>3.5.2</w:t>
      </w:r>
      <w:r>
        <w:rPr>
          <w:rFonts w:ascii="Times New Roman" w:hAnsi="Times New Roman"/>
          <w:b/>
          <w:sz w:val="24"/>
          <w:szCs w:val="24"/>
        </w:rPr>
        <w:tab/>
      </w:r>
      <w:r>
        <w:rPr>
          <w:rFonts w:ascii="Times New Roman" w:hAnsi="Times New Roman"/>
          <w:b/>
          <w:sz w:val="24"/>
          <w:szCs w:val="24"/>
        </w:rPr>
        <w:t>Identification of Fungi</w:t>
      </w:r>
      <w:bookmarkEnd w:id="49"/>
      <w:r>
        <w:rPr>
          <w:rFonts w:ascii="Times New Roman" w:hAnsi="Times New Roman"/>
          <w:b/>
          <w:sz w:val="24"/>
          <w:szCs w:val="24"/>
        </w:rPr>
        <w:t xml:space="preserve"> </w:t>
      </w:r>
    </w:p>
    <w:p>
      <w:pPr>
        <w:spacing w:after="120" w:line="480" w:lineRule="auto"/>
        <w:jc w:val="both"/>
        <w:rPr>
          <w:rFonts w:ascii="Times New Roman" w:hAnsi="Times New Roman"/>
          <w:color w:val="000000"/>
          <w:sz w:val="24"/>
          <w:szCs w:val="24"/>
          <w:lang w:val="en-GB"/>
        </w:rPr>
      </w:pPr>
      <w:r>
        <w:rPr>
          <w:rFonts w:ascii="Times New Roman" w:hAnsi="Times New Roman"/>
          <w:color w:val="000000"/>
          <w:sz w:val="24"/>
          <w:szCs w:val="24"/>
          <w:lang w:val="en-GB"/>
        </w:rPr>
        <w:t>The pure cultures of various isolated fungi were identified using structural features such as colony, colour, extent of growth, presence or absence of mycelia, spores and nature of colony surface. Discrete colonies were counted and reported as fungi count (cfu/g).</w:t>
      </w:r>
    </w:p>
    <w:p>
      <w:pPr>
        <w:spacing w:after="120" w:line="480" w:lineRule="auto"/>
        <w:jc w:val="both"/>
        <w:rPr>
          <w:rFonts w:ascii="Times New Roman" w:hAnsi="Times New Roman"/>
          <w:b/>
          <w:sz w:val="24"/>
          <w:szCs w:val="24"/>
        </w:rPr>
      </w:pPr>
      <w:r>
        <w:rPr>
          <w:rFonts w:ascii="Times New Roman" w:hAnsi="Times New Roman"/>
          <w:b/>
          <w:sz w:val="24"/>
          <w:szCs w:val="24"/>
        </w:rPr>
        <w:t>3.5.3</w:t>
      </w:r>
      <w:r>
        <w:rPr>
          <w:rFonts w:ascii="Times New Roman" w:hAnsi="Times New Roman"/>
          <w:b/>
          <w:sz w:val="24"/>
          <w:szCs w:val="24"/>
        </w:rPr>
        <w:tab/>
      </w:r>
      <w:bookmarkEnd w:id="48"/>
      <w:r>
        <w:rPr>
          <w:rFonts w:ascii="Times New Roman" w:hAnsi="Times New Roman"/>
          <w:b/>
          <w:sz w:val="24"/>
          <w:szCs w:val="24"/>
        </w:rPr>
        <w:t>Characterization of the Isolated Organisms</w:t>
      </w:r>
    </w:p>
    <w:p>
      <w:pPr>
        <w:spacing w:after="120" w:line="480" w:lineRule="auto"/>
        <w:jc w:val="both"/>
        <w:rPr>
          <w:rFonts w:ascii="Times New Roman" w:hAnsi="Times New Roman"/>
          <w:sz w:val="24"/>
          <w:szCs w:val="24"/>
        </w:rPr>
      </w:pPr>
      <w:r>
        <w:rPr>
          <w:rFonts w:ascii="Times New Roman" w:hAnsi="Times New Roman"/>
          <w:sz w:val="24"/>
          <w:szCs w:val="24"/>
        </w:rPr>
        <w:t>Characterization of the organisms was based on two criteria.</w:t>
      </w:r>
    </w:p>
    <w:p>
      <w:pPr>
        <w:numPr>
          <w:ilvl w:val="0"/>
          <w:numId w:val="6"/>
        </w:numPr>
        <w:spacing w:after="120" w:line="480" w:lineRule="auto"/>
        <w:contextualSpacing/>
        <w:jc w:val="both"/>
        <w:rPr>
          <w:rFonts w:ascii="Times New Roman" w:hAnsi="Times New Roman"/>
          <w:sz w:val="24"/>
          <w:szCs w:val="24"/>
        </w:rPr>
      </w:pPr>
      <w:r>
        <w:rPr>
          <w:rFonts w:ascii="Times New Roman" w:hAnsi="Times New Roman"/>
          <w:sz w:val="24"/>
          <w:szCs w:val="24"/>
        </w:rPr>
        <w:t>Cultural and Morphological characteristics of the colonies.</w:t>
      </w:r>
    </w:p>
    <w:p>
      <w:pPr>
        <w:numPr>
          <w:ilvl w:val="0"/>
          <w:numId w:val="6"/>
        </w:numPr>
        <w:spacing w:after="120" w:line="480" w:lineRule="auto"/>
        <w:contextualSpacing/>
        <w:jc w:val="both"/>
        <w:rPr>
          <w:rFonts w:ascii="Times New Roman" w:hAnsi="Times New Roman"/>
          <w:sz w:val="24"/>
          <w:szCs w:val="24"/>
        </w:rPr>
      </w:pPr>
      <w:r>
        <w:rPr>
          <w:rFonts w:ascii="Times New Roman" w:hAnsi="Times New Roman"/>
          <w:sz w:val="24"/>
          <w:szCs w:val="24"/>
        </w:rPr>
        <w:t>Biochemical characteristics.</w:t>
      </w:r>
    </w:p>
    <w:p>
      <w:pPr>
        <w:spacing w:after="120" w:line="480" w:lineRule="auto"/>
        <w:jc w:val="both"/>
        <w:rPr>
          <w:rFonts w:ascii="Times New Roman" w:hAnsi="Times New Roman"/>
          <w:sz w:val="24"/>
          <w:szCs w:val="24"/>
        </w:rPr>
      </w:pPr>
      <w:r>
        <w:rPr>
          <w:rFonts w:ascii="Times New Roman" w:hAnsi="Times New Roman"/>
          <w:sz w:val="24"/>
          <w:szCs w:val="24"/>
        </w:rPr>
        <w:t>All the isolates were cultured on the prepared medium in duplicates and incubated aerobically at 37</w:t>
      </w:r>
      <w:r>
        <w:rPr>
          <w:rFonts w:ascii="Times New Roman" w:hAnsi="Times New Roman"/>
          <w:sz w:val="24"/>
          <w:szCs w:val="24"/>
          <w:vertAlign w:val="superscript"/>
        </w:rPr>
        <w:t>0</w:t>
      </w:r>
      <w:r>
        <w:rPr>
          <w:rFonts w:ascii="Times New Roman" w:hAnsi="Times New Roman"/>
          <w:sz w:val="24"/>
          <w:szCs w:val="24"/>
        </w:rPr>
        <w:t>C. The colonies were observed on the agar medium plates while the cell morphology was observed microscopically after staining. Various biochemical tests were carried out on the bacterial isolates for possible identification. One millitre of broth culture of each isolate was used for all the tests except otherwise stated.</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The isolated Cellulolytic bacteria, Nitrogen fixing bacteria, Phosphate solubilizing bacteria and Actinomycetes organisms were first ,subjected to purification to obtain the individual pure culture, using differential media and few biochemical tests. These were then placed on nutrient broth for </w:t>
      </w:r>
      <w:bookmarkStart w:id="50" w:name="_Toc132200963"/>
      <w:r>
        <w:rPr>
          <w:rFonts w:ascii="Times New Roman" w:hAnsi="Times New Roman"/>
          <w:color w:val="000000"/>
          <w:sz w:val="24"/>
          <w:szCs w:val="24"/>
        </w:rPr>
        <w:t>the molecular characterization.</w:t>
      </w:r>
    </w:p>
    <w:p>
      <w:pPr>
        <w:spacing w:after="120" w:line="480" w:lineRule="auto"/>
        <w:jc w:val="both"/>
        <w:rPr>
          <w:rFonts w:ascii="Times New Roman" w:hAnsi="Times New Roman"/>
          <w:b/>
          <w:color w:val="000000"/>
          <w:sz w:val="24"/>
          <w:szCs w:val="24"/>
        </w:rPr>
      </w:pPr>
      <w:r>
        <w:rPr>
          <w:rFonts w:ascii="Times New Roman" w:hAnsi="Times New Roman"/>
          <w:b/>
          <w:sz w:val="24"/>
          <w:szCs w:val="24"/>
        </w:rPr>
        <w:t xml:space="preserve">3.5.4 </w:t>
      </w:r>
      <w:r>
        <w:rPr>
          <w:rFonts w:ascii="Times New Roman" w:hAnsi="Times New Roman"/>
          <w:b/>
          <w:sz w:val="24"/>
          <w:szCs w:val="24"/>
        </w:rPr>
        <w:tab/>
      </w:r>
      <w:r>
        <w:rPr>
          <w:rFonts w:ascii="Times New Roman" w:hAnsi="Times New Roman"/>
          <w:b/>
          <w:sz w:val="24"/>
          <w:szCs w:val="24"/>
        </w:rPr>
        <w:t>Genomic DNA Extraction Protocol for Bacteria</w:t>
      </w:r>
      <w:bookmarkEnd w:id="50"/>
    </w:p>
    <w:p>
      <w:pPr>
        <w:autoSpaceDE w:val="0"/>
        <w:autoSpaceDN w:val="0"/>
        <w:adjustRightInd w:val="0"/>
        <w:spacing w:after="120" w:line="480" w:lineRule="auto"/>
        <w:ind w:left="360"/>
        <w:jc w:val="both"/>
        <w:rPr>
          <w:rFonts w:ascii="Times New Roman" w:hAnsi="Times New Roman"/>
          <w:color w:val="000000"/>
          <w:sz w:val="24"/>
          <w:szCs w:val="24"/>
        </w:rPr>
      </w:pPr>
      <w:r>
        <w:rPr>
          <w:rFonts w:ascii="Times New Roman" w:hAnsi="Times New Roman"/>
          <w:color w:val="000000"/>
          <w:sz w:val="24"/>
          <w:szCs w:val="24"/>
        </w:rPr>
        <w:t>1.</w:t>
      </w:r>
      <w:r>
        <w:rPr>
          <w:rFonts w:ascii="Times New Roman" w:hAnsi="Times New Roman"/>
          <w:color w:val="000000"/>
          <w:sz w:val="24"/>
          <w:szCs w:val="24"/>
        </w:rPr>
        <w:tab/>
      </w:r>
      <w:r>
        <w:rPr>
          <w:rFonts w:ascii="Times New Roman" w:hAnsi="Times New Roman"/>
          <w:color w:val="000000"/>
          <w:sz w:val="24"/>
          <w:szCs w:val="24"/>
        </w:rPr>
        <w:t xml:space="preserve">Liquid cultures (1-3 mL) were spinned at 4600x </w:t>
      </w:r>
      <w:r>
        <w:rPr>
          <w:rFonts w:ascii="Times New Roman" w:hAnsi="Times New Roman"/>
          <w:i/>
          <w:iCs/>
          <w:color w:val="000000"/>
          <w:sz w:val="24"/>
          <w:szCs w:val="24"/>
        </w:rPr>
        <w:t xml:space="preserve">g </w:t>
      </w:r>
      <w:r>
        <w:rPr>
          <w:rFonts w:ascii="Times New Roman" w:hAnsi="Times New Roman"/>
          <w:color w:val="000000"/>
          <w:sz w:val="24"/>
          <w:szCs w:val="24"/>
        </w:rPr>
        <w:t xml:space="preserve">for 5 min. </w:t>
      </w:r>
    </w:p>
    <w:p>
      <w:pPr>
        <w:autoSpaceDE w:val="0"/>
        <w:autoSpaceDN w:val="0"/>
        <w:adjustRightInd w:val="0"/>
        <w:spacing w:after="120" w:line="480" w:lineRule="auto"/>
        <w:ind w:left="720" w:hanging="360"/>
        <w:jc w:val="both"/>
        <w:rPr>
          <w:rFonts w:ascii="Times New Roman" w:hAnsi="Times New Roman"/>
          <w:color w:val="000000"/>
          <w:sz w:val="24"/>
          <w:szCs w:val="24"/>
        </w:rPr>
      </w:pPr>
      <w:r>
        <w:rPr>
          <w:rFonts w:ascii="Times New Roman" w:hAnsi="Times New Roman"/>
          <w:color w:val="000000"/>
          <w:sz w:val="24"/>
          <w:szCs w:val="24"/>
        </w:rPr>
        <w:t>2.</w:t>
      </w:r>
      <w:r>
        <w:rPr>
          <w:rFonts w:ascii="Times New Roman" w:hAnsi="Times New Roman"/>
          <w:color w:val="000000"/>
          <w:sz w:val="24"/>
          <w:szCs w:val="24"/>
        </w:rPr>
        <w:tab/>
      </w:r>
      <w:r>
        <w:rPr>
          <w:rFonts w:ascii="Times New Roman" w:hAnsi="Times New Roman"/>
          <w:color w:val="000000"/>
          <w:sz w:val="24"/>
          <w:szCs w:val="24"/>
        </w:rPr>
        <w:t xml:space="preserve">The pellets that were obtained were reconstituted in 520 µl of TE buffer (10 mM Tris-HCl, 1 mM EDTA, pH 8.0). </w:t>
      </w:r>
    </w:p>
    <w:p>
      <w:pPr>
        <w:autoSpaceDE w:val="0"/>
        <w:autoSpaceDN w:val="0"/>
        <w:adjustRightInd w:val="0"/>
        <w:spacing w:after="120" w:line="480" w:lineRule="auto"/>
        <w:ind w:left="720" w:hanging="360"/>
        <w:jc w:val="both"/>
        <w:rPr>
          <w:rFonts w:ascii="Times New Roman" w:hAnsi="Times New Roman"/>
          <w:color w:val="000000"/>
          <w:sz w:val="24"/>
          <w:szCs w:val="24"/>
        </w:rPr>
      </w:pPr>
      <w:r>
        <w:rPr>
          <w:rFonts w:ascii="Times New Roman" w:hAnsi="Times New Roman"/>
          <w:color w:val="000000"/>
          <w:sz w:val="24"/>
          <w:szCs w:val="24"/>
        </w:rPr>
        <w:t>3.</w:t>
      </w:r>
      <w:r>
        <w:rPr>
          <w:rFonts w:ascii="Times New Roman" w:hAnsi="Times New Roman"/>
          <w:color w:val="000000"/>
          <w:sz w:val="24"/>
          <w:szCs w:val="24"/>
        </w:rPr>
        <w:tab/>
      </w:r>
      <w:r>
        <w:rPr>
          <w:rFonts w:ascii="Times New Roman" w:hAnsi="Times New Roman"/>
          <w:color w:val="000000"/>
          <w:sz w:val="24"/>
          <w:szCs w:val="24"/>
        </w:rPr>
        <w:t xml:space="preserve">Fifteen microliters of 20% SDS and 3 µl of Proteinase K (20 mg/ml) were added. The mixture was incubated for 1 hour at 37 ºC. After incubation, 5 M NaCl (100 µl) and 80 µL of a 10% CTAB solution in 0.7 M NaCl were added and mixed. </w:t>
      </w:r>
    </w:p>
    <w:p>
      <w:pPr>
        <w:autoSpaceDE w:val="0"/>
        <w:autoSpaceDN w:val="0"/>
        <w:adjustRightInd w:val="0"/>
        <w:spacing w:after="120" w:line="480" w:lineRule="auto"/>
        <w:ind w:left="360"/>
        <w:jc w:val="both"/>
        <w:rPr>
          <w:rFonts w:ascii="Times New Roman" w:hAnsi="Times New Roman"/>
          <w:color w:val="000000"/>
          <w:sz w:val="24"/>
          <w:szCs w:val="24"/>
        </w:rPr>
      </w:pPr>
      <w:r>
        <w:rPr>
          <w:rFonts w:ascii="Times New Roman" w:hAnsi="Times New Roman"/>
          <w:color w:val="000000"/>
          <w:sz w:val="24"/>
          <w:szCs w:val="24"/>
        </w:rPr>
        <w:t>4.</w:t>
      </w:r>
      <w:r>
        <w:rPr>
          <w:rFonts w:ascii="Times New Roman" w:hAnsi="Times New Roman"/>
          <w:color w:val="000000"/>
          <w:sz w:val="24"/>
          <w:szCs w:val="24"/>
        </w:rPr>
        <w:tab/>
      </w:r>
      <w:r>
        <w:rPr>
          <w:rFonts w:ascii="Times New Roman" w:hAnsi="Times New Roman"/>
          <w:color w:val="000000"/>
          <w:sz w:val="24"/>
          <w:szCs w:val="24"/>
        </w:rPr>
        <w:t xml:space="preserve">The suspension was incubated for 10 min at 65 ºC and kept on ice for 15 min. </w:t>
      </w:r>
    </w:p>
    <w:p>
      <w:pPr>
        <w:autoSpaceDE w:val="0"/>
        <w:autoSpaceDN w:val="0"/>
        <w:adjustRightInd w:val="0"/>
        <w:spacing w:after="120" w:line="480" w:lineRule="auto"/>
        <w:ind w:left="720" w:hanging="360"/>
        <w:jc w:val="both"/>
        <w:rPr>
          <w:rFonts w:ascii="Times New Roman" w:hAnsi="Times New Roman"/>
          <w:color w:val="000000"/>
          <w:sz w:val="24"/>
          <w:szCs w:val="24"/>
        </w:rPr>
      </w:pPr>
      <w:r>
        <w:rPr>
          <w:rFonts w:ascii="Times New Roman" w:hAnsi="Times New Roman"/>
          <w:color w:val="000000"/>
          <w:sz w:val="24"/>
          <w:szCs w:val="24"/>
        </w:rPr>
        <w:t>5.</w:t>
      </w:r>
      <w:r>
        <w:rPr>
          <w:rFonts w:ascii="Times New Roman" w:hAnsi="Times New Roman"/>
          <w:color w:val="000000"/>
          <w:sz w:val="24"/>
          <w:szCs w:val="24"/>
        </w:rPr>
        <w:tab/>
      </w:r>
      <w:r>
        <w:rPr>
          <w:rFonts w:ascii="Times New Roman" w:hAnsi="Times New Roman"/>
          <w:color w:val="000000"/>
          <w:sz w:val="24"/>
          <w:szCs w:val="24"/>
        </w:rPr>
        <w:t xml:space="preserve">An equal volume of chloroform: isoamyl alcohol (24:1) was added, followed by incubation on ice for 5 min and centrifugation at 7200 x </w:t>
      </w:r>
      <w:r>
        <w:rPr>
          <w:rFonts w:ascii="Times New Roman" w:hAnsi="Times New Roman"/>
          <w:i/>
          <w:iCs/>
          <w:color w:val="000000"/>
          <w:sz w:val="24"/>
          <w:szCs w:val="24"/>
        </w:rPr>
        <w:t xml:space="preserve">g </w:t>
      </w:r>
      <w:r>
        <w:rPr>
          <w:rFonts w:ascii="Times New Roman" w:hAnsi="Times New Roman"/>
          <w:color w:val="000000"/>
          <w:sz w:val="24"/>
          <w:szCs w:val="24"/>
        </w:rPr>
        <w:t xml:space="preserve">for 20 min. </w:t>
      </w:r>
    </w:p>
    <w:p>
      <w:pPr>
        <w:autoSpaceDE w:val="0"/>
        <w:autoSpaceDN w:val="0"/>
        <w:adjustRightInd w:val="0"/>
        <w:spacing w:after="120" w:line="480" w:lineRule="auto"/>
        <w:ind w:left="720" w:hanging="360"/>
        <w:jc w:val="both"/>
        <w:rPr>
          <w:rFonts w:ascii="Times New Roman" w:hAnsi="Times New Roman"/>
          <w:color w:val="000000"/>
          <w:sz w:val="24"/>
          <w:szCs w:val="24"/>
        </w:rPr>
      </w:pPr>
      <w:r>
        <w:rPr>
          <w:rFonts w:ascii="Times New Roman" w:hAnsi="Times New Roman"/>
          <w:color w:val="000000"/>
          <w:sz w:val="24"/>
          <w:szCs w:val="24"/>
        </w:rPr>
        <w:t>6.</w:t>
      </w:r>
      <w:r>
        <w:rPr>
          <w:rFonts w:ascii="Times New Roman" w:hAnsi="Times New Roman"/>
          <w:color w:val="000000"/>
          <w:sz w:val="24"/>
          <w:szCs w:val="24"/>
        </w:rPr>
        <w:tab/>
      </w:r>
      <w:r>
        <w:rPr>
          <w:rFonts w:ascii="Times New Roman" w:hAnsi="Times New Roman"/>
          <w:color w:val="000000"/>
          <w:sz w:val="24"/>
          <w:szCs w:val="24"/>
        </w:rPr>
        <w:t xml:space="preserve">The aqueous phase was transferred to a fresh tube, isopropanol (1:0.6) was added and DNA was precipitated at –20 ºC for 16 h. </w:t>
      </w:r>
    </w:p>
    <w:p>
      <w:pPr>
        <w:autoSpaceDE w:val="0"/>
        <w:autoSpaceDN w:val="0"/>
        <w:adjustRightInd w:val="0"/>
        <w:spacing w:after="120" w:line="480" w:lineRule="auto"/>
        <w:ind w:left="720" w:hanging="360"/>
        <w:jc w:val="both"/>
        <w:rPr>
          <w:rFonts w:ascii="Times New Roman" w:hAnsi="Times New Roman"/>
          <w:color w:val="000000"/>
          <w:sz w:val="24"/>
          <w:szCs w:val="24"/>
        </w:rPr>
      </w:pPr>
      <w:r>
        <w:rPr>
          <w:rFonts w:ascii="Times New Roman" w:hAnsi="Times New Roman"/>
          <w:color w:val="000000"/>
          <w:sz w:val="24"/>
          <w:szCs w:val="24"/>
        </w:rPr>
        <w:t>7.</w:t>
      </w:r>
      <w:r>
        <w:rPr>
          <w:rFonts w:ascii="Times New Roman" w:hAnsi="Times New Roman"/>
          <w:color w:val="000000"/>
          <w:sz w:val="24"/>
          <w:szCs w:val="24"/>
        </w:rPr>
        <w:tab/>
      </w:r>
      <w:r>
        <w:rPr>
          <w:rFonts w:ascii="Times New Roman" w:hAnsi="Times New Roman"/>
          <w:color w:val="000000"/>
          <w:sz w:val="24"/>
          <w:szCs w:val="24"/>
        </w:rPr>
        <w:t xml:space="preserve">DNA was collected by centrifugation at 7200 x </w:t>
      </w:r>
      <w:r>
        <w:rPr>
          <w:rFonts w:ascii="Times New Roman" w:hAnsi="Times New Roman"/>
          <w:i/>
          <w:iCs/>
          <w:color w:val="000000"/>
          <w:sz w:val="24"/>
          <w:szCs w:val="24"/>
        </w:rPr>
        <w:t xml:space="preserve">g </w:t>
      </w:r>
      <w:r>
        <w:rPr>
          <w:rFonts w:ascii="Times New Roman" w:hAnsi="Times New Roman"/>
          <w:color w:val="000000"/>
          <w:sz w:val="24"/>
          <w:szCs w:val="24"/>
        </w:rPr>
        <w:t>for 10 min, washed with 500 μl of 70% ethanol, air-dried at room temperature for approximately three hours.</w:t>
      </w:r>
    </w:p>
    <w:p>
      <w:pPr>
        <w:autoSpaceDE w:val="0"/>
        <w:autoSpaceDN w:val="0"/>
        <w:adjustRightInd w:val="0"/>
        <w:spacing w:after="120" w:line="480" w:lineRule="auto"/>
        <w:ind w:left="720" w:hanging="360"/>
        <w:jc w:val="both"/>
        <w:rPr>
          <w:rFonts w:ascii="Times New Roman" w:hAnsi="Times New Roman"/>
          <w:color w:val="000000"/>
          <w:sz w:val="24"/>
          <w:szCs w:val="24"/>
        </w:rPr>
      </w:pPr>
      <w:r>
        <w:rPr>
          <w:rFonts w:ascii="Times New Roman" w:hAnsi="Times New Roman"/>
          <w:color w:val="000000"/>
          <w:sz w:val="24"/>
          <w:szCs w:val="24"/>
        </w:rPr>
        <w:t>8. Pellets were reconstituted in 50 μl of TE buffer and kept at 4°C, and 10 gm of CTAB (Autoclave)</w:t>
      </w:r>
    </w:p>
    <w:p>
      <w:pPr>
        <w:autoSpaceDE w:val="0"/>
        <w:autoSpaceDN w:val="0"/>
        <w:adjustRightInd w:val="0"/>
        <w:spacing w:after="120" w:line="480" w:lineRule="auto"/>
        <w:ind w:firstLine="360"/>
        <w:jc w:val="both"/>
        <w:rPr>
          <w:rFonts w:ascii="Times New Roman" w:hAnsi="Times New Roman"/>
          <w:color w:val="000000"/>
          <w:sz w:val="24"/>
          <w:szCs w:val="24"/>
        </w:rPr>
      </w:pPr>
      <w:r>
        <w:rPr>
          <w:rFonts w:ascii="Times New Roman" w:hAnsi="Times New Roman"/>
          <w:color w:val="000000"/>
          <w:sz w:val="24"/>
          <w:szCs w:val="24"/>
        </w:rPr>
        <w:t>4. Chloroform: Isoamyl alchohol – 24:1</w:t>
      </w:r>
    </w:p>
    <w:p>
      <w:pPr>
        <w:autoSpaceDE w:val="0"/>
        <w:autoSpaceDN w:val="0"/>
        <w:adjustRightInd w:val="0"/>
        <w:spacing w:after="120" w:line="480" w:lineRule="auto"/>
        <w:ind w:firstLine="360"/>
        <w:jc w:val="both"/>
        <w:rPr>
          <w:rFonts w:ascii="Times New Roman" w:hAnsi="Times New Roman"/>
          <w:color w:val="000000"/>
          <w:sz w:val="24"/>
          <w:szCs w:val="24"/>
        </w:rPr>
      </w:pPr>
      <w:r>
        <w:rPr>
          <w:rFonts w:ascii="Times New Roman" w:hAnsi="Times New Roman"/>
          <w:color w:val="000000"/>
          <w:sz w:val="24"/>
          <w:szCs w:val="24"/>
        </w:rPr>
        <w:t>5. TE (Autoc</w:t>
      </w:r>
      <w:bookmarkStart w:id="51" w:name="_Toc132200964"/>
      <w:r>
        <w:rPr>
          <w:rFonts w:ascii="Times New Roman" w:hAnsi="Times New Roman"/>
          <w:color w:val="000000"/>
          <w:sz w:val="24"/>
          <w:szCs w:val="24"/>
        </w:rPr>
        <w:t>lave)</w:t>
      </w:r>
    </w:p>
    <w:p>
      <w:pPr>
        <w:autoSpaceDE w:val="0"/>
        <w:autoSpaceDN w:val="0"/>
        <w:adjustRightInd w:val="0"/>
        <w:spacing w:after="120" w:line="480" w:lineRule="auto"/>
        <w:ind w:firstLine="360"/>
        <w:jc w:val="both"/>
        <w:rPr>
          <w:rFonts w:ascii="Times New Roman" w:hAnsi="Times New Roman"/>
          <w:b/>
          <w:color w:val="000000"/>
          <w:sz w:val="24"/>
          <w:szCs w:val="24"/>
        </w:rPr>
      </w:pPr>
      <w:r>
        <w:rPr>
          <w:rFonts w:ascii="Times New Roman" w:hAnsi="Times New Roman"/>
          <w:b/>
          <w:sz w:val="24"/>
          <w:szCs w:val="24"/>
        </w:rPr>
        <w:t>3.5.5</w:t>
      </w:r>
      <w:r>
        <w:rPr>
          <w:rFonts w:ascii="Times New Roman" w:hAnsi="Times New Roman"/>
          <w:b/>
          <w:sz w:val="24"/>
          <w:szCs w:val="24"/>
        </w:rPr>
        <w:tab/>
      </w:r>
      <w:r>
        <w:rPr>
          <w:rFonts w:ascii="Times New Roman" w:hAnsi="Times New Roman"/>
          <w:b/>
          <w:sz w:val="24"/>
          <w:szCs w:val="24"/>
        </w:rPr>
        <w:t>Protocol for Bacterial PCR</w:t>
      </w:r>
      <w:bookmarkEnd w:id="51"/>
    </w:p>
    <w:p>
      <w:pPr>
        <w:numPr>
          <w:ilvl w:val="0"/>
          <w:numId w:val="7"/>
        </w:numPr>
        <w:spacing w:after="120" w:line="480" w:lineRule="auto"/>
        <w:contextualSpacing/>
        <w:rPr>
          <w:rFonts w:ascii="Times New Roman" w:hAnsi="Times New Roman"/>
          <w:b/>
          <w:color w:val="000000"/>
          <w:sz w:val="24"/>
          <w:szCs w:val="24"/>
        </w:rPr>
      </w:pPr>
      <w:r>
        <w:rPr>
          <w:rFonts w:ascii="Times New Roman" w:hAnsi="Times New Roman"/>
          <w:b/>
          <w:color w:val="000000"/>
          <w:sz w:val="24"/>
          <w:szCs w:val="24"/>
        </w:rPr>
        <w:t>Primers</w:t>
      </w:r>
    </w:p>
    <w:p>
      <w:pPr>
        <w:numPr>
          <w:ilvl w:val="1"/>
          <w:numId w:val="7"/>
        </w:numPr>
        <w:spacing w:after="120" w:line="480" w:lineRule="auto"/>
        <w:contextualSpacing/>
        <w:rPr>
          <w:rFonts w:ascii="Times New Roman" w:hAnsi="Times New Roman"/>
          <w:color w:val="000000"/>
          <w:sz w:val="24"/>
          <w:szCs w:val="24"/>
          <w:lang w:val="en-GB"/>
        </w:rPr>
      </w:pPr>
      <w:r>
        <w:rPr>
          <w:rFonts w:ascii="Times New Roman" w:hAnsi="Times New Roman"/>
          <w:color w:val="000000"/>
          <w:sz w:val="24"/>
          <w:szCs w:val="24"/>
          <w:lang w:val="en-GB"/>
        </w:rPr>
        <w:t xml:space="preserve">Forward primer: </w:t>
      </w:r>
      <w:r>
        <w:rPr>
          <w:rFonts w:ascii="Times New Roman" w:hAnsi="Times New Roman"/>
          <w:color w:val="000000"/>
          <w:sz w:val="24"/>
          <w:szCs w:val="24"/>
          <w:lang w:val="en-GB"/>
        </w:rPr>
        <w:tab/>
      </w:r>
      <w:r>
        <w:rPr>
          <w:rFonts w:ascii="Times New Roman" w:hAnsi="Times New Roman"/>
          <w:color w:val="000000"/>
          <w:sz w:val="24"/>
          <w:szCs w:val="24"/>
          <w:lang w:val="en-GB"/>
        </w:rPr>
        <w:t>27f</w:t>
      </w:r>
      <w:r>
        <w:rPr>
          <w:rFonts w:ascii="Times New Roman" w:hAnsi="Times New Roman"/>
          <w:color w:val="000000"/>
          <w:sz w:val="24"/>
          <w:szCs w:val="24"/>
          <w:lang w:val="en-GB"/>
        </w:rPr>
        <w:tab/>
      </w:r>
      <w:r>
        <w:rPr>
          <w:rFonts w:ascii="Times New Roman" w:hAnsi="Times New Roman"/>
          <w:color w:val="000000"/>
          <w:sz w:val="24"/>
          <w:szCs w:val="24"/>
          <w:lang w:val="en-GB"/>
        </w:rPr>
        <w:t>(5’-AGAGTTTGATCMTGGCTCAG-3’)</w:t>
      </w:r>
    </w:p>
    <w:p>
      <w:pPr>
        <w:numPr>
          <w:ilvl w:val="1"/>
          <w:numId w:val="7"/>
        </w:numPr>
        <w:spacing w:after="120" w:line="480" w:lineRule="auto"/>
        <w:contextualSpacing/>
        <w:rPr>
          <w:rFonts w:ascii="Times New Roman" w:hAnsi="Times New Roman"/>
          <w:color w:val="000000"/>
          <w:sz w:val="24"/>
          <w:szCs w:val="24"/>
          <w:lang w:val="en-GB"/>
        </w:rPr>
      </w:pPr>
      <w:r>
        <w:rPr>
          <w:rFonts w:ascii="Times New Roman" w:hAnsi="Times New Roman"/>
          <w:color w:val="000000"/>
          <w:sz w:val="24"/>
          <w:szCs w:val="24"/>
          <w:lang w:val="en-GB"/>
        </w:rPr>
        <w:t>Reverse primer:</w:t>
      </w:r>
      <w:r>
        <w:rPr>
          <w:rFonts w:ascii="Times New Roman" w:hAnsi="Times New Roman"/>
          <w:color w:val="000000"/>
          <w:sz w:val="24"/>
          <w:szCs w:val="24"/>
          <w:lang w:val="en-GB"/>
        </w:rPr>
        <w:tab/>
      </w:r>
      <w:r>
        <w:rPr>
          <w:rFonts w:ascii="Times New Roman" w:hAnsi="Times New Roman"/>
          <w:color w:val="000000"/>
          <w:sz w:val="24"/>
          <w:szCs w:val="24"/>
          <w:lang w:val="en-GB"/>
        </w:rPr>
        <w:tab/>
      </w:r>
      <w:r>
        <w:rPr>
          <w:rFonts w:ascii="Times New Roman" w:hAnsi="Times New Roman"/>
          <w:color w:val="000000"/>
          <w:sz w:val="24"/>
          <w:szCs w:val="24"/>
          <w:lang w:val="en-GB"/>
        </w:rPr>
        <w:t>1525r</w:t>
      </w:r>
      <w:r>
        <w:rPr>
          <w:rFonts w:ascii="Times New Roman" w:hAnsi="Times New Roman"/>
          <w:color w:val="000000"/>
          <w:sz w:val="24"/>
          <w:szCs w:val="24"/>
          <w:lang w:val="en-GB"/>
        </w:rPr>
        <w:tab/>
      </w:r>
      <w:r>
        <w:rPr>
          <w:rFonts w:ascii="Times New Roman" w:hAnsi="Times New Roman"/>
          <w:color w:val="000000"/>
          <w:sz w:val="24"/>
          <w:szCs w:val="24"/>
          <w:lang w:val="en-GB"/>
        </w:rPr>
        <w:t>(5’-AAGGAGGTGWTCCARCC-3’)</w:t>
      </w:r>
    </w:p>
    <w:p>
      <w:pPr>
        <w:spacing w:after="120" w:line="480" w:lineRule="auto"/>
        <w:ind w:left="1440"/>
        <w:contextualSpacing/>
        <w:rPr>
          <w:rFonts w:ascii="Times New Roman" w:hAnsi="Times New Roman"/>
          <w:color w:val="000000"/>
          <w:sz w:val="24"/>
          <w:szCs w:val="24"/>
          <w:lang w:val="en-GB"/>
        </w:rPr>
      </w:pPr>
    </w:p>
    <w:p>
      <w:pPr>
        <w:numPr>
          <w:ilvl w:val="0"/>
          <w:numId w:val="7"/>
        </w:numPr>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b/>
          <w:color w:val="000000"/>
          <w:sz w:val="24"/>
          <w:szCs w:val="24"/>
        </w:rPr>
        <w:t xml:space="preserve">Cocktail reaction </w:t>
      </w:r>
      <w:r>
        <w:rPr>
          <w:rFonts w:ascii="Times New Roman" w:hAnsi="Times New Roman"/>
          <w:color w:val="000000"/>
          <w:sz w:val="24"/>
          <w:szCs w:val="24"/>
        </w:rPr>
        <w:tab/>
      </w:r>
    </w:p>
    <w:p>
      <w:pPr>
        <w:numPr>
          <w:ilvl w:val="1"/>
          <w:numId w:val="7"/>
        </w:numPr>
        <w:autoSpaceDE w:val="0"/>
        <w:autoSpaceDN w:val="0"/>
        <w:adjustRightInd w:val="0"/>
        <w:spacing w:after="120" w:line="480" w:lineRule="auto"/>
        <w:contextualSpacing/>
        <w:rPr>
          <w:rFonts w:ascii="Times New Roman" w:hAnsi="Times New Roman"/>
          <w:b/>
          <w:color w:val="000000"/>
          <w:sz w:val="24"/>
          <w:szCs w:val="24"/>
        </w:rPr>
      </w:pPr>
      <w:r>
        <w:rPr>
          <w:rFonts w:ascii="Times New Roman" w:hAnsi="Times New Roman"/>
          <w:b/>
          <w:color w:val="000000"/>
          <w:sz w:val="24"/>
          <w:szCs w:val="24"/>
        </w:rPr>
        <w:t xml:space="preserve">Ingredient </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 xml:space="preserve">Volume (μl) </w:t>
      </w:r>
    </w:p>
    <w:p>
      <w:pPr>
        <w:numPr>
          <w:ilvl w:val="1"/>
          <w:numId w:val="7"/>
        </w:numPr>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Sterile distilled H</w:t>
      </w:r>
      <w:r>
        <w:rPr>
          <w:rFonts w:ascii="Times New Roman" w:hAnsi="Times New Roman"/>
          <w:color w:val="000000"/>
          <w:position w:val="-6"/>
          <w:sz w:val="24"/>
          <w:szCs w:val="24"/>
          <w:vertAlign w:val="subscript"/>
        </w:rPr>
        <w:t>2</w:t>
      </w:r>
      <w:r>
        <w:rPr>
          <w:rFonts w:ascii="Times New Roman" w:hAnsi="Times New Roman"/>
          <w:color w:val="000000"/>
          <w:sz w:val="24"/>
          <w:szCs w:val="24"/>
        </w:rPr>
        <w:t>O</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6.44</w:t>
      </w:r>
    </w:p>
    <w:p>
      <w:pPr>
        <w:numPr>
          <w:ilvl w:val="1"/>
          <w:numId w:val="7"/>
        </w:numPr>
        <w:tabs>
          <w:tab w:val="left" w:pos="1980"/>
        </w:tabs>
        <w:autoSpaceDE w:val="0"/>
        <w:autoSpaceDN w:val="0"/>
        <w:adjustRightInd w:val="0"/>
        <w:spacing w:after="120" w:line="480" w:lineRule="auto"/>
        <w:contextualSpacing/>
        <w:outlineLvl w:val="4"/>
        <w:rPr>
          <w:rFonts w:ascii="Times New Roman" w:hAnsi="Times New Roman"/>
          <w:color w:val="000000"/>
          <w:sz w:val="24"/>
          <w:szCs w:val="24"/>
        </w:rPr>
      </w:pPr>
      <w:r>
        <w:rPr>
          <w:rFonts w:ascii="Times New Roman" w:hAnsi="Times New Roman"/>
          <w:color w:val="000000"/>
          <w:sz w:val="24"/>
          <w:szCs w:val="24"/>
        </w:rPr>
        <w:t xml:space="preserve">5 U /μl </w:t>
      </w:r>
      <w:r>
        <w:rPr>
          <w:rFonts w:ascii="Times New Roman" w:hAnsi="Times New Roman"/>
          <w:i/>
          <w:color w:val="000000"/>
          <w:sz w:val="24"/>
          <w:szCs w:val="24"/>
        </w:rPr>
        <w:t>Taq</w:t>
      </w:r>
      <w:r>
        <w:rPr>
          <w:rFonts w:ascii="Times New Roman" w:hAnsi="Times New Roman"/>
          <w:color w:val="000000"/>
          <w:sz w:val="24"/>
          <w:szCs w:val="24"/>
        </w:rPr>
        <w:t xml:space="preserve"> Polymerase</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0.06 </w:t>
      </w:r>
    </w:p>
    <w:p>
      <w:pPr>
        <w:numPr>
          <w:ilvl w:val="1"/>
          <w:numId w:val="7"/>
        </w:numPr>
        <w:tabs>
          <w:tab w:val="left" w:pos="1980"/>
        </w:tabs>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25 mM MgCl</w:t>
      </w:r>
      <w:r>
        <w:rPr>
          <w:rFonts w:ascii="Times New Roman" w:hAnsi="Times New Roman"/>
          <w:color w:val="000000"/>
          <w:position w:val="-6"/>
          <w:sz w:val="24"/>
          <w:szCs w:val="24"/>
          <w:vertAlign w:val="subscript"/>
        </w:rPr>
        <w:t xml:space="preserve">2 </w:t>
      </w:r>
      <w:r>
        <w:rPr>
          <w:rFonts w:ascii="Times New Roman" w:hAnsi="Times New Roman"/>
          <w:color w:val="000000"/>
          <w:position w:val="-6"/>
          <w:sz w:val="24"/>
          <w:szCs w:val="24"/>
          <w:vertAlign w:val="subscript"/>
        </w:rPr>
        <w:tab/>
      </w:r>
      <w:r>
        <w:rPr>
          <w:rFonts w:ascii="Times New Roman" w:hAnsi="Times New Roman"/>
          <w:color w:val="000000"/>
          <w:position w:val="-6"/>
          <w:sz w:val="24"/>
          <w:szCs w:val="24"/>
          <w:vertAlign w:val="subscript"/>
        </w:rPr>
        <w:tab/>
      </w:r>
      <w:r>
        <w:rPr>
          <w:rFonts w:ascii="Times New Roman" w:hAnsi="Times New Roman"/>
          <w:color w:val="000000"/>
          <w:position w:val="-6"/>
          <w:sz w:val="24"/>
          <w:szCs w:val="24"/>
          <w:vertAlign w:val="subscript"/>
        </w:rPr>
        <w:tab/>
      </w:r>
      <w:r>
        <w:rPr>
          <w:rFonts w:ascii="Times New Roman" w:hAnsi="Times New Roman"/>
          <w:color w:val="000000"/>
          <w:sz w:val="24"/>
          <w:szCs w:val="24"/>
        </w:rPr>
        <w:t xml:space="preserve">0.75 (1.5 mM) </w:t>
      </w:r>
    </w:p>
    <w:p>
      <w:pPr>
        <w:numPr>
          <w:ilvl w:val="1"/>
          <w:numId w:val="7"/>
        </w:numPr>
        <w:tabs>
          <w:tab w:val="left" w:pos="1980"/>
        </w:tabs>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 xml:space="preserve">10 mM dNTPs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0.25 (250 μM) </w:t>
      </w:r>
    </w:p>
    <w:p>
      <w:pPr>
        <w:numPr>
          <w:ilvl w:val="1"/>
          <w:numId w:val="7"/>
        </w:numPr>
        <w:tabs>
          <w:tab w:val="left" w:pos="1980"/>
        </w:tabs>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 xml:space="preserve">10 pM forward primer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0.25 (1 μM) </w:t>
      </w:r>
    </w:p>
    <w:p>
      <w:pPr>
        <w:numPr>
          <w:ilvl w:val="1"/>
          <w:numId w:val="7"/>
        </w:numPr>
        <w:tabs>
          <w:tab w:val="left" w:pos="1980"/>
        </w:tabs>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 xml:space="preserve">10 pM reverse primer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0.25 (1 μM) </w:t>
      </w:r>
    </w:p>
    <w:p>
      <w:pPr>
        <w:numPr>
          <w:ilvl w:val="1"/>
          <w:numId w:val="7"/>
        </w:numPr>
        <w:tabs>
          <w:tab w:val="left" w:pos="1980"/>
        </w:tabs>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Template</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2</w:t>
      </w:r>
    </w:p>
    <w:p>
      <w:pPr>
        <w:numPr>
          <w:ilvl w:val="1"/>
          <w:numId w:val="7"/>
        </w:numPr>
        <w:autoSpaceDE w:val="0"/>
        <w:autoSpaceDN w:val="0"/>
        <w:adjustRightInd w:val="0"/>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 xml:space="preserve">Total volume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 xml:space="preserve">12.5 </w:t>
      </w:r>
    </w:p>
    <w:p>
      <w:pPr>
        <w:autoSpaceDE w:val="0"/>
        <w:autoSpaceDN w:val="0"/>
        <w:adjustRightInd w:val="0"/>
        <w:spacing w:after="120" w:line="480" w:lineRule="auto"/>
        <w:ind w:left="1440"/>
        <w:contextualSpacing/>
        <w:rPr>
          <w:rFonts w:ascii="Times New Roman" w:hAnsi="Times New Roman"/>
          <w:color w:val="000000"/>
          <w:sz w:val="24"/>
          <w:szCs w:val="24"/>
        </w:rPr>
      </w:pPr>
    </w:p>
    <w:p>
      <w:pPr>
        <w:numPr>
          <w:ilvl w:val="0"/>
          <w:numId w:val="7"/>
        </w:numPr>
        <w:spacing w:after="120" w:line="480" w:lineRule="auto"/>
        <w:contextualSpacing/>
        <w:rPr>
          <w:rFonts w:ascii="Times New Roman" w:hAnsi="Times New Roman"/>
          <w:b/>
          <w:color w:val="000000"/>
          <w:sz w:val="24"/>
          <w:szCs w:val="24"/>
          <w:lang w:val="en-GB"/>
        </w:rPr>
      </w:pPr>
      <w:r>
        <w:rPr>
          <w:rFonts w:ascii="Times New Roman" w:hAnsi="Times New Roman"/>
          <w:b/>
          <w:color w:val="000000"/>
          <w:sz w:val="24"/>
          <w:szCs w:val="24"/>
          <w:lang w:val="en-GB"/>
        </w:rPr>
        <w:t>PCR Conditions</w:t>
      </w:r>
    </w:p>
    <w:p>
      <w:pPr>
        <w:numPr>
          <w:ilvl w:val="1"/>
          <w:numId w:val="7"/>
        </w:numPr>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94°C for 2 mins</w:t>
      </w:r>
    </w:p>
    <w:p>
      <w:pPr>
        <w:numPr>
          <w:ilvl w:val="1"/>
          <w:numId w:val="7"/>
        </w:numPr>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30 cycles of 94°C for 30 secs, 50°C for 60 secs and 72°C for 90 secs</w:t>
      </w:r>
    </w:p>
    <w:p>
      <w:pPr>
        <w:numPr>
          <w:ilvl w:val="1"/>
          <w:numId w:val="7"/>
        </w:numPr>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72°C for 5 mins</w:t>
      </w:r>
    </w:p>
    <w:p>
      <w:pPr>
        <w:numPr>
          <w:ilvl w:val="1"/>
          <w:numId w:val="7"/>
        </w:numPr>
        <w:spacing w:after="120" w:line="480" w:lineRule="auto"/>
        <w:contextualSpacing/>
        <w:rPr>
          <w:rFonts w:ascii="Times New Roman" w:hAnsi="Times New Roman"/>
          <w:color w:val="000000"/>
          <w:sz w:val="24"/>
          <w:szCs w:val="24"/>
        </w:rPr>
      </w:pPr>
      <w:r>
        <w:rPr>
          <w:rFonts w:ascii="Times New Roman" w:hAnsi="Times New Roman"/>
          <w:color w:val="000000"/>
          <w:sz w:val="24"/>
          <w:szCs w:val="24"/>
        </w:rPr>
        <w:t>Store at 4°C</w:t>
      </w:r>
    </w:p>
    <w:p>
      <w:pPr>
        <w:spacing w:after="120" w:line="480" w:lineRule="auto"/>
        <w:ind w:left="1440"/>
        <w:contextualSpacing/>
        <w:rPr>
          <w:rFonts w:ascii="Times New Roman" w:hAnsi="Times New Roman"/>
          <w:color w:val="000000"/>
          <w:sz w:val="24"/>
          <w:szCs w:val="24"/>
        </w:rPr>
      </w:pPr>
    </w:p>
    <w:p>
      <w:pPr>
        <w:numPr>
          <w:ilvl w:val="0"/>
          <w:numId w:val="7"/>
        </w:numPr>
        <w:spacing w:after="120" w:line="480" w:lineRule="auto"/>
        <w:contextualSpacing/>
        <w:rPr>
          <w:rFonts w:ascii="Times New Roman" w:hAnsi="Times New Roman"/>
          <w:b/>
          <w:color w:val="000000"/>
          <w:sz w:val="24"/>
          <w:szCs w:val="24"/>
          <w:lang w:val="en-GB"/>
        </w:rPr>
      </w:pPr>
      <w:r>
        <w:rPr>
          <w:rFonts w:ascii="Times New Roman" w:hAnsi="Times New Roman"/>
          <w:b/>
          <w:color w:val="000000"/>
          <w:sz w:val="24"/>
          <w:szCs w:val="24"/>
          <w:lang w:val="en-GB"/>
        </w:rPr>
        <w:t>Post PCR Analyses</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 xml:space="preserve">To make agarose gel, 1.5 g of agarose powder was added into 100 ml of 1X TAE Buffer </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The solution was heated in a microwave for 5 minutes</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It was then cooled briefly and 5 µl of GR Green® solution was added</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The solution was mixed briefly and poured into a gel tank with well combs</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The solution was left to solidify and the PCR products were loaded into each well</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Electrophoresis was at 100V for one hour</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The gel was viewed under UV light and pictures were taken</w:t>
      </w:r>
    </w:p>
    <w:p>
      <w:pPr>
        <w:numPr>
          <w:ilvl w:val="1"/>
          <w:numId w:val="7"/>
        </w:numPr>
        <w:spacing w:after="120" w:line="480" w:lineRule="auto"/>
        <w:contextualSpacing/>
        <w:jc w:val="both"/>
        <w:rPr>
          <w:rFonts w:ascii="Times New Roman" w:hAnsi="Times New Roman"/>
          <w:color w:val="000000"/>
          <w:sz w:val="24"/>
          <w:szCs w:val="24"/>
          <w:lang w:val="en-GB"/>
        </w:rPr>
      </w:pPr>
      <w:r>
        <w:rPr>
          <w:rFonts w:ascii="Times New Roman" w:hAnsi="Times New Roman"/>
          <w:color w:val="000000"/>
          <w:sz w:val="24"/>
          <w:szCs w:val="24"/>
          <w:lang w:val="en-GB"/>
        </w:rPr>
        <w:t>Expected product size was 1,500 bp</w:t>
      </w:r>
      <w:bookmarkStart w:id="52" w:name="_Toc132200965"/>
    </w:p>
    <w:p>
      <w:pPr>
        <w:spacing w:after="120" w:line="480" w:lineRule="auto"/>
        <w:contextualSpacing/>
        <w:jc w:val="both"/>
        <w:rPr>
          <w:rFonts w:ascii="Times New Roman" w:hAnsi="Times New Roman"/>
          <w:color w:val="000000"/>
          <w:sz w:val="24"/>
          <w:szCs w:val="24"/>
          <w:lang w:val="en-GB"/>
        </w:rPr>
      </w:pPr>
    </w:p>
    <w:p>
      <w:pPr>
        <w:spacing w:after="120" w:line="480" w:lineRule="auto"/>
        <w:contextualSpacing/>
        <w:jc w:val="both"/>
        <w:rPr>
          <w:rFonts w:ascii="Times New Roman" w:hAnsi="Times New Roman"/>
          <w:b/>
          <w:color w:val="000000"/>
          <w:sz w:val="24"/>
          <w:szCs w:val="24"/>
          <w:lang w:val="en-GB"/>
        </w:rPr>
      </w:pPr>
      <w:r>
        <w:rPr>
          <w:rFonts w:ascii="Times New Roman" w:hAnsi="Times New Roman"/>
          <w:b/>
          <w:sz w:val="24"/>
          <w:szCs w:val="24"/>
        </w:rPr>
        <w:t>3.6</w:t>
      </w:r>
      <w:r>
        <w:rPr>
          <w:rFonts w:ascii="Times New Roman" w:hAnsi="Times New Roman"/>
          <w:b/>
          <w:sz w:val="24"/>
          <w:szCs w:val="24"/>
        </w:rPr>
        <w:tab/>
      </w:r>
      <w:r>
        <w:rPr>
          <w:rFonts w:ascii="Times New Roman" w:hAnsi="Times New Roman"/>
          <w:b/>
          <w:sz w:val="24"/>
          <w:szCs w:val="24"/>
        </w:rPr>
        <w:t>Statistical Analysis</w:t>
      </w:r>
      <w:bookmarkEnd w:id="52"/>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Data obtained were subjected to analysis of variance (ANOVA) at p=0.05</w:t>
      </w:r>
      <w:r>
        <w:rPr>
          <w:rFonts w:ascii="Times New Roman" w:hAnsi="Times New Roman"/>
          <w:color w:val="000000"/>
          <w:sz w:val="24"/>
          <w:szCs w:val="24"/>
          <w:lang w:val="en-GB"/>
        </w:rPr>
        <w:t xml:space="preserve">. </w:t>
      </w:r>
      <w:r>
        <w:rPr>
          <w:rFonts w:ascii="Times New Roman" w:hAnsi="Times New Roman"/>
          <w:color w:val="000000"/>
          <w:sz w:val="24"/>
          <w:szCs w:val="24"/>
        </w:rPr>
        <w:t xml:space="preserve">Means were separated using Duncan Multiple Range Test of the SPSS analytical software. A correlation analysis were carried out to investigate the degree of association among physicochemical variables in soil samples and also to determine the relationship between the physicochemical parameters and microbial composition of the soil. </w:t>
      </w:r>
    </w:p>
    <w:p>
      <w:pPr>
        <w:spacing w:after="200" w:line="276" w:lineRule="auto"/>
        <w:rPr>
          <w:rFonts w:ascii="Times New Roman" w:hAnsi="Times New Roman" w:eastAsia="Times New Roman"/>
          <w:b/>
          <w:color w:val="000000"/>
          <w:sz w:val="24"/>
          <w:szCs w:val="24"/>
        </w:rPr>
      </w:pPr>
      <w:bookmarkStart w:id="53" w:name="_Toc132200966"/>
      <w:r>
        <w:rPr>
          <w:rFonts w:ascii="Times New Roman" w:hAnsi="Times New Roman"/>
          <w:sz w:val="24"/>
          <w:szCs w:val="24"/>
        </w:rPr>
        <w:br w:type="page"/>
      </w:r>
    </w:p>
    <w:p>
      <w:pPr>
        <w:pStyle w:val="2"/>
      </w:pPr>
      <w:r>
        <w:t>Chapter Four</w:t>
      </w:r>
      <w:bookmarkEnd w:id="53"/>
    </w:p>
    <w:p>
      <w:pPr>
        <w:spacing w:after="120" w:line="480" w:lineRule="auto"/>
        <w:jc w:val="center"/>
        <w:rPr>
          <w:rFonts w:ascii="Times New Roman" w:hAnsi="Times New Roman"/>
          <w:b/>
          <w:sz w:val="24"/>
          <w:szCs w:val="24"/>
        </w:rPr>
      </w:pPr>
      <w:r>
        <w:rPr>
          <w:rFonts w:ascii="Times New Roman" w:hAnsi="Times New Roman"/>
          <w:b/>
          <w:sz w:val="24"/>
          <w:szCs w:val="24"/>
        </w:rPr>
        <w:t>Results and Discussion of Findings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This chapter showcases the effect of different livestock excreta on microbial composition of soil samples. Also, Genomic DNA extraction was conducted for bacteria strains present in soils polluted by different livestock</w:t>
      </w:r>
      <w:bookmarkStart w:id="54" w:name="_Toc132200968"/>
      <w:r>
        <w:rPr>
          <w:rFonts w:ascii="Times New Roman" w:hAnsi="Times New Roman"/>
          <w:color w:val="000000"/>
          <w:sz w:val="24"/>
          <w:szCs w:val="24"/>
        </w:rPr>
        <w:t xml:space="preserve"> litter. </w:t>
      </w:r>
    </w:p>
    <w:p>
      <w:pPr>
        <w:spacing w:after="120" w:line="480" w:lineRule="auto"/>
        <w:jc w:val="both"/>
        <w:rPr>
          <w:rFonts w:ascii="Times New Roman" w:hAnsi="Times New Roman"/>
          <w:b/>
          <w:color w:val="000000"/>
          <w:sz w:val="24"/>
          <w:szCs w:val="24"/>
        </w:rPr>
      </w:pPr>
      <w:r>
        <w:rPr>
          <w:rFonts w:ascii="Times New Roman" w:hAnsi="Times New Roman"/>
          <w:b/>
          <w:sz w:val="24"/>
          <w:szCs w:val="24"/>
        </w:rPr>
        <w:t>4.1</w:t>
      </w:r>
      <w:r>
        <w:rPr>
          <w:rFonts w:ascii="Times New Roman" w:hAnsi="Times New Roman"/>
          <w:b/>
          <w:sz w:val="24"/>
          <w:szCs w:val="24"/>
        </w:rPr>
        <w:tab/>
      </w:r>
      <w:r>
        <w:rPr>
          <w:rFonts w:ascii="Times New Roman" w:hAnsi="Times New Roman"/>
          <w:b/>
          <w:sz w:val="24"/>
          <w:szCs w:val="24"/>
        </w:rPr>
        <w:t>Sample Analyses of Soils as Affected By Different Livestock Excreta</w:t>
      </w:r>
      <w:bookmarkEnd w:id="54"/>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Table 4.1 shows physiochemical analysis as affected by different livestock excreta in farmlands. Calcium level in T4 (8.31 cmol/kg) was significantly (p&lt;0.05) higher compared to other treatments. Magnesium in T4 was 6.40cmol/kg and was significantly (p&lt;0.05) higher than other treatments. However, the lowest Mg value was observed in T1 (1.42). Sodium concentration was highest in T5 (0.97) and T1 had the lowest value of 0.61. Potassium value in T5 was 1.95cmol/kg and was the highest. Percentage total nitrogen (PTN) was lowest (p&lt;0.05) in the control (0.25) and highest in T4 (0.74). Percentage organic carbon (POC) was significantly (p&lt;0.05) higher in T4 (1.61) and T3 (1.58) compared to other treatments. Percentage organic M was highest in T4 (2.77) and lowest in T1 (1.91). Available phosphorus (mg/kg) was lowest in T1 (11.54) and highest in T4 (17.06). The Mn in T4 (11.06) was significantly (p&lt;0.05) higher compared to other treatments. Aluminium value was higher in soils on T4 (0.40mg/kg) and value gradually decreased to 0.31 in T2; to 0.25 (T3), to 0.11 (T1). Copper was highest in T4 (0.73) and lowest in T1 (0.37). The Mo value observed in T4 was 0.45mg/kg and it was significantly (p&lt;0.05) higher compared to other treatments. </w:t>
      </w:r>
    </w:p>
    <w:p>
      <w:pPr>
        <w:spacing w:after="120" w:line="360" w:lineRule="auto"/>
        <w:jc w:val="both"/>
        <w:rPr>
          <w:rFonts w:ascii="Times New Roman" w:hAnsi="Times New Roman"/>
          <w:b/>
          <w:bCs/>
          <w:color w:val="000000"/>
          <w:sz w:val="24"/>
          <w:szCs w:val="24"/>
        </w:rPr>
      </w:pPr>
      <w:r>
        <w:rPr>
          <w:rFonts w:ascii="Times New Roman" w:hAnsi="Times New Roman"/>
          <w:color w:val="000000"/>
          <w:sz w:val="24"/>
          <w:szCs w:val="24"/>
        </w:rPr>
        <w:br w:type="page"/>
      </w:r>
      <w:r>
        <w:rPr>
          <w:rFonts w:ascii="Times New Roman" w:hAnsi="Times New Roman"/>
          <w:b/>
          <w:bCs/>
          <w:color w:val="000000"/>
          <w:sz w:val="24"/>
          <w:szCs w:val="24"/>
        </w:rPr>
        <w:t xml:space="preserve">Table 4.1: </w:t>
      </w:r>
      <w:r>
        <w:rPr>
          <w:rFonts w:ascii="Times New Roman" w:hAnsi="Times New Roman"/>
          <w:color w:val="000000"/>
          <w:sz w:val="24"/>
          <w:szCs w:val="24"/>
        </w:rPr>
        <w:t>Physiochemical Analysis as Affected by Different Livestock Excreta in Farmlands</w:t>
      </w:r>
    </w:p>
    <w:tbl>
      <w:tblPr>
        <w:tblStyle w:val="5"/>
        <w:tblpPr w:leftFromText="180" w:rightFromText="180" w:vertAnchor="page" w:horzAnchor="margin" w:tblpY="1937"/>
        <w:tblW w:w="9425"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16"/>
        <w:gridCol w:w="1243"/>
        <w:gridCol w:w="1065"/>
        <w:gridCol w:w="976"/>
        <w:gridCol w:w="887"/>
        <w:gridCol w:w="976"/>
        <w:gridCol w:w="887"/>
        <w:gridCol w:w="799"/>
        <w:gridCol w:w="976"/>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1" w:hRule="atLeast"/>
        </w:trPr>
        <w:tc>
          <w:tcPr>
            <w:tcW w:w="1616" w:type="dxa"/>
            <w:tcBorders>
              <w:top w:val="single" w:color="auto" w:sz="4" w:space="0"/>
              <w:bottom w:val="single" w:color="auto" w:sz="4" w:space="0"/>
            </w:tcBorders>
            <w:shd w:val="clear" w:color="auto" w:fill="auto"/>
          </w:tcPr>
          <w:p>
            <w:p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Parameters</w:t>
            </w:r>
          </w:p>
        </w:tc>
        <w:tc>
          <w:tcPr>
            <w:tcW w:w="1243"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Standard</w:t>
            </w:r>
          </w:p>
        </w:tc>
        <w:tc>
          <w:tcPr>
            <w:tcW w:w="1065"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Control (T1)</w:t>
            </w:r>
          </w:p>
        </w:tc>
        <w:tc>
          <w:tcPr>
            <w:tcW w:w="976"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Poultry(T2)</w:t>
            </w:r>
          </w:p>
        </w:tc>
        <w:tc>
          <w:tcPr>
            <w:tcW w:w="887"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Pig  (T3)</w:t>
            </w:r>
          </w:p>
        </w:tc>
        <w:tc>
          <w:tcPr>
            <w:tcW w:w="976"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Cattle (T4)</w:t>
            </w:r>
          </w:p>
        </w:tc>
        <w:tc>
          <w:tcPr>
            <w:tcW w:w="887"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Goat (T5)</w:t>
            </w:r>
          </w:p>
        </w:tc>
        <w:tc>
          <w:tcPr>
            <w:tcW w:w="799"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SEM</w:t>
            </w:r>
          </w:p>
        </w:tc>
        <w:tc>
          <w:tcPr>
            <w:tcW w:w="976"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P value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1616" w:type="dxa"/>
            <w:tcBorders>
              <w:top w:val="single" w:color="auto" w:sz="4" w:space="0"/>
            </w:tcBorders>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Ca (cmol/kg )</w:t>
            </w:r>
          </w:p>
        </w:tc>
        <w:tc>
          <w:tcPr>
            <w:tcW w:w="1243"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10.3</w:t>
            </w:r>
          </w:p>
        </w:tc>
        <w:tc>
          <w:tcPr>
            <w:tcW w:w="1065"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3.04</w:t>
            </w:r>
            <w:r>
              <w:rPr>
                <w:rFonts w:ascii="Times New Roman" w:hAnsi="Times New Roman"/>
                <w:color w:val="000000"/>
                <w:sz w:val="24"/>
                <w:szCs w:val="24"/>
                <w:vertAlign w:val="superscript"/>
              </w:rPr>
              <w:t>e</w:t>
            </w:r>
          </w:p>
        </w:tc>
        <w:tc>
          <w:tcPr>
            <w:tcW w:w="976"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6.21</w:t>
            </w:r>
            <w:r>
              <w:rPr>
                <w:rFonts w:ascii="Times New Roman" w:hAnsi="Times New Roman"/>
                <w:color w:val="000000"/>
                <w:sz w:val="24"/>
                <w:szCs w:val="24"/>
                <w:vertAlign w:val="superscript"/>
              </w:rPr>
              <w:t>d</w:t>
            </w:r>
          </w:p>
        </w:tc>
        <w:tc>
          <w:tcPr>
            <w:tcW w:w="887"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6.88</w:t>
            </w:r>
            <w:r>
              <w:rPr>
                <w:rFonts w:ascii="Times New Roman" w:hAnsi="Times New Roman"/>
                <w:color w:val="000000"/>
                <w:sz w:val="24"/>
                <w:szCs w:val="24"/>
                <w:vertAlign w:val="superscript"/>
              </w:rPr>
              <w:t>c</w:t>
            </w:r>
          </w:p>
        </w:tc>
        <w:tc>
          <w:tcPr>
            <w:tcW w:w="976"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8.31</w:t>
            </w:r>
            <w:r>
              <w:rPr>
                <w:rFonts w:ascii="Times New Roman" w:hAnsi="Times New Roman"/>
                <w:color w:val="000000"/>
                <w:sz w:val="24"/>
                <w:szCs w:val="24"/>
                <w:vertAlign w:val="superscript"/>
              </w:rPr>
              <w:t>a</w:t>
            </w:r>
          </w:p>
        </w:tc>
        <w:tc>
          <w:tcPr>
            <w:tcW w:w="887"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6.96</w:t>
            </w:r>
            <w:r>
              <w:rPr>
                <w:rFonts w:ascii="Times New Roman" w:hAnsi="Times New Roman"/>
                <w:color w:val="000000"/>
                <w:sz w:val="24"/>
                <w:szCs w:val="24"/>
                <w:vertAlign w:val="superscript"/>
              </w:rPr>
              <w:t>b</w:t>
            </w:r>
          </w:p>
        </w:tc>
        <w:tc>
          <w:tcPr>
            <w:tcW w:w="799"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0.59</w:t>
            </w:r>
          </w:p>
        </w:tc>
        <w:tc>
          <w:tcPr>
            <w:tcW w:w="976"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Mg (cmol/kg )</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2.2</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1.42</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4.21</w:t>
            </w:r>
            <w:r>
              <w:rPr>
                <w:rFonts w:ascii="Times New Roman" w:hAnsi="Times New Roman"/>
                <w:color w:val="000000"/>
                <w:sz w:val="24"/>
                <w:szCs w:val="24"/>
                <w:vertAlign w:val="superscript"/>
              </w:rPr>
              <w:t>c</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4.61</w:t>
            </w:r>
            <w:r>
              <w:rPr>
                <w:rFonts w:ascii="Times New Roman" w:hAnsi="Times New Roman"/>
                <w:color w:val="000000"/>
                <w:sz w:val="24"/>
                <w:szCs w:val="24"/>
                <w:vertAlign w:val="superscript"/>
              </w:rPr>
              <w:t>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6.40</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4.68</w:t>
            </w:r>
            <w:r>
              <w:rPr>
                <w:rFonts w:ascii="Times New Roman" w:hAnsi="Times New Roman"/>
                <w:color w:val="000000"/>
                <w:sz w:val="24"/>
                <w:szCs w:val="24"/>
                <w:vertAlign w:val="superscript"/>
              </w:rPr>
              <w:t>b</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0.54</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6"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Na (cmol/kg )</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0.35</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0.61</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0.81</w:t>
            </w:r>
            <w:r>
              <w:rPr>
                <w:rFonts w:ascii="Times New Roman" w:hAnsi="Times New Roman"/>
                <w:color w:val="000000"/>
                <w:sz w:val="24"/>
                <w:szCs w:val="24"/>
                <w:vertAlign w:val="superscript"/>
              </w:rPr>
              <w:t>c</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0.91</w:t>
            </w:r>
            <w:r>
              <w:rPr>
                <w:rFonts w:ascii="Times New Roman" w:hAnsi="Times New Roman"/>
                <w:color w:val="000000"/>
                <w:sz w:val="24"/>
                <w:szCs w:val="24"/>
                <w:vertAlign w:val="superscript"/>
              </w:rPr>
              <w:t>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0.94</w:t>
            </w:r>
            <w:r>
              <w:rPr>
                <w:rFonts w:ascii="Times New Roman" w:hAnsi="Times New Roman"/>
                <w:color w:val="000000"/>
                <w:sz w:val="24"/>
                <w:szCs w:val="24"/>
                <w:vertAlign w:val="superscript"/>
              </w:rPr>
              <w:t>ab</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0.97</w:t>
            </w:r>
            <w:r>
              <w:rPr>
                <w:rFonts w:ascii="Times New Roman" w:hAnsi="Times New Roman"/>
                <w:color w:val="000000"/>
                <w:sz w:val="24"/>
                <w:szCs w:val="24"/>
                <w:vertAlign w:val="superscript"/>
              </w:rPr>
              <w:t>a</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0.44</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K (cmol/kg )</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0.95</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1.36</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1.76</w:t>
            </w:r>
            <w:r>
              <w:rPr>
                <w:rFonts w:ascii="Times New Roman" w:hAnsi="Times New Roman"/>
                <w:color w:val="000000"/>
                <w:sz w:val="24"/>
                <w:szCs w:val="24"/>
                <w:vertAlign w:val="superscript"/>
              </w:rPr>
              <w:t>c</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1.81</w:t>
            </w:r>
            <w:r>
              <w:rPr>
                <w:rFonts w:ascii="Times New Roman" w:hAnsi="Times New Roman"/>
                <w:color w:val="000000"/>
                <w:sz w:val="24"/>
                <w:szCs w:val="24"/>
                <w:vertAlign w:val="superscript"/>
              </w:rPr>
              <w:t>c</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1.88</w:t>
            </w:r>
            <w:r>
              <w:rPr>
                <w:rFonts w:ascii="Times New Roman" w:hAnsi="Times New Roman"/>
                <w:color w:val="000000"/>
                <w:sz w:val="24"/>
                <w:szCs w:val="24"/>
                <w:vertAlign w:val="superscript"/>
              </w:rPr>
              <w:t>b</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1.95</w:t>
            </w:r>
            <w:r>
              <w:rPr>
                <w:rFonts w:ascii="Times New Roman" w:hAnsi="Times New Roman"/>
                <w:color w:val="000000"/>
                <w:sz w:val="24"/>
                <w:szCs w:val="24"/>
                <w:vertAlign w:val="superscript"/>
              </w:rPr>
              <w:t>a</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0.69</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6"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 total N</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1.65</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0.25</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0.58</w:t>
            </w:r>
            <w:r>
              <w:rPr>
                <w:rFonts w:ascii="Times New Roman" w:hAnsi="Times New Roman"/>
                <w:color w:val="000000"/>
                <w:sz w:val="24"/>
                <w:szCs w:val="24"/>
                <w:vertAlign w:val="superscript"/>
              </w:rPr>
              <w:t>b</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0.46</w:t>
            </w:r>
            <w:r>
              <w:rPr>
                <w:rFonts w:ascii="Times New Roman" w:hAnsi="Times New Roman"/>
                <w:color w:val="000000"/>
                <w:sz w:val="24"/>
                <w:szCs w:val="24"/>
                <w:vertAlign w:val="superscript"/>
              </w:rPr>
              <w:t>c</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0.74</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0.54</w:t>
            </w:r>
            <w:r>
              <w:rPr>
                <w:rFonts w:ascii="Times New Roman" w:hAnsi="Times New Roman"/>
                <w:color w:val="000000"/>
                <w:sz w:val="24"/>
                <w:szCs w:val="24"/>
                <w:vertAlign w:val="superscript"/>
              </w:rPr>
              <w:t>bc</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0.54</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6"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 org C</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2.54</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1.11</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1.44</w:t>
            </w:r>
            <w:r>
              <w:rPr>
                <w:rFonts w:ascii="Times New Roman" w:hAnsi="Times New Roman"/>
                <w:color w:val="000000"/>
                <w:sz w:val="24"/>
                <w:szCs w:val="24"/>
                <w:vertAlign w:val="superscript"/>
              </w:rPr>
              <w:t>c</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1.58</w:t>
            </w:r>
            <w:r>
              <w:rPr>
                <w:rFonts w:ascii="Times New Roman" w:hAnsi="Times New Roman"/>
                <w:color w:val="000000"/>
                <w:sz w:val="24"/>
                <w:szCs w:val="24"/>
                <w:vertAlign w:val="superscript"/>
              </w:rPr>
              <w:t>ab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1.61</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1.53</w:t>
            </w:r>
            <w:r>
              <w:rPr>
                <w:rFonts w:ascii="Times New Roman" w:hAnsi="Times New Roman"/>
                <w:color w:val="000000"/>
                <w:sz w:val="24"/>
                <w:szCs w:val="24"/>
                <w:vertAlign w:val="superscript"/>
              </w:rPr>
              <w:t>b</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0.06</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 org M</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4.379</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1.91</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2.48</w:t>
            </w:r>
            <w:r>
              <w:rPr>
                <w:rFonts w:ascii="Times New Roman" w:hAnsi="Times New Roman"/>
                <w:color w:val="000000"/>
                <w:sz w:val="24"/>
                <w:szCs w:val="24"/>
                <w:vertAlign w:val="superscript"/>
              </w:rPr>
              <w:t>c</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2.72</w:t>
            </w:r>
            <w:r>
              <w:rPr>
                <w:rFonts w:ascii="Times New Roman" w:hAnsi="Times New Roman"/>
                <w:color w:val="000000"/>
                <w:sz w:val="24"/>
                <w:szCs w:val="24"/>
                <w:vertAlign w:val="superscript"/>
              </w:rPr>
              <w:t>ab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2.77</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2.64</w:t>
            </w:r>
            <w:r>
              <w:rPr>
                <w:rFonts w:ascii="Times New Roman" w:hAnsi="Times New Roman"/>
                <w:color w:val="000000"/>
                <w:sz w:val="24"/>
                <w:szCs w:val="24"/>
                <w:vertAlign w:val="superscript"/>
              </w:rPr>
              <w:t>b</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0.10</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Av. P (mg/kg)</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12.50</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11.54</w:t>
            </w:r>
            <w:r>
              <w:rPr>
                <w:rFonts w:ascii="Times New Roman" w:hAnsi="Times New Roman"/>
                <w:color w:val="000000"/>
                <w:sz w:val="24"/>
                <w:szCs w:val="24"/>
                <w:vertAlign w:val="superscript"/>
              </w:rPr>
              <w:t>e</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15.46</w:t>
            </w:r>
            <w:r>
              <w:rPr>
                <w:rFonts w:ascii="Times New Roman" w:hAnsi="Times New Roman"/>
                <w:color w:val="000000"/>
                <w:sz w:val="24"/>
                <w:szCs w:val="24"/>
                <w:vertAlign w:val="superscript"/>
              </w:rPr>
              <w:t>d</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16.67</w:t>
            </w:r>
            <w:r>
              <w:rPr>
                <w:rFonts w:ascii="Times New Roman" w:hAnsi="Times New Roman"/>
                <w:color w:val="000000"/>
                <w:sz w:val="24"/>
                <w:szCs w:val="24"/>
                <w:vertAlign w:val="superscript"/>
              </w:rPr>
              <w:t>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17.06</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16.56</w:t>
            </w:r>
            <w:r>
              <w:rPr>
                <w:rFonts w:ascii="Times New Roman" w:hAnsi="Times New Roman"/>
                <w:color w:val="000000"/>
                <w:sz w:val="24"/>
                <w:szCs w:val="24"/>
                <w:vertAlign w:val="superscript"/>
              </w:rPr>
              <w:t>c</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0.68</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Mn (mg/kg)</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0.35</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7.63</w:t>
            </w:r>
            <w:r>
              <w:rPr>
                <w:rFonts w:ascii="Times New Roman" w:hAnsi="Times New Roman"/>
                <w:color w:val="000000"/>
                <w:sz w:val="24"/>
                <w:szCs w:val="24"/>
                <w:vertAlign w:val="superscript"/>
              </w:rPr>
              <w:t>e</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9.64</w:t>
            </w:r>
            <w:r>
              <w:rPr>
                <w:rFonts w:ascii="Times New Roman" w:hAnsi="Times New Roman"/>
                <w:color w:val="000000"/>
                <w:sz w:val="24"/>
                <w:szCs w:val="24"/>
                <w:vertAlign w:val="superscript"/>
              </w:rPr>
              <w:t>d</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9.91</w:t>
            </w:r>
            <w:r>
              <w:rPr>
                <w:rFonts w:ascii="Times New Roman" w:hAnsi="Times New Roman"/>
                <w:color w:val="000000"/>
                <w:sz w:val="24"/>
                <w:szCs w:val="24"/>
                <w:vertAlign w:val="superscript"/>
              </w:rPr>
              <w:t>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11.06</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9.77</w:t>
            </w:r>
            <w:r>
              <w:rPr>
                <w:rFonts w:ascii="Times New Roman" w:hAnsi="Times New Roman"/>
                <w:color w:val="000000"/>
                <w:sz w:val="24"/>
                <w:szCs w:val="24"/>
                <w:vertAlign w:val="superscript"/>
              </w:rPr>
              <w:t>c</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0.37</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6"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Al (mg/kg)</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0.55</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0.11</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0.31</w:t>
            </w:r>
            <w:r>
              <w:rPr>
                <w:rFonts w:ascii="Times New Roman" w:hAnsi="Times New Roman"/>
                <w:color w:val="000000"/>
                <w:sz w:val="24"/>
                <w:szCs w:val="24"/>
                <w:vertAlign w:val="superscript"/>
              </w:rPr>
              <w:t>b</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0.25</w:t>
            </w:r>
            <w:r>
              <w:rPr>
                <w:rFonts w:ascii="Times New Roman" w:hAnsi="Times New Roman"/>
                <w:color w:val="000000"/>
                <w:sz w:val="24"/>
                <w:szCs w:val="24"/>
                <w:vertAlign w:val="superscript"/>
              </w:rPr>
              <w:t>c</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0.40</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0.22</w:t>
            </w:r>
            <w:r>
              <w:rPr>
                <w:rFonts w:ascii="Times New Roman" w:hAnsi="Times New Roman"/>
                <w:color w:val="000000"/>
                <w:sz w:val="24"/>
                <w:szCs w:val="24"/>
                <w:vertAlign w:val="superscript"/>
              </w:rPr>
              <w:t>c</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0.33</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Cu (mg/kg)</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0.25</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0.37</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0.60</w:t>
            </w:r>
            <w:r>
              <w:rPr>
                <w:rFonts w:ascii="Times New Roman" w:hAnsi="Times New Roman"/>
                <w:color w:val="000000"/>
                <w:sz w:val="24"/>
                <w:szCs w:val="24"/>
                <w:vertAlign w:val="superscript"/>
              </w:rPr>
              <w:t>c</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0.66</w:t>
            </w:r>
            <w:r>
              <w:rPr>
                <w:rFonts w:ascii="Times New Roman" w:hAnsi="Times New Roman"/>
                <w:color w:val="000000"/>
                <w:sz w:val="24"/>
                <w:szCs w:val="24"/>
                <w:vertAlign w:val="superscript"/>
              </w:rPr>
              <w:t>b</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0.73</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0.59</w:t>
            </w:r>
            <w:r>
              <w:rPr>
                <w:rFonts w:ascii="Times New Roman" w:hAnsi="Times New Roman"/>
                <w:color w:val="000000"/>
                <w:sz w:val="24"/>
                <w:szCs w:val="24"/>
                <w:vertAlign w:val="superscript"/>
              </w:rPr>
              <w:t>c</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0.04</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1616"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Mo (mg/kg)</w:t>
            </w:r>
          </w:p>
        </w:tc>
        <w:tc>
          <w:tcPr>
            <w:tcW w:w="1243"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0.08</w:t>
            </w:r>
          </w:p>
        </w:tc>
        <w:tc>
          <w:tcPr>
            <w:tcW w:w="106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0.16</w:t>
            </w:r>
            <w:r>
              <w:rPr>
                <w:rFonts w:ascii="Times New Roman" w:hAnsi="Times New Roman"/>
                <w:color w:val="000000"/>
                <w:sz w:val="24"/>
                <w:szCs w:val="24"/>
                <w:vertAlign w:val="superscript"/>
              </w:rPr>
              <w:t>d</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0.38</w:t>
            </w:r>
            <w:r>
              <w:rPr>
                <w:rFonts w:ascii="Times New Roman" w:hAnsi="Times New Roman"/>
                <w:color w:val="000000"/>
                <w:sz w:val="24"/>
                <w:szCs w:val="24"/>
                <w:vertAlign w:val="superscript"/>
              </w:rPr>
              <w:t>b</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0.32</w:t>
            </w:r>
            <w:r>
              <w:rPr>
                <w:rFonts w:ascii="Times New Roman" w:hAnsi="Times New Roman"/>
                <w:color w:val="000000"/>
                <w:sz w:val="24"/>
                <w:szCs w:val="24"/>
                <w:vertAlign w:val="superscript"/>
              </w:rPr>
              <w:t>c</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0.45</w:t>
            </w:r>
            <w:r>
              <w:rPr>
                <w:rFonts w:ascii="Times New Roman" w:hAnsi="Times New Roman"/>
                <w:color w:val="000000"/>
                <w:sz w:val="24"/>
                <w:szCs w:val="24"/>
                <w:vertAlign w:val="superscript"/>
              </w:rPr>
              <w:t>a</w:t>
            </w:r>
          </w:p>
        </w:tc>
        <w:tc>
          <w:tcPr>
            <w:tcW w:w="887"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0.38</w:t>
            </w:r>
            <w:r>
              <w:rPr>
                <w:rFonts w:ascii="Times New Roman" w:hAnsi="Times New Roman"/>
                <w:color w:val="000000"/>
                <w:sz w:val="24"/>
                <w:szCs w:val="24"/>
                <w:vertAlign w:val="superscript"/>
              </w:rPr>
              <w:t>b</w:t>
            </w:r>
          </w:p>
        </w:tc>
        <w:tc>
          <w:tcPr>
            <w:tcW w:w="79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0.03</w:t>
            </w:r>
          </w:p>
        </w:tc>
        <w:tc>
          <w:tcPr>
            <w:tcW w:w="97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bl>
    <w:p>
      <w:pPr>
        <w:spacing w:after="120" w:line="360" w:lineRule="auto"/>
        <w:jc w:val="both"/>
        <w:rPr>
          <w:rFonts w:ascii="Times New Roman" w:hAnsi="Times New Roman"/>
          <w:color w:val="000000"/>
          <w:sz w:val="24"/>
          <w:szCs w:val="24"/>
        </w:rPr>
      </w:pPr>
      <w:r>
        <w:rPr>
          <w:rFonts w:ascii="Times New Roman" w:hAnsi="Times New Roman"/>
          <w:color w:val="000000"/>
          <w:sz w:val="24"/>
          <w:szCs w:val="24"/>
          <w:vertAlign w:val="superscript"/>
        </w:rPr>
        <w:t>abcde</w:t>
      </w:r>
      <w:r>
        <w:rPr>
          <w:rFonts w:ascii="Times New Roman" w:hAnsi="Times New Roman"/>
          <w:color w:val="000000"/>
          <w:sz w:val="24"/>
          <w:szCs w:val="24"/>
        </w:rPr>
        <w:t>Means of treatments along a row with different superscripts differed significantly (p&lt;0.05). Ca-calcium, Mg-magnesium, Na-sodium, K-Potassium, N-nitrogen, Org C-organic carbon, Av. P- Available phosphorus, Mn-manganese, Al-aluminium, Cu-copper, Mo-Molybdenum.</w:t>
      </w: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480" w:lineRule="auto"/>
        <w:jc w:val="both"/>
        <w:rPr>
          <w:rFonts w:ascii="Times New Roman" w:hAnsi="Times New Roman"/>
          <w:b/>
          <w:bCs/>
          <w:color w:val="000000"/>
          <w:sz w:val="24"/>
          <w:szCs w:val="24"/>
        </w:rPr>
      </w:pPr>
      <w:r>
        <w:rPr>
          <w:rFonts w:ascii="Times New Roman" w:hAnsi="Times New Roman"/>
          <w:b/>
          <w:bCs/>
          <w:color w:val="000000"/>
          <w:sz w:val="24"/>
          <w:szCs w:val="24"/>
        </w:rPr>
        <w:t>4.2</w:t>
      </w:r>
      <w:r>
        <w:rPr>
          <w:rFonts w:ascii="Times New Roman" w:hAnsi="Times New Roman"/>
          <w:b/>
          <w:bCs/>
          <w:color w:val="000000"/>
          <w:sz w:val="24"/>
          <w:szCs w:val="24"/>
        </w:rPr>
        <w:tab/>
      </w:r>
      <w:r>
        <w:rPr>
          <w:rFonts w:ascii="Times New Roman" w:hAnsi="Times New Roman"/>
          <w:b/>
          <w:bCs/>
          <w:color w:val="000000"/>
          <w:sz w:val="24"/>
          <w:szCs w:val="24"/>
        </w:rPr>
        <w:t>pH of Soil Samples as affected by different livestock excreta</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pH of soil samples as affected by different livestock excreta is shown in Figure 4.1. It was observed that the control pH was 7.00 and differed significantly from the pH values recorded for poultry (5.67), pig (5.48), cattle (5.78), and goat (5.70) (Figure 4.1).</w:t>
      </w: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bookmarkStart w:id="55" w:name="_Hlk124286948"/>
      <w:bookmarkStart w:id="56" w:name="_Toc132200969"/>
      <w:r>
        <w:rPr>
          <w:rFonts w:ascii="Times New Roman" w:hAnsi="Times New Roman" w:cs="Times New Roman"/>
          <w:color w:val="000000" w:themeColor="text1"/>
          <w:sz w:val="24"/>
          <w:szCs w:val="24"/>
          <w14:textFill>
            <w14:solidFill>
              <w14:schemeClr w14:val="tx1"/>
            </w14:solidFill>
          </w14:textFill>
        </w:rPr>
        <w:t>4.3</w:t>
      </w: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Microbial Population of Soils Affected by Different Livestock Excreta</w:t>
      </w:r>
      <w:bookmarkEnd w:id="55"/>
      <w:bookmarkEnd w:id="56"/>
    </w:p>
    <w:p>
      <w:pPr>
        <w:spacing w:after="0" w:line="480" w:lineRule="auto"/>
        <w:jc w:val="both"/>
        <w:rPr>
          <w:rFonts w:ascii="Times New Roman" w:hAnsi="Times New Roman"/>
          <w:color w:val="000000"/>
          <w:sz w:val="24"/>
          <w:szCs w:val="24"/>
        </w:rPr>
      </w:pPr>
      <w:r>
        <w:rPr>
          <w:rFonts w:ascii="Times New Roman" w:hAnsi="Times New Roman"/>
          <w:color w:val="000000"/>
          <w:sz w:val="24"/>
          <w:szCs w:val="24"/>
        </w:rPr>
        <w:t>Table 4.2 shows the microbial population of soils affected by different livestock excreta. The T1 had the highest (p&lt;0.05) Heterotrophic Plate Count value of 82.00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compared to T2 (41.00), T3 (65.50), T4 (24.50) and T5 (51.00). Higher (p&lt;0.05) Total Fungi Count was observed in T1 (18.50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compared to other treatments. However, T5 (6.50) had the lowest TFC. The cellulolytic bacteria was highest in T1 (40.50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and lowest in T5 (14.50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The phosphate solubilizing bacteria in T2 (69.50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was significantly (p&lt;0.05) higher compared to other treatments. The nitrogen fixing bacteria was highest (p&lt;0.05) in T3 (12.50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and lowest in T1 (4.90) and T5 (4.75). Actinobacteria count in T3 was 35.50 x 10</w:t>
      </w:r>
      <w:r>
        <w:rPr>
          <w:rFonts w:ascii="Times New Roman" w:hAnsi="Times New Roman"/>
          <w:color w:val="000000"/>
          <w:sz w:val="24"/>
          <w:szCs w:val="24"/>
          <w:vertAlign w:val="superscript"/>
        </w:rPr>
        <w:t xml:space="preserve"> 6</w:t>
      </w:r>
      <w:r>
        <w:rPr>
          <w:rFonts w:ascii="Times New Roman" w:hAnsi="Times New Roman"/>
          <w:color w:val="000000"/>
          <w:sz w:val="24"/>
          <w:szCs w:val="24"/>
        </w:rPr>
        <w:t xml:space="preserve"> cfu/g; and was significantly (p&lt;0.05) higher than other treatments.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Table 4.3 shows the probable organisms (fungi) accompanying phosphate solubilizing bacteria (PSB) in soil samples on different livestock excreta treatments. It was observed that the control had higher occurrence of </w:t>
      </w:r>
      <w:r>
        <w:rPr>
          <w:rFonts w:ascii="Times New Roman" w:hAnsi="Times New Roman"/>
          <w:i/>
          <w:color w:val="000000"/>
          <w:sz w:val="24"/>
          <w:szCs w:val="24"/>
        </w:rPr>
        <w:t xml:space="preserve">Rhizopus stolonifera </w:t>
      </w:r>
      <w:r>
        <w:rPr>
          <w:rFonts w:ascii="Times New Roman" w:hAnsi="Times New Roman"/>
          <w:iCs/>
          <w:color w:val="000000"/>
          <w:sz w:val="24"/>
          <w:szCs w:val="24"/>
        </w:rPr>
        <w:t>(7.00) compared to pig (3.00), goat (1.75), and poultry (4.50). However,</w:t>
      </w:r>
      <w:r>
        <w:rPr>
          <w:rFonts w:ascii="Times New Roman" w:hAnsi="Times New Roman"/>
          <w:i/>
          <w:color w:val="000000"/>
          <w:sz w:val="24"/>
          <w:szCs w:val="24"/>
        </w:rPr>
        <w:t xml:space="preserve"> Aspergillus flavus </w:t>
      </w:r>
      <w:r>
        <w:rPr>
          <w:rFonts w:ascii="Times New Roman" w:hAnsi="Times New Roman"/>
          <w:iCs/>
          <w:color w:val="000000"/>
          <w:sz w:val="24"/>
          <w:szCs w:val="24"/>
        </w:rPr>
        <w:t>was also a probable fungi organism occurring in soil samples with pig excreta, and poultry litters.</w:t>
      </w:r>
      <w:r>
        <w:rPr>
          <w:rFonts w:ascii="Times New Roman" w:hAnsi="Times New Roman"/>
          <w:i/>
          <w:color w:val="000000"/>
          <w:sz w:val="24"/>
          <w:szCs w:val="24"/>
        </w:rPr>
        <w:t xml:space="preserve"> Fusarium oxysporum </w:t>
      </w:r>
      <w:r>
        <w:rPr>
          <w:rFonts w:ascii="Times New Roman" w:hAnsi="Times New Roman"/>
          <w:iCs/>
          <w:color w:val="000000"/>
          <w:sz w:val="24"/>
          <w:szCs w:val="24"/>
        </w:rPr>
        <w:t xml:space="preserve">(2.00) was present in Cattle dung. </w:t>
      </w:r>
    </w:p>
    <w:p>
      <w:pPr>
        <w:spacing w:after="0" w:line="480" w:lineRule="auto"/>
        <w:jc w:val="both"/>
        <w:rPr>
          <w:rFonts w:ascii="Times New Roman" w:hAnsi="Times New Roman"/>
          <w:color w:val="000000"/>
          <w:sz w:val="24"/>
          <w:szCs w:val="24"/>
        </w:rPr>
      </w:pPr>
    </w:p>
    <w:p>
      <w:pPr>
        <w:spacing w:after="120" w:line="48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drawing>
          <wp:inline distT="0" distB="0" distL="0" distR="0">
            <wp:extent cx="5677535" cy="3440430"/>
            <wp:effectExtent l="0" t="0" r="0" b="762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Figure 4.1: pH of soil samples as affected by different livestock excreta</w:t>
      </w:r>
    </w:p>
    <w:p>
      <w:pPr>
        <w:spacing w:after="120" w:line="360" w:lineRule="auto"/>
        <w:rPr>
          <w:rFonts w:ascii="Times New Roman" w:hAnsi="Times New Roman"/>
          <w:b/>
          <w:bCs/>
          <w:color w:val="000000"/>
          <w:sz w:val="24"/>
          <w:szCs w:val="24"/>
        </w:rPr>
      </w:pPr>
      <w:r>
        <w:rPr>
          <w:rFonts w:ascii="Times New Roman" w:hAnsi="Times New Roman"/>
          <w:color w:val="000000"/>
          <w:sz w:val="24"/>
          <w:szCs w:val="24"/>
        </w:rPr>
        <w:t>Source: Author’s Field Work, 2023</w:t>
      </w: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color w:val="000000"/>
          <w:sz w:val="24"/>
          <w:szCs w:val="24"/>
        </w:rPr>
      </w:pPr>
    </w:p>
    <w:p>
      <w:pPr>
        <w:rPr>
          <w:rFonts w:ascii="Times New Roman" w:hAnsi="Times New Roman"/>
          <w:sz w:val="24"/>
          <w:szCs w:val="24"/>
        </w:rPr>
      </w:pPr>
      <w:r>
        <w:rPr>
          <w:rFonts w:ascii="Times New Roman" w:hAnsi="Times New Roman"/>
          <w:sz w:val="24"/>
          <w:szCs w:val="24"/>
        </w:rPr>
        <w:br w:type="page"/>
      </w:r>
    </w:p>
    <w:tbl>
      <w:tblPr>
        <w:tblStyle w:val="5"/>
        <w:tblpPr w:leftFromText="180" w:rightFromText="180" w:vertAnchor="page" w:horzAnchor="margin" w:tblpY="2225"/>
        <w:tblW w:w="9782"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74"/>
        <w:gridCol w:w="1140"/>
        <w:gridCol w:w="1126"/>
        <w:gridCol w:w="1075"/>
        <w:gridCol w:w="1169"/>
        <w:gridCol w:w="1109"/>
        <w:gridCol w:w="1055"/>
        <w:gridCol w:w="1134"/>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tcBorders>
              <w:top w:val="single" w:color="auto" w:sz="4" w:space="0"/>
              <w:bottom w:val="single" w:color="auto" w:sz="4" w:space="0"/>
            </w:tcBorders>
            <w:shd w:val="clear" w:color="auto" w:fill="auto"/>
          </w:tcPr>
          <w:p>
            <w:p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Parameters</w:t>
            </w:r>
          </w:p>
          <w:p>
            <w:p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(x 10 </w:t>
            </w:r>
            <w:r>
              <w:rPr>
                <w:rFonts w:ascii="Times New Roman" w:hAnsi="Times New Roman"/>
                <w:b/>
                <w:bCs/>
                <w:color w:val="000000"/>
                <w:sz w:val="24"/>
                <w:szCs w:val="24"/>
                <w:vertAlign w:val="superscript"/>
              </w:rPr>
              <w:t xml:space="preserve">6 </w:t>
            </w:r>
            <w:r>
              <w:rPr>
                <w:rFonts w:ascii="Times New Roman" w:hAnsi="Times New Roman"/>
                <w:b/>
                <w:bCs/>
                <w:color w:val="000000"/>
                <w:sz w:val="24"/>
                <w:szCs w:val="24"/>
              </w:rPr>
              <w:t>cfu/g)</w:t>
            </w:r>
          </w:p>
        </w:tc>
        <w:tc>
          <w:tcPr>
            <w:tcW w:w="1140"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Control (T1)</w:t>
            </w:r>
          </w:p>
        </w:tc>
        <w:tc>
          <w:tcPr>
            <w:tcW w:w="1126"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Poultry (T2)</w:t>
            </w:r>
          </w:p>
        </w:tc>
        <w:tc>
          <w:tcPr>
            <w:tcW w:w="1075"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Pig</w:t>
            </w:r>
          </w:p>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(T3)</w:t>
            </w:r>
          </w:p>
        </w:tc>
        <w:tc>
          <w:tcPr>
            <w:tcW w:w="1169"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Cattle (T4)</w:t>
            </w:r>
          </w:p>
        </w:tc>
        <w:tc>
          <w:tcPr>
            <w:tcW w:w="1109"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Goat (T5)</w:t>
            </w:r>
          </w:p>
        </w:tc>
        <w:tc>
          <w:tcPr>
            <w:tcW w:w="1055"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SEM</w:t>
            </w:r>
          </w:p>
        </w:tc>
        <w:tc>
          <w:tcPr>
            <w:tcW w:w="1134"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P value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tcBorders>
              <w:top w:val="single" w:color="auto" w:sz="4" w:space="0"/>
            </w:tcBorders>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HPC</w:t>
            </w:r>
          </w:p>
        </w:tc>
        <w:tc>
          <w:tcPr>
            <w:tcW w:w="1140"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82.00</w:t>
            </w:r>
            <w:r>
              <w:rPr>
                <w:rFonts w:ascii="Times New Roman" w:hAnsi="Times New Roman"/>
                <w:color w:val="000000"/>
                <w:sz w:val="24"/>
                <w:szCs w:val="24"/>
                <w:vertAlign w:val="superscript"/>
              </w:rPr>
              <w:t>a</w:t>
            </w:r>
          </w:p>
        </w:tc>
        <w:tc>
          <w:tcPr>
            <w:tcW w:w="1126"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41.00</w:t>
            </w:r>
            <w:r>
              <w:rPr>
                <w:rFonts w:ascii="Times New Roman" w:hAnsi="Times New Roman"/>
                <w:color w:val="000000"/>
                <w:sz w:val="24"/>
                <w:szCs w:val="24"/>
                <w:vertAlign w:val="superscript"/>
              </w:rPr>
              <w:t>d</w:t>
            </w:r>
          </w:p>
        </w:tc>
        <w:tc>
          <w:tcPr>
            <w:tcW w:w="1075"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65.50</w:t>
            </w:r>
            <w:r>
              <w:rPr>
                <w:rFonts w:ascii="Times New Roman" w:hAnsi="Times New Roman"/>
                <w:color w:val="000000"/>
                <w:sz w:val="24"/>
                <w:szCs w:val="24"/>
                <w:vertAlign w:val="superscript"/>
              </w:rPr>
              <w:t>b</w:t>
            </w:r>
          </w:p>
        </w:tc>
        <w:tc>
          <w:tcPr>
            <w:tcW w:w="1169"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24.50</w:t>
            </w:r>
            <w:r>
              <w:rPr>
                <w:rFonts w:ascii="Times New Roman" w:hAnsi="Times New Roman"/>
                <w:color w:val="000000"/>
                <w:sz w:val="24"/>
                <w:szCs w:val="24"/>
                <w:vertAlign w:val="superscript"/>
              </w:rPr>
              <w:t>e</w:t>
            </w:r>
          </w:p>
        </w:tc>
        <w:tc>
          <w:tcPr>
            <w:tcW w:w="1109"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51.00</w:t>
            </w:r>
            <w:r>
              <w:rPr>
                <w:rFonts w:ascii="Times New Roman" w:hAnsi="Times New Roman"/>
                <w:color w:val="000000"/>
                <w:sz w:val="24"/>
                <w:szCs w:val="24"/>
                <w:vertAlign w:val="superscript"/>
              </w:rPr>
              <w:t>c</w:t>
            </w:r>
          </w:p>
        </w:tc>
        <w:tc>
          <w:tcPr>
            <w:tcW w:w="1055"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6.60</w:t>
            </w:r>
          </w:p>
        </w:tc>
        <w:tc>
          <w:tcPr>
            <w:tcW w:w="1134"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TFC</w:t>
            </w:r>
          </w:p>
        </w:tc>
        <w:tc>
          <w:tcPr>
            <w:tcW w:w="114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18.50</w:t>
            </w:r>
            <w:r>
              <w:rPr>
                <w:rFonts w:ascii="Times New Roman" w:hAnsi="Times New Roman"/>
                <w:color w:val="000000"/>
                <w:sz w:val="24"/>
                <w:szCs w:val="24"/>
                <w:vertAlign w:val="superscript"/>
              </w:rPr>
              <w:t>a</w:t>
            </w:r>
          </w:p>
        </w:tc>
        <w:tc>
          <w:tcPr>
            <w:tcW w:w="112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11.50</w:t>
            </w:r>
            <w:r>
              <w:rPr>
                <w:rFonts w:ascii="Times New Roman" w:hAnsi="Times New Roman"/>
                <w:color w:val="000000"/>
                <w:sz w:val="24"/>
                <w:szCs w:val="24"/>
                <w:vertAlign w:val="superscript"/>
              </w:rPr>
              <w:t>c</w:t>
            </w:r>
          </w:p>
        </w:tc>
        <w:tc>
          <w:tcPr>
            <w:tcW w:w="107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15.75</w:t>
            </w:r>
            <w:r>
              <w:rPr>
                <w:rFonts w:ascii="Times New Roman" w:hAnsi="Times New Roman"/>
                <w:color w:val="000000"/>
                <w:sz w:val="24"/>
                <w:szCs w:val="24"/>
                <w:vertAlign w:val="superscript"/>
              </w:rPr>
              <w:t>b</w:t>
            </w:r>
          </w:p>
        </w:tc>
        <w:tc>
          <w:tcPr>
            <w:tcW w:w="116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11.50</w:t>
            </w:r>
            <w:r>
              <w:rPr>
                <w:rFonts w:ascii="Times New Roman" w:hAnsi="Times New Roman"/>
                <w:color w:val="000000"/>
                <w:sz w:val="24"/>
                <w:szCs w:val="24"/>
                <w:vertAlign w:val="superscript"/>
              </w:rPr>
              <w:t>c</w:t>
            </w:r>
          </w:p>
        </w:tc>
        <w:tc>
          <w:tcPr>
            <w:tcW w:w="110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6.50</w:t>
            </w:r>
            <w:r>
              <w:rPr>
                <w:rFonts w:ascii="Times New Roman" w:hAnsi="Times New Roman"/>
                <w:color w:val="000000"/>
                <w:sz w:val="24"/>
                <w:szCs w:val="24"/>
                <w:vertAlign w:val="superscript"/>
              </w:rPr>
              <w:t>d</w:t>
            </w:r>
          </w:p>
        </w:tc>
        <w:tc>
          <w:tcPr>
            <w:tcW w:w="105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1.38</w:t>
            </w:r>
          </w:p>
        </w:tc>
        <w:tc>
          <w:tcPr>
            <w:tcW w:w="1134"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CBC</w:t>
            </w:r>
          </w:p>
        </w:tc>
        <w:tc>
          <w:tcPr>
            <w:tcW w:w="114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40.50</w:t>
            </w:r>
            <w:r>
              <w:rPr>
                <w:rFonts w:ascii="Times New Roman" w:hAnsi="Times New Roman"/>
                <w:color w:val="000000"/>
                <w:sz w:val="24"/>
                <w:szCs w:val="24"/>
                <w:vertAlign w:val="superscript"/>
              </w:rPr>
              <w:t>a</w:t>
            </w:r>
          </w:p>
        </w:tc>
        <w:tc>
          <w:tcPr>
            <w:tcW w:w="112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18.50</w:t>
            </w:r>
            <w:r>
              <w:rPr>
                <w:rFonts w:ascii="Times New Roman" w:hAnsi="Times New Roman"/>
                <w:color w:val="000000"/>
                <w:sz w:val="24"/>
                <w:szCs w:val="24"/>
                <w:vertAlign w:val="superscript"/>
              </w:rPr>
              <w:t>d</w:t>
            </w:r>
          </w:p>
        </w:tc>
        <w:tc>
          <w:tcPr>
            <w:tcW w:w="107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36.00</w:t>
            </w:r>
            <w:r>
              <w:rPr>
                <w:rFonts w:ascii="Times New Roman" w:hAnsi="Times New Roman"/>
                <w:color w:val="000000"/>
                <w:sz w:val="24"/>
                <w:szCs w:val="24"/>
                <w:vertAlign w:val="superscript"/>
              </w:rPr>
              <w:t>b</w:t>
            </w:r>
          </w:p>
        </w:tc>
        <w:tc>
          <w:tcPr>
            <w:tcW w:w="116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25.50</w:t>
            </w:r>
            <w:r>
              <w:rPr>
                <w:rFonts w:ascii="Times New Roman" w:hAnsi="Times New Roman"/>
                <w:color w:val="000000"/>
                <w:sz w:val="24"/>
                <w:szCs w:val="24"/>
                <w:vertAlign w:val="superscript"/>
              </w:rPr>
              <w:t>c</w:t>
            </w:r>
          </w:p>
        </w:tc>
        <w:tc>
          <w:tcPr>
            <w:tcW w:w="110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14.50</w:t>
            </w:r>
            <w:r>
              <w:rPr>
                <w:rFonts w:ascii="Times New Roman" w:hAnsi="Times New Roman"/>
                <w:color w:val="000000"/>
                <w:sz w:val="24"/>
                <w:szCs w:val="24"/>
                <w:vertAlign w:val="superscript"/>
              </w:rPr>
              <w:t>e</w:t>
            </w:r>
          </w:p>
        </w:tc>
        <w:tc>
          <w:tcPr>
            <w:tcW w:w="105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3.32</w:t>
            </w:r>
          </w:p>
        </w:tc>
        <w:tc>
          <w:tcPr>
            <w:tcW w:w="1134"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PSBC</w:t>
            </w:r>
          </w:p>
        </w:tc>
        <w:tc>
          <w:tcPr>
            <w:tcW w:w="114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23.50</w:t>
            </w:r>
            <w:r>
              <w:rPr>
                <w:rFonts w:ascii="Times New Roman" w:hAnsi="Times New Roman"/>
                <w:color w:val="000000"/>
                <w:sz w:val="24"/>
                <w:szCs w:val="24"/>
                <w:vertAlign w:val="superscript"/>
              </w:rPr>
              <w:t>c</w:t>
            </w:r>
          </w:p>
        </w:tc>
        <w:tc>
          <w:tcPr>
            <w:tcW w:w="112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69.50</w:t>
            </w:r>
            <w:r>
              <w:rPr>
                <w:rFonts w:ascii="Times New Roman" w:hAnsi="Times New Roman"/>
                <w:color w:val="000000"/>
                <w:sz w:val="24"/>
                <w:szCs w:val="24"/>
                <w:vertAlign w:val="superscript"/>
              </w:rPr>
              <w:t>a</w:t>
            </w:r>
          </w:p>
        </w:tc>
        <w:tc>
          <w:tcPr>
            <w:tcW w:w="107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25.50</w:t>
            </w:r>
            <w:r>
              <w:rPr>
                <w:rFonts w:ascii="Times New Roman" w:hAnsi="Times New Roman"/>
                <w:color w:val="000000"/>
                <w:sz w:val="24"/>
                <w:szCs w:val="24"/>
                <w:vertAlign w:val="superscript"/>
              </w:rPr>
              <w:t>b</w:t>
            </w:r>
          </w:p>
        </w:tc>
        <w:tc>
          <w:tcPr>
            <w:tcW w:w="116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18.75</w:t>
            </w:r>
            <w:r>
              <w:rPr>
                <w:rFonts w:ascii="Times New Roman" w:hAnsi="Times New Roman"/>
                <w:color w:val="000000"/>
                <w:sz w:val="24"/>
                <w:szCs w:val="24"/>
                <w:vertAlign w:val="superscript"/>
              </w:rPr>
              <w:t>d</w:t>
            </w:r>
          </w:p>
        </w:tc>
        <w:tc>
          <w:tcPr>
            <w:tcW w:w="110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24.85</w:t>
            </w:r>
            <w:r>
              <w:rPr>
                <w:rFonts w:ascii="Times New Roman" w:hAnsi="Times New Roman"/>
                <w:color w:val="000000"/>
                <w:sz w:val="24"/>
                <w:szCs w:val="24"/>
                <w:vertAlign w:val="superscript"/>
              </w:rPr>
              <w:t>bc</w:t>
            </w:r>
          </w:p>
        </w:tc>
        <w:tc>
          <w:tcPr>
            <w:tcW w:w="105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6.23</w:t>
            </w:r>
          </w:p>
        </w:tc>
        <w:tc>
          <w:tcPr>
            <w:tcW w:w="1134"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NFBC</w:t>
            </w:r>
          </w:p>
        </w:tc>
        <w:tc>
          <w:tcPr>
            <w:tcW w:w="114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4.90</w:t>
            </w:r>
            <w:r>
              <w:rPr>
                <w:rFonts w:ascii="Times New Roman" w:hAnsi="Times New Roman"/>
                <w:color w:val="000000"/>
                <w:sz w:val="24"/>
                <w:szCs w:val="24"/>
                <w:vertAlign w:val="superscript"/>
              </w:rPr>
              <w:t>d</w:t>
            </w:r>
          </w:p>
        </w:tc>
        <w:tc>
          <w:tcPr>
            <w:tcW w:w="112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8.90</w:t>
            </w:r>
            <w:r>
              <w:rPr>
                <w:rFonts w:ascii="Times New Roman" w:hAnsi="Times New Roman"/>
                <w:color w:val="000000"/>
                <w:sz w:val="24"/>
                <w:szCs w:val="24"/>
                <w:vertAlign w:val="superscript"/>
              </w:rPr>
              <w:t>b</w:t>
            </w:r>
          </w:p>
        </w:tc>
        <w:tc>
          <w:tcPr>
            <w:tcW w:w="107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12.50</w:t>
            </w:r>
            <w:r>
              <w:rPr>
                <w:rFonts w:ascii="Times New Roman" w:hAnsi="Times New Roman"/>
                <w:color w:val="000000"/>
                <w:sz w:val="24"/>
                <w:szCs w:val="24"/>
                <w:vertAlign w:val="superscript"/>
              </w:rPr>
              <w:t>a</w:t>
            </w:r>
          </w:p>
        </w:tc>
        <w:tc>
          <w:tcPr>
            <w:tcW w:w="116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7.75</w:t>
            </w:r>
            <w:r>
              <w:rPr>
                <w:rFonts w:ascii="Times New Roman" w:hAnsi="Times New Roman"/>
                <w:color w:val="000000"/>
                <w:sz w:val="24"/>
                <w:szCs w:val="24"/>
                <w:vertAlign w:val="superscript"/>
              </w:rPr>
              <w:t>c</w:t>
            </w:r>
          </w:p>
        </w:tc>
        <w:tc>
          <w:tcPr>
            <w:tcW w:w="110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4.75</w:t>
            </w:r>
            <w:r>
              <w:rPr>
                <w:rFonts w:ascii="Times New Roman" w:hAnsi="Times New Roman"/>
                <w:color w:val="000000"/>
                <w:sz w:val="24"/>
                <w:szCs w:val="24"/>
                <w:vertAlign w:val="superscript"/>
              </w:rPr>
              <w:t>d</w:t>
            </w:r>
          </w:p>
        </w:tc>
        <w:tc>
          <w:tcPr>
            <w:tcW w:w="105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0.96</w:t>
            </w:r>
          </w:p>
        </w:tc>
        <w:tc>
          <w:tcPr>
            <w:tcW w:w="1134"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0.001</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74" w:type="dxa"/>
            <w:shd w:val="clear" w:color="auto" w:fill="auto"/>
          </w:tcPr>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Actinobacteria</w:t>
            </w:r>
          </w:p>
        </w:tc>
        <w:tc>
          <w:tcPr>
            <w:tcW w:w="114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5.50</w:t>
            </w:r>
            <w:r>
              <w:rPr>
                <w:rFonts w:ascii="Times New Roman" w:hAnsi="Times New Roman"/>
                <w:color w:val="000000"/>
                <w:sz w:val="24"/>
                <w:szCs w:val="24"/>
                <w:vertAlign w:val="superscript"/>
              </w:rPr>
              <w:t>e</w:t>
            </w:r>
          </w:p>
        </w:tc>
        <w:tc>
          <w:tcPr>
            <w:tcW w:w="1126"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20.50</w:t>
            </w:r>
            <w:r>
              <w:rPr>
                <w:rFonts w:ascii="Times New Roman" w:hAnsi="Times New Roman"/>
                <w:color w:val="000000"/>
                <w:sz w:val="24"/>
                <w:szCs w:val="24"/>
                <w:vertAlign w:val="superscript"/>
              </w:rPr>
              <w:t>b</w:t>
            </w:r>
          </w:p>
        </w:tc>
        <w:tc>
          <w:tcPr>
            <w:tcW w:w="107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35.50</w:t>
            </w:r>
            <w:r>
              <w:rPr>
                <w:rFonts w:ascii="Times New Roman" w:hAnsi="Times New Roman"/>
                <w:color w:val="000000"/>
                <w:sz w:val="24"/>
                <w:szCs w:val="24"/>
                <w:vertAlign w:val="superscript"/>
              </w:rPr>
              <w:t>a</w:t>
            </w:r>
          </w:p>
        </w:tc>
        <w:tc>
          <w:tcPr>
            <w:tcW w:w="116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15.50</w:t>
            </w:r>
            <w:r>
              <w:rPr>
                <w:rFonts w:ascii="Times New Roman" w:hAnsi="Times New Roman"/>
                <w:color w:val="000000"/>
                <w:sz w:val="24"/>
                <w:szCs w:val="24"/>
                <w:vertAlign w:val="superscript"/>
              </w:rPr>
              <w:t>e</w:t>
            </w:r>
          </w:p>
        </w:tc>
        <w:tc>
          <w:tcPr>
            <w:tcW w:w="1109"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9.50</w:t>
            </w:r>
            <w:r>
              <w:rPr>
                <w:rFonts w:ascii="Times New Roman" w:hAnsi="Times New Roman"/>
                <w:color w:val="000000"/>
                <w:sz w:val="24"/>
                <w:szCs w:val="24"/>
                <w:vertAlign w:val="superscript"/>
              </w:rPr>
              <w:t>d</w:t>
            </w:r>
          </w:p>
        </w:tc>
        <w:tc>
          <w:tcPr>
            <w:tcW w:w="1055"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3.48</w:t>
            </w:r>
          </w:p>
        </w:tc>
        <w:tc>
          <w:tcPr>
            <w:tcW w:w="1134"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0.000</w:t>
            </w:r>
          </w:p>
        </w:tc>
      </w:tr>
    </w:tbl>
    <w:p>
      <w:pPr>
        <w:spacing w:after="120" w:line="360" w:lineRule="auto"/>
        <w:ind w:left="60"/>
        <w:rPr>
          <w:rFonts w:ascii="Times New Roman" w:hAnsi="Times New Roman"/>
          <w:color w:val="000000"/>
          <w:sz w:val="24"/>
          <w:szCs w:val="24"/>
        </w:rPr>
      </w:pPr>
      <w:r>
        <w:rPr>
          <w:rFonts w:ascii="Times New Roman" w:hAnsi="Times New Roman"/>
          <w:b/>
          <w:bCs/>
          <w:color w:val="000000"/>
          <w:sz w:val="24"/>
          <w:szCs w:val="24"/>
        </w:rPr>
        <w:t xml:space="preserve">Table 4.2: </w:t>
      </w:r>
      <w:r>
        <w:rPr>
          <w:rFonts w:ascii="Times New Roman" w:hAnsi="Times New Roman"/>
          <w:color w:val="000000"/>
          <w:sz w:val="24"/>
          <w:szCs w:val="24"/>
        </w:rPr>
        <w:t>Microbial Population of Different Soils as Affected by Different Livestock      Excreta</w:t>
      </w: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rPr>
          <w:rFonts w:ascii="Times New Roman" w:hAnsi="Times New Roman"/>
          <w:color w:val="000000"/>
          <w:sz w:val="24"/>
          <w:szCs w:val="24"/>
          <w:vertAlign w:val="superscript"/>
        </w:rPr>
        <w:t xml:space="preserve">de </w:t>
      </w:r>
      <w:r>
        <w:rPr>
          <w:rFonts w:ascii="Times New Roman" w:hAnsi="Times New Roman"/>
          <w:color w:val="000000"/>
          <w:sz w:val="24"/>
          <w:szCs w:val="24"/>
        </w:rPr>
        <w:t>Means of treatments along a row with different superscripts differed significantly (p&lt;0.05).</w:t>
      </w: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iCs/>
          <w:color w:val="000000"/>
          <w:sz w:val="24"/>
          <w:szCs w:val="24"/>
        </w:rPr>
      </w:pPr>
    </w:p>
    <w:p>
      <w:pPr>
        <w:spacing w:after="120" w:line="48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Table 4.3: </w:t>
      </w:r>
      <w:r>
        <w:rPr>
          <w:rFonts w:ascii="Times New Roman" w:hAnsi="Times New Roman"/>
          <w:color w:val="000000"/>
          <w:sz w:val="24"/>
          <w:szCs w:val="24"/>
        </w:rPr>
        <w:t>Probable Organisms (fungi) Accompanying Phosphate Solubilizing bacteria (PSB)</w:t>
      </w:r>
    </w:p>
    <w:tbl>
      <w:tblPr>
        <w:tblStyle w:val="5"/>
        <w:tblW w:w="9109"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15" w:type="dxa"/>
          <w:bottom w:w="0" w:type="dxa"/>
          <w:right w:w="115" w:type="dxa"/>
        </w:tblCellMar>
      </w:tblPr>
      <w:tblGrid>
        <w:gridCol w:w="2808"/>
        <w:gridCol w:w="1379"/>
        <w:gridCol w:w="4922"/>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551" w:hRule="atLeast"/>
        </w:trPr>
        <w:tc>
          <w:tcPr>
            <w:tcW w:w="2808" w:type="dxa"/>
          </w:tcPr>
          <w:p>
            <w:pPr>
              <w:spacing w:after="120" w:line="360" w:lineRule="auto"/>
              <w:rPr>
                <w:rFonts w:ascii="Times New Roman" w:hAnsi="Times New Roman"/>
                <w:b/>
                <w:bCs/>
                <w:color w:val="000000"/>
                <w:sz w:val="24"/>
                <w:szCs w:val="24"/>
              </w:rPr>
            </w:pPr>
            <w:r>
              <w:rPr>
                <w:rFonts w:ascii="Times New Roman" w:hAnsi="Times New Roman"/>
                <w:sz w:val="24"/>
                <w:szCs w:val="24"/>
              </w:rPr>
              <mc:AlternateContent>
                <mc:Choice Requires="wps">
                  <w:drawing>
                    <wp:anchor distT="0" distB="0" distL="114300" distR="114300" simplePos="0" relativeHeight="251676672" behindDoc="0" locked="0" layoutInCell="1" allowOverlap="1">
                      <wp:simplePos x="0" y="0"/>
                      <wp:positionH relativeFrom="column">
                        <wp:posOffset>-29210</wp:posOffset>
                      </wp:positionH>
                      <wp:positionV relativeFrom="paragraph">
                        <wp:posOffset>269875</wp:posOffset>
                      </wp:positionV>
                      <wp:extent cx="5720080" cy="0"/>
                      <wp:effectExtent l="0" t="0" r="13970" b="19050"/>
                      <wp:wrapNone/>
                      <wp:docPr id="36" name="Straight Connector 36"/>
                      <wp:cNvGraphicFramePr/>
                      <a:graphic xmlns:a="http://schemas.openxmlformats.org/drawingml/2006/main">
                        <a:graphicData uri="http://schemas.microsoft.com/office/word/2010/wordprocessingShape">
                          <wps:wsp>
                            <wps:cNvCnPr/>
                            <wps:spPr>
                              <a:xfrm>
                                <a:off x="0" y="0"/>
                                <a:ext cx="572008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_x0000_s1026" o:spid="_x0000_s1026" o:spt="20" style="position:absolute;left:0pt;margin-left:-2.3pt;margin-top:21.25pt;height:0pt;width:450.4pt;z-index:251676672;mso-width-relative:page;mso-height-relative:page;" filled="f" stroked="t" coordsize="21600,21600" o:gfxdata="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I+SZNtcAAAAIAQAADwAAAAAAAAABACAAAAAiAAAAZHJzL2Rvd25yZXYueG1sUEsBAhQA&#10;FAAAAAgAh07iQEZ579nzAQAA+QMAAA4AAAAAAAAAAQAgAAAAJgEAAGRycy9lMm9Eb2MueG1sUEsF&#10;BgAAAAAGAAYAWQEAAIsFAAAAAA==&#10;">
                      <v:fill on="f" focussize="0,0"/>
                      <v:stroke color="#000000" joinstyle="round"/>
                      <v:imagedata o:title=""/>
                      <o:lock v:ext="edit" aspectratio="f"/>
                    </v:line>
                  </w:pict>
                </mc:Fallback>
              </mc:AlternateContent>
            </w:r>
            <w:r>
              <w:rPr>
                <w:rFonts w:ascii="Times New Roman" w:hAnsi="Times New Roman"/>
                <w:color w:val="000000"/>
                <w:sz w:val="24"/>
                <w:szCs w:val="24"/>
              </w:rPr>
              <w:t>Poorly managed litter soil</w:t>
            </w:r>
          </w:p>
        </w:tc>
        <w:tc>
          <w:tcPr>
            <w:tcW w:w="1379" w:type="dxa"/>
          </w:tcPr>
          <w:p>
            <w:pPr>
              <w:spacing w:after="120" w:line="360" w:lineRule="auto"/>
              <w:jc w:val="center"/>
              <w:rPr>
                <w:rFonts w:ascii="Times New Roman" w:hAnsi="Times New Roman"/>
                <w:b/>
                <w:bCs/>
                <w:color w:val="000000"/>
                <w:sz w:val="24"/>
                <w:szCs w:val="24"/>
              </w:rPr>
            </w:pPr>
            <w:r>
              <w:rPr>
                <w:rFonts w:ascii="Times New Roman" w:hAnsi="Times New Roman"/>
                <w:color w:val="000000"/>
                <w:sz w:val="24"/>
                <w:szCs w:val="24"/>
              </w:rPr>
              <w:t>Occurrence</w:t>
            </w:r>
          </w:p>
        </w:tc>
        <w:tc>
          <w:tcPr>
            <w:tcW w:w="4922" w:type="dxa"/>
          </w:tcPr>
          <w:p>
            <w:pPr>
              <w:spacing w:after="120" w:line="360" w:lineRule="auto"/>
              <w:jc w:val="center"/>
              <w:rPr>
                <w:rFonts w:ascii="Times New Roman" w:hAnsi="Times New Roman"/>
                <w:b/>
                <w:bCs/>
                <w:color w:val="000000"/>
                <w:sz w:val="24"/>
                <w:szCs w:val="24"/>
              </w:rPr>
            </w:pPr>
            <w:r>
              <w:rPr>
                <w:rFonts w:ascii="Times New Roman" w:hAnsi="Times New Roman"/>
                <w:color w:val="000000"/>
                <w:sz w:val="24"/>
                <w:szCs w:val="24"/>
              </w:rPr>
              <w:t>Probable organisms (fungi)</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571" w:hRule="atLeast"/>
        </w:trPr>
        <w:tc>
          <w:tcPr>
            <w:tcW w:w="2808" w:type="dxa"/>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Control </w:t>
            </w:r>
          </w:p>
        </w:tc>
        <w:tc>
          <w:tcPr>
            <w:tcW w:w="1379"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7.0</w:t>
            </w:r>
          </w:p>
        </w:tc>
        <w:tc>
          <w:tcPr>
            <w:tcW w:w="4922" w:type="dxa"/>
          </w:tcPr>
          <w:p>
            <w:pPr>
              <w:spacing w:after="120" w:line="360" w:lineRule="auto"/>
              <w:jc w:val="center"/>
              <w:rPr>
                <w:rFonts w:ascii="Times New Roman" w:hAnsi="Times New Roman"/>
                <w:i/>
                <w:color w:val="000000"/>
                <w:sz w:val="24"/>
                <w:szCs w:val="24"/>
              </w:rPr>
            </w:pPr>
            <w:r>
              <w:rPr>
                <w:rFonts w:ascii="Times New Roman" w:hAnsi="Times New Roman"/>
                <w:i/>
                <w:color w:val="000000"/>
                <w:sz w:val="24"/>
                <w:szCs w:val="24"/>
              </w:rPr>
              <w:t>Rhizopus stolonifera</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551" w:hRule="atLeast"/>
        </w:trPr>
        <w:tc>
          <w:tcPr>
            <w:tcW w:w="2808" w:type="dxa"/>
          </w:tcPr>
          <w:p>
            <w:pPr>
              <w:spacing w:after="120" w:line="360" w:lineRule="auto"/>
              <w:rPr>
                <w:rFonts w:ascii="Times New Roman" w:hAnsi="Times New Roman"/>
                <w:color w:val="000000"/>
                <w:sz w:val="24"/>
                <w:szCs w:val="24"/>
              </w:rPr>
            </w:pPr>
            <w:r>
              <w:rPr>
                <w:rFonts w:ascii="Times New Roman" w:hAnsi="Times New Roman"/>
                <w:color w:val="000000"/>
                <w:sz w:val="24"/>
                <w:szCs w:val="24"/>
              </w:rPr>
              <w:t>Pig unit</w:t>
            </w:r>
          </w:p>
        </w:tc>
        <w:tc>
          <w:tcPr>
            <w:tcW w:w="1379"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3.0</w:t>
            </w:r>
          </w:p>
        </w:tc>
        <w:tc>
          <w:tcPr>
            <w:tcW w:w="4922" w:type="dxa"/>
          </w:tcPr>
          <w:p>
            <w:pPr>
              <w:spacing w:after="120" w:line="360" w:lineRule="auto"/>
              <w:jc w:val="center"/>
              <w:rPr>
                <w:rFonts w:ascii="Times New Roman" w:hAnsi="Times New Roman"/>
                <w:i/>
                <w:color w:val="000000"/>
                <w:sz w:val="24"/>
                <w:szCs w:val="24"/>
              </w:rPr>
            </w:pPr>
            <w:r>
              <w:rPr>
                <w:rFonts w:ascii="Times New Roman" w:hAnsi="Times New Roman"/>
                <w:i/>
                <w:color w:val="000000"/>
                <w:sz w:val="24"/>
                <w:szCs w:val="24"/>
              </w:rPr>
              <w:t>Aspergillus flavus, Rhizopus stolonifera</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571" w:hRule="atLeast"/>
        </w:trPr>
        <w:tc>
          <w:tcPr>
            <w:tcW w:w="2808" w:type="dxa"/>
          </w:tcPr>
          <w:p>
            <w:pPr>
              <w:spacing w:after="120" w:line="360" w:lineRule="auto"/>
              <w:rPr>
                <w:rFonts w:ascii="Times New Roman" w:hAnsi="Times New Roman"/>
                <w:color w:val="000000"/>
                <w:sz w:val="24"/>
                <w:szCs w:val="24"/>
              </w:rPr>
            </w:pPr>
            <w:r>
              <w:rPr>
                <w:rFonts w:ascii="Times New Roman" w:hAnsi="Times New Roman"/>
                <w:color w:val="000000"/>
                <w:sz w:val="24"/>
                <w:szCs w:val="24"/>
              </w:rPr>
              <w:t>Goat unit</w:t>
            </w:r>
          </w:p>
        </w:tc>
        <w:tc>
          <w:tcPr>
            <w:tcW w:w="1379"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1.75</w:t>
            </w:r>
          </w:p>
        </w:tc>
        <w:tc>
          <w:tcPr>
            <w:tcW w:w="4922" w:type="dxa"/>
          </w:tcPr>
          <w:p>
            <w:pPr>
              <w:spacing w:after="120" w:line="360" w:lineRule="auto"/>
              <w:jc w:val="center"/>
              <w:rPr>
                <w:rFonts w:ascii="Times New Roman" w:hAnsi="Times New Roman"/>
                <w:i/>
                <w:color w:val="000000"/>
                <w:sz w:val="24"/>
                <w:szCs w:val="24"/>
              </w:rPr>
            </w:pPr>
            <w:r>
              <w:rPr>
                <w:rFonts w:ascii="Times New Roman" w:hAnsi="Times New Roman"/>
                <w:i/>
                <w:color w:val="000000"/>
                <w:sz w:val="24"/>
                <w:szCs w:val="24"/>
              </w:rPr>
              <w:t>Rhizopus stolonifera</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551" w:hRule="atLeast"/>
        </w:trPr>
        <w:tc>
          <w:tcPr>
            <w:tcW w:w="2808" w:type="dxa"/>
          </w:tcPr>
          <w:p>
            <w:pPr>
              <w:spacing w:after="120" w:line="360" w:lineRule="auto"/>
              <w:rPr>
                <w:rFonts w:ascii="Times New Roman" w:hAnsi="Times New Roman"/>
                <w:color w:val="000000"/>
                <w:sz w:val="24"/>
                <w:szCs w:val="24"/>
              </w:rPr>
            </w:pPr>
            <w:r>
              <w:rPr>
                <w:rFonts w:ascii="Times New Roman" w:hAnsi="Times New Roman"/>
                <w:color w:val="000000"/>
                <w:sz w:val="24"/>
                <w:szCs w:val="24"/>
              </w:rPr>
              <w:t>Cow unit</w:t>
            </w:r>
          </w:p>
        </w:tc>
        <w:tc>
          <w:tcPr>
            <w:tcW w:w="1379"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w:t>
            </w:r>
          </w:p>
        </w:tc>
        <w:tc>
          <w:tcPr>
            <w:tcW w:w="4922" w:type="dxa"/>
          </w:tcPr>
          <w:p>
            <w:pPr>
              <w:spacing w:after="120" w:line="360" w:lineRule="auto"/>
              <w:jc w:val="center"/>
              <w:rPr>
                <w:rFonts w:ascii="Times New Roman" w:hAnsi="Times New Roman"/>
                <w:i/>
                <w:color w:val="000000"/>
                <w:sz w:val="24"/>
                <w:szCs w:val="24"/>
              </w:rPr>
            </w:pPr>
            <w:r>
              <w:rPr>
                <w:rFonts w:ascii="Times New Roman" w:hAnsi="Times New Roman"/>
                <w:i/>
                <w:color w:val="000000"/>
                <w:sz w:val="24"/>
                <w:szCs w:val="24"/>
              </w:rPr>
              <w:t>Fusarium oxysporum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539" w:hRule="atLeast"/>
        </w:trPr>
        <w:tc>
          <w:tcPr>
            <w:tcW w:w="2808" w:type="dxa"/>
          </w:tcPr>
          <w:p>
            <w:pPr>
              <w:spacing w:after="120" w:line="360" w:lineRule="auto"/>
              <w:rPr>
                <w:rFonts w:ascii="Times New Roman" w:hAnsi="Times New Roman"/>
                <w:color w:val="000000"/>
                <w:sz w:val="24"/>
                <w:szCs w:val="24"/>
              </w:rPr>
            </w:pPr>
            <w:r>
              <w:rPr>
                <w:rFonts w:ascii="Times New Roman" w:hAnsi="Times New Roman"/>
                <w:color w:val="000000"/>
                <w:sz w:val="24"/>
                <w:szCs w:val="24"/>
              </w:rPr>
              <w:t>Poultry unit</w:t>
            </w:r>
          </w:p>
        </w:tc>
        <w:tc>
          <w:tcPr>
            <w:tcW w:w="1379"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4.5</w:t>
            </w:r>
          </w:p>
        </w:tc>
        <w:tc>
          <w:tcPr>
            <w:tcW w:w="4922" w:type="dxa"/>
          </w:tcPr>
          <w:p>
            <w:pPr>
              <w:spacing w:after="120" w:line="360" w:lineRule="auto"/>
              <w:jc w:val="center"/>
              <w:rPr>
                <w:rFonts w:ascii="Times New Roman" w:hAnsi="Times New Roman"/>
                <w:i/>
                <w:color w:val="000000"/>
                <w:sz w:val="24"/>
                <w:szCs w:val="24"/>
              </w:rPr>
            </w:pPr>
            <w:r>
              <w:rPr>
                <w:rFonts w:ascii="Times New Roman" w:hAnsi="Times New Roman"/>
                <w:i/>
                <w:color w:val="000000"/>
                <w:sz w:val="24"/>
                <w:szCs w:val="24"/>
              </w:rPr>
              <w:t>Aspergillus flavus, Rhizopus stolonifera</w:t>
            </w:r>
          </w:p>
        </w:tc>
      </w:tr>
    </w:tbl>
    <w:p>
      <w:pPr>
        <w:spacing w:after="120" w:line="360" w:lineRule="auto"/>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rPr>
          <w:rFonts w:ascii="Times New Roman" w:hAnsi="Times New Roman"/>
          <w:color w:val="000000"/>
          <w:sz w:val="24"/>
          <w:szCs w:val="24"/>
        </w:rPr>
      </w:pPr>
    </w:p>
    <w:p>
      <w:pPr>
        <w:spacing w:after="200" w:line="276" w:lineRule="auto"/>
        <w:rPr>
          <w:rFonts w:ascii="Times New Roman" w:hAnsi="Times New Roman"/>
          <w:b/>
          <w:bCs/>
          <w:color w:val="000000"/>
          <w:sz w:val="24"/>
          <w:szCs w:val="24"/>
        </w:rPr>
      </w:pPr>
      <w:r>
        <w:rPr>
          <w:rFonts w:ascii="Times New Roman" w:hAnsi="Times New Roman"/>
          <w:b/>
          <w:bCs/>
          <w:color w:val="000000"/>
          <w:sz w:val="24"/>
          <w:szCs w:val="24"/>
        </w:rPr>
        <w:br w:type="page"/>
      </w:r>
    </w:p>
    <w:p>
      <w:pPr>
        <w:spacing w:after="120" w:line="480" w:lineRule="auto"/>
        <w:jc w:val="both"/>
        <w:rPr>
          <w:rFonts w:ascii="Times New Roman" w:hAnsi="Times New Roman"/>
          <w:iCs/>
          <w:color w:val="000000"/>
          <w:sz w:val="24"/>
          <w:szCs w:val="24"/>
        </w:rPr>
      </w:pPr>
      <w:r>
        <w:rPr>
          <w:rFonts w:ascii="Times New Roman" w:hAnsi="Times New Roman"/>
          <w:color w:val="000000"/>
          <w:sz w:val="24"/>
          <w:szCs w:val="24"/>
        </w:rPr>
        <w:t xml:space="preserve">Table 4.4 shows the probable organisms (fungi) accompanying Cellulolytic Bacteria (CB) in poorly managed litter soil. It was observed that the control had lower occurrence of </w:t>
      </w:r>
      <w:r>
        <w:rPr>
          <w:rFonts w:ascii="Times New Roman" w:hAnsi="Times New Roman"/>
          <w:i/>
          <w:color w:val="000000"/>
          <w:sz w:val="24"/>
          <w:szCs w:val="24"/>
        </w:rPr>
        <w:t>Fusarium oxysporum</w:t>
      </w:r>
      <w:r>
        <w:rPr>
          <w:rFonts w:ascii="Times New Roman" w:hAnsi="Times New Roman"/>
          <w:iCs/>
          <w:color w:val="000000"/>
          <w:sz w:val="24"/>
          <w:szCs w:val="24"/>
        </w:rPr>
        <w:t xml:space="preserve"> (2.00) compared to poultry (4.00). </w:t>
      </w:r>
      <w:r>
        <w:rPr>
          <w:rFonts w:ascii="Times New Roman" w:hAnsi="Times New Roman"/>
          <w:i/>
          <w:color w:val="000000"/>
          <w:sz w:val="24"/>
          <w:szCs w:val="24"/>
        </w:rPr>
        <w:t xml:space="preserve">Aspergillus flavus </w:t>
      </w:r>
      <w:r>
        <w:rPr>
          <w:rFonts w:ascii="Times New Roman" w:hAnsi="Times New Roman"/>
          <w:iCs/>
          <w:color w:val="000000"/>
          <w:sz w:val="24"/>
          <w:szCs w:val="24"/>
        </w:rPr>
        <w:t>was also a probable fungi organism occurring in soils with poorly managed goat excreta (1.00) and poultry litters (4.00).</w:t>
      </w:r>
      <w:r>
        <w:rPr>
          <w:rFonts w:ascii="Times New Roman" w:hAnsi="Times New Roman"/>
          <w:i/>
          <w:color w:val="000000"/>
          <w:sz w:val="24"/>
          <w:szCs w:val="24"/>
        </w:rPr>
        <w:t xml:space="preserve"> Aspergillus niger and Rhizopus stolonifera</w:t>
      </w:r>
      <w:r>
        <w:rPr>
          <w:rFonts w:ascii="Times New Roman" w:hAnsi="Times New Roman"/>
          <w:iCs/>
          <w:color w:val="000000"/>
          <w:sz w:val="24"/>
          <w:szCs w:val="24"/>
        </w:rPr>
        <w:t xml:space="preserve"> were present in Cattle dung (3.00).  </w:t>
      </w:r>
    </w:p>
    <w:p>
      <w:pPr>
        <w:spacing w:after="120" w:line="480" w:lineRule="auto"/>
        <w:jc w:val="both"/>
        <w:rPr>
          <w:rFonts w:ascii="Times New Roman" w:hAnsi="Times New Roman"/>
          <w:iCs/>
          <w:color w:val="000000"/>
          <w:sz w:val="24"/>
          <w:szCs w:val="24"/>
        </w:rPr>
      </w:pPr>
      <w:r>
        <w:rPr>
          <w:rFonts w:ascii="Times New Roman" w:hAnsi="Times New Roman"/>
          <w:color w:val="000000"/>
          <w:sz w:val="24"/>
          <w:szCs w:val="24"/>
        </w:rPr>
        <w:t xml:space="preserve">Table 4.5 shows the probable organisms (fungi) accompanying Nitrogen Fixing Bacteria (NFB) in poorly managed litter soil. It was observed that the control had occurrence of </w:t>
      </w:r>
      <w:r>
        <w:rPr>
          <w:rFonts w:ascii="Times New Roman" w:hAnsi="Times New Roman"/>
          <w:i/>
          <w:color w:val="000000"/>
          <w:sz w:val="24"/>
          <w:szCs w:val="24"/>
        </w:rPr>
        <w:t>Aspergillus flavus and  A. niger</w:t>
      </w:r>
      <w:r>
        <w:rPr>
          <w:rFonts w:ascii="Times New Roman" w:hAnsi="Times New Roman"/>
          <w:iCs/>
          <w:color w:val="000000"/>
          <w:sz w:val="24"/>
          <w:szCs w:val="24"/>
        </w:rPr>
        <w:t xml:space="preserve">. </w:t>
      </w:r>
      <w:r>
        <w:rPr>
          <w:rFonts w:ascii="Times New Roman" w:hAnsi="Times New Roman"/>
          <w:i/>
          <w:color w:val="000000"/>
          <w:sz w:val="24"/>
          <w:szCs w:val="24"/>
        </w:rPr>
        <w:t xml:space="preserve">Aspergillus flavus and Neurospora </w:t>
      </w:r>
      <w:r>
        <w:rPr>
          <w:rFonts w:ascii="Times New Roman" w:hAnsi="Times New Roman"/>
          <w:iCs/>
          <w:color w:val="000000"/>
          <w:sz w:val="24"/>
          <w:szCs w:val="24"/>
        </w:rPr>
        <w:t>were present</w:t>
      </w:r>
      <w:r>
        <w:rPr>
          <w:rFonts w:ascii="Times New Roman" w:hAnsi="Times New Roman"/>
          <w:i/>
          <w:color w:val="000000"/>
          <w:sz w:val="24"/>
          <w:szCs w:val="24"/>
        </w:rPr>
        <w:t xml:space="preserve"> </w:t>
      </w:r>
      <w:r>
        <w:rPr>
          <w:rFonts w:ascii="Times New Roman" w:hAnsi="Times New Roman"/>
          <w:iCs/>
          <w:color w:val="000000"/>
          <w:sz w:val="24"/>
          <w:szCs w:val="24"/>
        </w:rPr>
        <w:t xml:space="preserve">in soils with poorly managed poultry litters (2.00). </w:t>
      </w:r>
      <w:r>
        <w:rPr>
          <w:rFonts w:ascii="Times New Roman" w:hAnsi="Times New Roman"/>
          <w:i/>
          <w:color w:val="000000"/>
          <w:sz w:val="24"/>
          <w:szCs w:val="24"/>
        </w:rPr>
        <w:t xml:space="preserve">Aspergillus niger </w:t>
      </w:r>
      <w:r>
        <w:rPr>
          <w:rFonts w:ascii="Times New Roman" w:hAnsi="Times New Roman"/>
          <w:iCs/>
          <w:color w:val="000000"/>
          <w:sz w:val="24"/>
          <w:szCs w:val="24"/>
        </w:rPr>
        <w:t xml:space="preserve">was present in Cattle dung (1.00), </w:t>
      </w:r>
      <w:r>
        <w:rPr>
          <w:rFonts w:ascii="Times New Roman" w:hAnsi="Times New Roman"/>
          <w:i/>
          <w:color w:val="000000"/>
          <w:sz w:val="24"/>
          <w:szCs w:val="24"/>
        </w:rPr>
        <w:t>Fusarium  oxysporum</w:t>
      </w:r>
      <w:r>
        <w:rPr>
          <w:rFonts w:ascii="Times New Roman" w:hAnsi="Times New Roman"/>
          <w:iCs/>
          <w:color w:val="000000"/>
          <w:sz w:val="24"/>
          <w:szCs w:val="24"/>
        </w:rPr>
        <w:t xml:space="preserve"> was present in soils with poorly managed goat excreta.</w:t>
      </w:r>
    </w:p>
    <w:p>
      <w:pPr>
        <w:spacing w:after="120" w:line="480" w:lineRule="auto"/>
        <w:jc w:val="both"/>
        <w:rPr>
          <w:rFonts w:ascii="Times New Roman" w:hAnsi="Times New Roman"/>
          <w:iCs/>
          <w:color w:val="000000"/>
          <w:sz w:val="24"/>
          <w:szCs w:val="24"/>
        </w:rPr>
      </w:pPr>
      <w:r>
        <w:rPr>
          <w:rFonts w:ascii="Times New Roman" w:hAnsi="Times New Roman"/>
          <w:color w:val="000000"/>
          <w:sz w:val="24"/>
          <w:szCs w:val="24"/>
        </w:rPr>
        <w:t xml:space="preserve">Table 4.6 shows the probable organisms (fungi) accompanying Actinomycetes Bacteria (ACMB) in poorly managed litter soil. It was observed that the control had occurrence of </w:t>
      </w:r>
      <w:r>
        <w:rPr>
          <w:rFonts w:ascii="Times New Roman" w:hAnsi="Times New Roman"/>
          <w:i/>
          <w:color w:val="000000"/>
          <w:sz w:val="24"/>
          <w:szCs w:val="24"/>
        </w:rPr>
        <w:t xml:space="preserve">Aspergillus flavus, Fusarium oxysporum, and Rhizopus stolonifera (3.00).  Fusarium oxysporum, </w:t>
      </w:r>
      <w:r>
        <w:rPr>
          <w:rFonts w:ascii="Times New Roman" w:hAnsi="Times New Roman"/>
          <w:iCs/>
          <w:color w:val="000000"/>
          <w:sz w:val="24"/>
          <w:szCs w:val="24"/>
        </w:rPr>
        <w:t xml:space="preserve">and </w:t>
      </w:r>
      <w:r>
        <w:rPr>
          <w:rFonts w:ascii="Times New Roman" w:hAnsi="Times New Roman"/>
          <w:i/>
          <w:color w:val="000000"/>
          <w:sz w:val="24"/>
          <w:szCs w:val="24"/>
        </w:rPr>
        <w:t xml:space="preserve">Rhizopus stolonifera </w:t>
      </w:r>
      <w:r>
        <w:rPr>
          <w:rFonts w:ascii="Times New Roman" w:hAnsi="Times New Roman"/>
          <w:iCs/>
          <w:color w:val="000000"/>
          <w:sz w:val="24"/>
          <w:szCs w:val="24"/>
        </w:rPr>
        <w:t>were highly present in poorly managed pig litter soils, compared to the control soil.</w:t>
      </w:r>
      <w:r>
        <w:rPr>
          <w:rFonts w:ascii="Times New Roman" w:hAnsi="Times New Roman"/>
          <w:i/>
          <w:color w:val="000000"/>
          <w:sz w:val="24"/>
          <w:szCs w:val="24"/>
        </w:rPr>
        <w:t xml:space="preserve"> Aspergillus flavus </w:t>
      </w:r>
      <w:r>
        <w:rPr>
          <w:rFonts w:ascii="Times New Roman" w:hAnsi="Times New Roman"/>
          <w:iCs/>
          <w:color w:val="000000"/>
          <w:sz w:val="24"/>
          <w:szCs w:val="24"/>
        </w:rPr>
        <w:t>and</w:t>
      </w:r>
      <w:r>
        <w:rPr>
          <w:rFonts w:ascii="Times New Roman" w:hAnsi="Times New Roman"/>
          <w:i/>
          <w:color w:val="000000"/>
          <w:sz w:val="24"/>
          <w:szCs w:val="24"/>
        </w:rPr>
        <w:t xml:space="preserve"> Fusarium oxysporum</w:t>
      </w:r>
      <w:r>
        <w:rPr>
          <w:rFonts w:ascii="Times New Roman" w:hAnsi="Times New Roman"/>
          <w:iCs/>
          <w:color w:val="000000"/>
          <w:sz w:val="24"/>
          <w:szCs w:val="24"/>
        </w:rPr>
        <w:t xml:space="preserve"> were present in Cattle dung (6.00). </w:t>
      </w:r>
      <w:r>
        <w:rPr>
          <w:rFonts w:ascii="Times New Roman" w:hAnsi="Times New Roman"/>
          <w:i/>
          <w:color w:val="000000"/>
          <w:sz w:val="24"/>
          <w:szCs w:val="24"/>
        </w:rPr>
        <w:t>A.flavus and Rhizopus stolonifera were</w:t>
      </w:r>
      <w:r>
        <w:rPr>
          <w:rFonts w:ascii="Times New Roman" w:hAnsi="Times New Roman"/>
          <w:iCs/>
          <w:color w:val="000000"/>
          <w:sz w:val="24"/>
          <w:szCs w:val="24"/>
        </w:rPr>
        <w:t xml:space="preserve"> present in soils with poorly managed poultry litter.</w:t>
      </w:r>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bookmarkStart w:id="57" w:name="OLE_LINK1"/>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p>
    <w:p>
      <w:p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Table 4.4: </w:t>
      </w:r>
      <w:r>
        <w:rPr>
          <w:rFonts w:ascii="Times New Roman" w:hAnsi="Times New Roman"/>
          <w:color w:val="000000"/>
          <w:sz w:val="24"/>
          <w:szCs w:val="24"/>
        </w:rPr>
        <w:t>Probable Organisms (fungi) Accompanying Cellulolytic Bacteria (CB)</w:t>
      </w:r>
    </w:p>
    <w:tbl>
      <w:tblPr>
        <w:tblStyle w:val="5"/>
        <w:tblW w:w="8978"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808"/>
        <w:gridCol w:w="180"/>
        <w:gridCol w:w="1800"/>
        <w:gridCol w:w="419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2988" w:type="dxa"/>
            <w:gridSpan w:val="2"/>
            <w:tcBorders>
              <w:top w:val="single" w:color="auto" w:sz="4" w:space="0"/>
              <w:bottom w:val="single" w:color="auto" w:sz="4" w:space="0"/>
            </w:tcBorders>
            <w:shd w:val="clear" w:color="auto" w:fill="auto"/>
          </w:tcPr>
          <w:p>
            <w:pPr>
              <w:spacing w:after="120" w:line="360" w:lineRule="auto"/>
              <w:rPr>
                <w:rFonts w:ascii="Times New Roman" w:hAnsi="Times New Roman"/>
                <w:b/>
                <w:color w:val="000000"/>
                <w:sz w:val="24"/>
                <w:szCs w:val="24"/>
              </w:rPr>
            </w:pPr>
            <w:r>
              <w:rPr>
                <w:rFonts w:ascii="Times New Roman" w:hAnsi="Times New Roman"/>
                <w:b/>
                <w:color w:val="000000"/>
                <w:sz w:val="24"/>
                <w:szCs w:val="24"/>
              </w:rPr>
              <w:t>Poorly managed litter soil</w:t>
            </w:r>
          </w:p>
        </w:tc>
        <w:tc>
          <w:tcPr>
            <w:tcW w:w="1800"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color w:val="000000"/>
                <w:sz w:val="24"/>
                <w:szCs w:val="24"/>
              </w:rPr>
            </w:pPr>
            <w:r>
              <w:rPr>
                <w:rFonts w:ascii="Times New Roman" w:hAnsi="Times New Roman"/>
                <w:b/>
                <w:color w:val="000000"/>
                <w:sz w:val="24"/>
                <w:szCs w:val="24"/>
              </w:rPr>
              <w:t>Occurrence</w:t>
            </w:r>
          </w:p>
        </w:tc>
        <w:tc>
          <w:tcPr>
            <w:tcW w:w="4190" w:type="dxa"/>
            <w:tcBorders>
              <w:top w:val="single" w:color="auto" w:sz="4" w:space="0"/>
              <w:bottom w:val="single" w:color="auto" w:sz="4" w:space="0"/>
            </w:tcBorders>
            <w:shd w:val="clear" w:color="auto" w:fill="auto"/>
          </w:tcPr>
          <w:p>
            <w:pPr>
              <w:spacing w:after="120" w:line="360" w:lineRule="auto"/>
              <w:rPr>
                <w:rFonts w:ascii="Times New Roman" w:hAnsi="Times New Roman"/>
                <w:b/>
                <w:color w:val="000000"/>
                <w:sz w:val="24"/>
                <w:szCs w:val="24"/>
              </w:rPr>
            </w:pPr>
            <w:r>
              <w:rPr>
                <w:rFonts w:ascii="Times New Roman" w:hAnsi="Times New Roman"/>
                <w:b/>
                <w:color w:val="000000"/>
                <w:sz w:val="24"/>
                <w:szCs w:val="24"/>
              </w:rPr>
              <w:t>Probable organism (fungi)</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2808" w:type="dxa"/>
            <w:tcBorders>
              <w:top w:val="single" w:color="auto" w:sz="4" w:space="0"/>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Control</w:t>
            </w:r>
          </w:p>
        </w:tc>
        <w:tc>
          <w:tcPr>
            <w:tcW w:w="1980" w:type="dxa"/>
            <w:gridSpan w:val="2"/>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2.00</w:t>
            </w:r>
          </w:p>
        </w:tc>
        <w:tc>
          <w:tcPr>
            <w:tcW w:w="4190" w:type="dxa"/>
            <w:tcBorders>
              <w:top w:val="single" w:color="auto" w:sz="4" w:space="0"/>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Fusarium oxysporum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280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Goat unit</w:t>
            </w:r>
          </w:p>
        </w:tc>
        <w:tc>
          <w:tcPr>
            <w:tcW w:w="1980" w:type="dxa"/>
            <w:gridSpan w:val="2"/>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1.00</w:t>
            </w:r>
          </w:p>
        </w:tc>
        <w:tc>
          <w:tcPr>
            <w:tcW w:w="4190"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Aspergillus flavus, Rhizopus stolonifer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280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Pig unit</w:t>
            </w:r>
          </w:p>
        </w:tc>
        <w:tc>
          <w:tcPr>
            <w:tcW w:w="1980" w:type="dxa"/>
            <w:gridSpan w:val="2"/>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2.00</w:t>
            </w:r>
          </w:p>
        </w:tc>
        <w:tc>
          <w:tcPr>
            <w:tcW w:w="4190"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Rhizopus stolonifer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280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Cow unit</w:t>
            </w:r>
          </w:p>
        </w:tc>
        <w:tc>
          <w:tcPr>
            <w:tcW w:w="1980" w:type="dxa"/>
            <w:gridSpan w:val="2"/>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3.00</w:t>
            </w:r>
          </w:p>
        </w:tc>
        <w:tc>
          <w:tcPr>
            <w:tcW w:w="4190"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Aspergillus niger, Rhizopus stolonifer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280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Poultry unit</w:t>
            </w:r>
          </w:p>
        </w:tc>
        <w:tc>
          <w:tcPr>
            <w:tcW w:w="1980" w:type="dxa"/>
            <w:gridSpan w:val="2"/>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4.00</w:t>
            </w:r>
          </w:p>
        </w:tc>
        <w:tc>
          <w:tcPr>
            <w:tcW w:w="4190"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Fusarium , oxysporum Aspergillus flavus</w:t>
            </w:r>
          </w:p>
        </w:tc>
      </w:tr>
    </w:tbl>
    <w:p>
      <w:pPr>
        <w:spacing w:after="120" w:line="360" w:lineRule="auto"/>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b/>
          <w:bCs/>
          <w:color w:val="000000"/>
          <w:sz w:val="24"/>
          <w:szCs w:val="24"/>
        </w:rPr>
      </w:pPr>
      <w:r>
        <w:rPr>
          <w:rFonts w:ascii="Times New Roman" w:hAnsi="Times New Roman"/>
          <w:b/>
          <w:bCs/>
          <w:color w:val="000000"/>
          <w:sz w:val="24"/>
          <w:szCs w:val="24"/>
        </w:rPr>
        <w:t xml:space="preserve">Table 4.5: </w:t>
      </w:r>
      <w:r>
        <w:rPr>
          <w:rFonts w:ascii="Times New Roman" w:hAnsi="Times New Roman"/>
          <w:color w:val="000000"/>
          <w:sz w:val="24"/>
          <w:szCs w:val="24"/>
        </w:rPr>
        <w:t>Probable Organisms (fungi) Accompanying Nitrogen Fixing Bacteria (NFB)</w:t>
      </w:r>
    </w:p>
    <w:tbl>
      <w:tblPr>
        <w:tblStyle w:val="5"/>
        <w:tblW w:w="8890"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988"/>
        <w:gridCol w:w="1890"/>
        <w:gridCol w:w="4012"/>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988" w:type="dxa"/>
            <w:tcBorders>
              <w:top w:val="single" w:color="auto" w:sz="4" w:space="0"/>
              <w:bottom w:val="single" w:color="auto" w:sz="4" w:space="0"/>
            </w:tcBorders>
            <w:shd w:val="clear" w:color="auto" w:fill="auto"/>
          </w:tcPr>
          <w:p>
            <w:pPr>
              <w:spacing w:after="120" w:line="360" w:lineRule="auto"/>
              <w:rPr>
                <w:rFonts w:ascii="Times New Roman" w:hAnsi="Times New Roman"/>
                <w:b/>
                <w:bCs/>
                <w:color w:val="000000"/>
                <w:sz w:val="24"/>
                <w:szCs w:val="24"/>
              </w:rPr>
            </w:pPr>
            <w:r>
              <w:rPr>
                <w:rFonts w:ascii="Times New Roman" w:hAnsi="Times New Roman"/>
                <w:b/>
                <w:bCs/>
                <w:color w:val="000000"/>
                <w:sz w:val="24"/>
                <w:szCs w:val="24"/>
              </w:rPr>
              <w:t>Poorly managed litter soil</w:t>
            </w:r>
          </w:p>
        </w:tc>
        <w:tc>
          <w:tcPr>
            <w:tcW w:w="1890"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Occurrence</w:t>
            </w:r>
          </w:p>
        </w:tc>
        <w:tc>
          <w:tcPr>
            <w:tcW w:w="4012" w:type="dxa"/>
            <w:tcBorders>
              <w:top w:val="single" w:color="auto" w:sz="4" w:space="0"/>
              <w:bottom w:val="single" w:color="auto" w:sz="4" w:space="0"/>
            </w:tcBorders>
            <w:shd w:val="clear" w:color="auto" w:fill="auto"/>
          </w:tcPr>
          <w:p>
            <w:pPr>
              <w:spacing w:after="120" w:line="360" w:lineRule="auto"/>
              <w:rPr>
                <w:rFonts w:ascii="Times New Roman" w:hAnsi="Times New Roman"/>
                <w:b/>
                <w:bCs/>
                <w:color w:val="000000"/>
                <w:sz w:val="24"/>
                <w:szCs w:val="24"/>
              </w:rPr>
            </w:pPr>
            <w:r>
              <w:rPr>
                <w:rFonts w:ascii="Times New Roman" w:hAnsi="Times New Roman"/>
                <w:b/>
                <w:bCs/>
                <w:color w:val="000000"/>
                <w:sz w:val="24"/>
                <w:szCs w:val="24"/>
              </w:rPr>
              <w:t>Probable organism (fungi)</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9" w:hRule="atLeast"/>
        </w:trPr>
        <w:tc>
          <w:tcPr>
            <w:tcW w:w="2988" w:type="dxa"/>
            <w:tcBorders>
              <w:top w:val="single" w:color="auto" w:sz="4" w:space="0"/>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Control</w:t>
            </w:r>
          </w:p>
        </w:tc>
        <w:tc>
          <w:tcPr>
            <w:tcW w:w="1890"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2.00</w:t>
            </w:r>
          </w:p>
        </w:tc>
        <w:tc>
          <w:tcPr>
            <w:tcW w:w="4012" w:type="dxa"/>
            <w:tcBorders>
              <w:top w:val="single" w:color="auto" w:sz="4" w:space="0"/>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Aspergillus flavus, A. niger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3" w:hRule="atLeast"/>
        </w:trPr>
        <w:tc>
          <w:tcPr>
            <w:tcW w:w="298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Goat unit</w:t>
            </w:r>
          </w:p>
        </w:tc>
        <w:tc>
          <w:tcPr>
            <w:tcW w:w="189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1.00</w:t>
            </w:r>
          </w:p>
        </w:tc>
        <w:tc>
          <w:tcPr>
            <w:tcW w:w="4012"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Fusarium  oxysporum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9" w:hRule="atLeast"/>
        </w:trPr>
        <w:tc>
          <w:tcPr>
            <w:tcW w:w="298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Pig unit</w:t>
            </w:r>
          </w:p>
        </w:tc>
        <w:tc>
          <w:tcPr>
            <w:tcW w:w="189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2.00</w:t>
            </w:r>
          </w:p>
        </w:tc>
        <w:tc>
          <w:tcPr>
            <w:tcW w:w="4012"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Aspergillus niger,Fusarium oxysporum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9" w:hRule="atLeast"/>
        </w:trPr>
        <w:tc>
          <w:tcPr>
            <w:tcW w:w="298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Cow unit</w:t>
            </w:r>
          </w:p>
        </w:tc>
        <w:tc>
          <w:tcPr>
            <w:tcW w:w="189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1.00</w:t>
            </w:r>
          </w:p>
        </w:tc>
        <w:tc>
          <w:tcPr>
            <w:tcW w:w="4012"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 niger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9" w:hRule="atLeast"/>
        </w:trPr>
        <w:tc>
          <w:tcPr>
            <w:tcW w:w="298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Poultry unit</w:t>
            </w:r>
          </w:p>
        </w:tc>
        <w:tc>
          <w:tcPr>
            <w:tcW w:w="189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2.00</w:t>
            </w:r>
          </w:p>
        </w:tc>
        <w:tc>
          <w:tcPr>
            <w:tcW w:w="4012"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Aspergillus flavus, Neurospora</w:t>
            </w:r>
          </w:p>
        </w:tc>
      </w:tr>
    </w:tbl>
    <w:p>
      <w:pPr>
        <w:spacing w:after="120" w:line="360" w:lineRule="auto"/>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Table 4.6: </w:t>
      </w:r>
      <w:r>
        <w:rPr>
          <w:rFonts w:ascii="Times New Roman" w:hAnsi="Times New Roman"/>
          <w:color w:val="000000"/>
          <w:sz w:val="24"/>
          <w:szCs w:val="24"/>
        </w:rPr>
        <w:t>Probable Organisms (fungi) Accompanying Actinomycetes Bacteria (ACMB)</w:t>
      </w:r>
    </w:p>
    <w:tbl>
      <w:tblPr>
        <w:tblStyle w:val="5"/>
        <w:tblW w:w="9087"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68"/>
        <w:gridCol w:w="1710"/>
        <w:gridCol w:w="4209"/>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3168" w:type="dxa"/>
            <w:tcBorders>
              <w:top w:val="single" w:color="auto" w:sz="4" w:space="0"/>
              <w:bottom w:val="single" w:color="auto" w:sz="4" w:space="0"/>
            </w:tcBorders>
            <w:shd w:val="clear" w:color="auto" w:fill="auto"/>
          </w:tcPr>
          <w:p>
            <w:pPr>
              <w:spacing w:after="120" w:line="360" w:lineRule="auto"/>
              <w:rPr>
                <w:rFonts w:ascii="Times New Roman" w:hAnsi="Times New Roman"/>
                <w:b/>
                <w:bCs/>
                <w:color w:val="000000"/>
                <w:sz w:val="24"/>
                <w:szCs w:val="24"/>
              </w:rPr>
            </w:pPr>
            <w:r>
              <w:rPr>
                <w:rFonts w:ascii="Times New Roman" w:hAnsi="Times New Roman"/>
                <w:b/>
                <w:bCs/>
                <w:color w:val="000000"/>
                <w:sz w:val="24"/>
                <w:szCs w:val="24"/>
              </w:rPr>
              <w:t>Poorly managed litter soil</w:t>
            </w:r>
          </w:p>
        </w:tc>
        <w:tc>
          <w:tcPr>
            <w:tcW w:w="1710" w:type="dxa"/>
            <w:tcBorders>
              <w:top w:val="single" w:color="auto" w:sz="4" w:space="0"/>
              <w:bottom w:val="single" w:color="auto" w:sz="4" w:space="0"/>
            </w:tcBorders>
            <w:shd w:val="clear" w:color="auto" w:fill="auto"/>
          </w:tcPr>
          <w:p>
            <w:pPr>
              <w:spacing w:after="120" w:line="360" w:lineRule="auto"/>
              <w:jc w:val="center"/>
              <w:rPr>
                <w:rFonts w:ascii="Times New Roman" w:hAnsi="Times New Roman"/>
                <w:b/>
                <w:bCs/>
                <w:color w:val="000000"/>
                <w:sz w:val="24"/>
                <w:szCs w:val="24"/>
              </w:rPr>
            </w:pPr>
            <w:r>
              <w:rPr>
                <w:rFonts w:ascii="Times New Roman" w:hAnsi="Times New Roman"/>
                <w:b/>
                <w:bCs/>
                <w:color w:val="000000"/>
                <w:sz w:val="24"/>
                <w:szCs w:val="24"/>
              </w:rPr>
              <w:t>Occurrence</w:t>
            </w:r>
          </w:p>
        </w:tc>
        <w:tc>
          <w:tcPr>
            <w:tcW w:w="4209" w:type="dxa"/>
            <w:tcBorders>
              <w:top w:val="single" w:color="auto" w:sz="4" w:space="0"/>
              <w:bottom w:val="single" w:color="auto" w:sz="4" w:space="0"/>
            </w:tcBorders>
            <w:shd w:val="clear" w:color="auto" w:fill="auto"/>
          </w:tcPr>
          <w:p>
            <w:pPr>
              <w:spacing w:after="120" w:line="360" w:lineRule="auto"/>
              <w:rPr>
                <w:rFonts w:ascii="Times New Roman" w:hAnsi="Times New Roman"/>
                <w:b/>
                <w:bCs/>
                <w:color w:val="000000"/>
                <w:sz w:val="24"/>
                <w:szCs w:val="24"/>
              </w:rPr>
            </w:pPr>
            <w:r>
              <w:rPr>
                <w:rFonts w:ascii="Times New Roman" w:hAnsi="Times New Roman"/>
                <w:b/>
                <w:bCs/>
                <w:color w:val="000000"/>
                <w:sz w:val="24"/>
                <w:szCs w:val="24"/>
              </w:rPr>
              <w:t>Probable organism (fungi)</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4" w:hRule="atLeast"/>
        </w:trPr>
        <w:tc>
          <w:tcPr>
            <w:tcW w:w="3168" w:type="dxa"/>
            <w:tcBorders>
              <w:top w:val="single" w:color="auto" w:sz="4" w:space="0"/>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Control</w:t>
            </w:r>
          </w:p>
        </w:tc>
        <w:tc>
          <w:tcPr>
            <w:tcW w:w="1710" w:type="dxa"/>
            <w:tcBorders>
              <w:top w:val="single" w:color="auto" w:sz="4" w:space="0"/>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3.0</w:t>
            </w:r>
          </w:p>
        </w:tc>
        <w:tc>
          <w:tcPr>
            <w:tcW w:w="4209" w:type="dxa"/>
            <w:tcBorders>
              <w:top w:val="single" w:color="auto" w:sz="4" w:space="0"/>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Fusarium oxysporum, Aspergillus flavus, Rhizopus stolonifer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316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Goat unit</w:t>
            </w:r>
          </w:p>
        </w:tc>
        <w:tc>
          <w:tcPr>
            <w:tcW w:w="171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1.0</w:t>
            </w:r>
          </w:p>
        </w:tc>
        <w:tc>
          <w:tcPr>
            <w:tcW w:w="4209"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Rhizopus stolonifer</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1" w:hRule="atLeast"/>
        </w:trPr>
        <w:tc>
          <w:tcPr>
            <w:tcW w:w="316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Pig unit</w:t>
            </w:r>
          </w:p>
        </w:tc>
        <w:tc>
          <w:tcPr>
            <w:tcW w:w="171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9.0</w:t>
            </w:r>
          </w:p>
        </w:tc>
        <w:tc>
          <w:tcPr>
            <w:tcW w:w="4209"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 xml:space="preserve"> Rhizopus stolonifera, Fusarium</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1" w:hRule="atLeast"/>
        </w:trPr>
        <w:tc>
          <w:tcPr>
            <w:tcW w:w="316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Cow unit</w:t>
            </w:r>
          </w:p>
        </w:tc>
        <w:tc>
          <w:tcPr>
            <w:tcW w:w="171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6.0</w:t>
            </w:r>
          </w:p>
        </w:tc>
        <w:tc>
          <w:tcPr>
            <w:tcW w:w="4209"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Fusarium oxysporum,Aspergillus flavus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1" w:hRule="atLeast"/>
        </w:trPr>
        <w:tc>
          <w:tcPr>
            <w:tcW w:w="3168" w:type="dxa"/>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Poultry unit</w:t>
            </w:r>
          </w:p>
        </w:tc>
        <w:tc>
          <w:tcPr>
            <w:tcW w:w="1710" w:type="dxa"/>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2.0</w:t>
            </w:r>
          </w:p>
        </w:tc>
        <w:tc>
          <w:tcPr>
            <w:tcW w:w="4209" w:type="dxa"/>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A.flavus, Rhizopus stolonifera</w:t>
            </w:r>
          </w:p>
        </w:tc>
      </w:tr>
      <w:bookmarkEnd w:id="57"/>
    </w:tbl>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tabs>
          <w:tab w:val="left" w:pos="3310"/>
        </w:tabs>
        <w:spacing w:after="120" w:line="480" w:lineRule="auto"/>
        <w:jc w:val="both"/>
        <w:rPr>
          <w:rFonts w:ascii="Times New Roman" w:hAnsi="Times New Roman" w:eastAsia="Times New Roman"/>
          <w:color w:val="000000"/>
          <w:sz w:val="24"/>
          <w:szCs w:val="24"/>
        </w:rPr>
      </w:pPr>
      <w:r>
        <w:rPr>
          <w:rFonts w:ascii="Times New Roman" w:hAnsi="Times New Roman" w:eastAsia="+mn-ea"/>
          <w:color w:val="000000"/>
          <w:sz w:val="24"/>
          <w:szCs w:val="24"/>
        </w:rPr>
        <w:t>Table 4.7 shows the c</w:t>
      </w:r>
      <w:r>
        <w:rPr>
          <w:rFonts w:ascii="Times New Roman" w:hAnsi="Times New Roman" w:eastAsia="Times New Roman"/>
          <w:color w:val="000000"/>
          <w:sz w:val="24"/>
          <w:szCs w:val="24"/>
        </w:rPr>
        <w:t xml:space="preserve">haracterization and properties of </w:t>
      </w:r>
      <w:r>
        <w:rPr>
          <w:rFonts w:ascii="Times New Roman" w:hAnsi="Times New Roman" w:eastAsia="+mn-ea"/>
          <w:color w:val="000000"/>
          <w:kern w:val="24"/>
          <w:sz w:val="24"/>
          <w:szCs w:val="24"/>
        </w:rPr>
        <w:t xml:space="preserve">partial </w:t>
      </w:r>
      <w:r>
        <w:rPr>
          <w:rFonts w:ascii="Times New Roman" w:hAnsi="Times New Roman"/>
          <w:color w:val="000000"/>
          <w:sz w:val="24"/>
          <w:szCs w:val="24"/>
        </w:rPr>
        <w:t>16S ribosomal RNA sequences of selected five bacteria derived from litter soils at the University of Ibadan, Oyo State</w:t>
      </w:r>
      <w:r>
        <w:rPr>
          <w:rFonts w:ascii="Times New Roman" w:hAnsi="Times New Roman" w:eastAsia="+mn-ea"/>
          <w:color w:val="000000"/>
          <w:kern w:val="24"/>
          <w:sz w:val="24"/>
          <w:szCs w:val="24"/>
        </w:rPr>
        <w:t xml:space="preserve">, Nigeria </w:t>
      </w:r>
      <w:r>
        <w:rPr>
          <w:rFonts w:ascii="Times New Roman" w:hAnsi="Times New Roman" w:eastAsia="Times New Roman"/>
          <w:color w:val="000000"/>
          <w:sz w:val="24"/>
          <w:szCs w:val="24"/>
        </w:rPr>
        <w:t xml:space="preserve">using nBLAST on GenBank.  It was observed that </w:t>
      </w:r>
      <w:r>
        <w:rPr>
          <w:rFonts w:ascii="Times New Roman" w:hAnsi="Times New Roman" w:eastAsia="Times New Roman"/>
          <w:i/>
          <w:iCs/>
          <w:color w:val="000000"/>
          <w:sz w:val="24"/>
          <w:szCs w:val="24"/>
        </w:rPr>
        <w:t>Pseudomonas aeruginosa</w:t>
      </w:r>
      <w:r>
        <w:rPr>
          <w:rFonts w:ascii="Times New Roman" w:hAnsi="Times New Roman" w:eastAsia="Times New Roman"/>
          <w:color w:val="000000"/>
          <w:sz w:val="24"/>
          <w:szCs w:val="24"/>
        </w:rPr>
        <w:t xml:space="preserve"> strain (UI-ANSCB-01) </w:t>
      </w:r>
      <w:r>
        <w:rPr>
          <w:rFonts w:ascii="Times New Roman" w:hAnsi="Times New Roman"/>
          <w:color w:val="000000"/>
          <w:sz w:val="24"/>
          <w:szCs w:val="24"/>
        </w:rPr>
        <w:t xml:space="preserve">share the closest homology with sequence with accession numbers </w:t>
      </w:r>
      <w:r>
        <w:rPr>
          <w:rFonts w:ascii="Times New Roman" w:hAnsi="Times New Roman" w:eastAsia="Times New Roman"/>
          <w:color w:val="000000"/>
          <w:sz w:val="24"/>
          <w:szCs w:val="24"/>
        </w:rPr>
        <w:t xml:space="preserve">OP320372 </w:t>
      </w:r>
      <w:r>
        <w:rPr>
          <w:rFonts w:ascii="Times New Roman" w:hAnsi="Times New Roman"/>
          <w:color w:val="000000"/>
          <w:sz w:val="24"/>
          <w:szCs w:val="24"/>
        </w:rPr>
        <w:t xml:space="preserve">at </w:t>
      </w:r>
      <w:r>
        <w:rPr>
          <w:rFonts w:ascii="Times New Roman" w:hAnsi="Times New Roman" w:eastAsia="Times New Roman"/>
          <w:color w:val="000000"/>
          <w:sz w:val="24"/>
          <w:szCs w:val="24"/>
        </w:rPr>
        <w:t xml:space="preserve">99.65%, with 1408 number of nucleotides. </w:t>
      </w:r>
      <w:r>
        <w:rPr>
          <w:rFonts w:ascii="Times New Roman" w:hAnsi="Times New Roman" w:eastAsia="Times New Roman"/>
          <w:i/>
          <w:iCs/>
          <w:color w:val="000000"/>
          <w:sz w:val="24"/>
          <w:szCs w:val="24"/>
        </w:rPr>
        <w:t>Bacillus cereus strain</w:t>
      </w:r>
      <w:r>
        <w:rPr>
          <w:rFonts w:ascii="Times New Roman" w:hAnsi="Times New Roman" w:eastAsia="Times New Roman"/>
          <w:color w:val="000000"/>
          <w:sz w:val="24"/>
          <w:szCs w:val="24"/>
        </w:rPr>
        <w:t xml:space="preserve"> (UI-ANSCB-02) </w:t>
      </w:r>
      <w:r>
        <w:rPr>
          <w:rFonts w:ascii="Times New Roman" w:hAnsi="Times New Roman"/>
          <w:color w:val="000000"/>
          <w:sz w:val="24"/>
          <w:szCs w:val="24"/>
        </w:rPr>
        <w:t xml:space="preserve">share the closest homology with sequence with accession number </w:t>
      </w:r>
      <w:r>
        <w:rPr>
          <w:rFonts w:ascii="Times New Roman" w:hAnsi="Times New Roman" w:eastAsia="Times New Roman"/>
          <w:color w:val="000000"/>
          <w:sz w:val="24"/>
          <w:szCs w:val="24"/>
        </w:rPr>
        <w:t xml:space="preserve">OP320373 at 99.93%. </w:t>
      </w:r>
      <w:r>
        <w:rPr>
          <w:rFonts w:ascii="Times New Roman" w:hAnsi="Times New Roman" w:eastAsia="Times New Roman"/>
          <w:i/>
          <w:iCs/>
          <w:color w:val="000000"/>
          <w:sz w:val="24"/>
          <w:szCs w:val="24"/>
        </w:rPr>
        <w:t>Klebsiella pneumoniae</w:t>
      </w:r>
      <w:r>
        <w:rPr>
          <w:rFonts w:ascii="Times New Roman" w:hAnsi="Times New Roman" w:eastAsia="Times New Roman"/>
          <w:color w:val="000000"/>
          <w:sz w:val="24"/>
          <w:szCs w:val="24"/>
        </w:rPr>
        <w:t xml:space="preserve"> strain (UI-ANSNFB-03) </w:t>
      </w:r>
      <w:r>
        <w:rPr>
          <w:rFonts w:ascii="Times New Roman" w:hAnsi="Times New Roman"/>
          <w:color w:val="000000"/>
          <w:sz w:val="24"/>
          <w:szCs w:val="24"/>
        </w:rPr>
        <w:t xml:space="preserve">share the closest homology with sequence with accession number </w:t>
      </w:r>
      <w:r>
        <w:rPr>
          <w:rFonts w:ascii="Times New Roman" w:hAnsi="Times New Roman" w:eastAsia="Times New Roman"/>
          <w:color w:val="000000"/>
          <w:sz w:val="24"/>
          <w:szCs w:val="24"/>
        </w:rPr>
        <w:t xml:space="preserve">OP320374 at 99.73% with 1485 number of nucleotides. </w:t>
      </w:r>
      <w:r>
        <w:rPr>
          <w:rFonts w:ascii="Times New Roman" w:hAnsi="Times New Roman" w:eastAsia="Times New Roman"/>
          <w:i/>
          <w:iCs/>
          <w:color w:val="000000"/>
          <w:sz w:val="24"/>
          <w:szCs w:val="24"/>
        </w:rPr>
        <w:t>Bacillus subtilis</w:t>
      </w:r>
      <w:r>
        <w:rPr>
          <w:rFonts w:ascii="Times New Roman" w:hAnsi="Times New Roman" w:eastAsia="Times New Roman"/>
          <w:color w:val="000000"/>
          <w:sz w:val="24"/>
          <w:szCs w:val="24"/>
        </w:rPr>
        <w:t xml:space="preserve"> strain (UI-ANSPSB-04) </w:t>
      </w:r>
      <w:r>
        <w:rPr>
          <w:rFonts w:ascii="Times New Roman" w:hAnsi="Times New Roman"/>
          <w:color w:val="000000"/>
          <w:sz w:val="24"/>
          <w:szCs w:val="24"/>
        </w:rPr>
        <w:t xml:space="preserve">share the closest homology with sequence with accession number </w:t>
      </w:r>
      <w:r>
        <w:rPr>
          <w:rFonts w:ascii="Times New Roman" w:hAnsi="Times New Roman" w:eastAsia="Times New Roman"/>
          <w:color w:val="000000"/>
          <w:sz w:val="24"/>
          <w:szCs w:val="24"/>
        </w:rPr>
        <w:t xml:space="preserve">OP320375 at 99.71% identity. </w:t>
      </w:r>
      <w:r>
        <w:rPr>
          <w:rFonts w:ascii="Times New Roman" w:hAnsi="Times New Roman" w:eastAsia="Times New Roman"/>
          <w:i/>
          <w:iCs/>
          <w:color w:val="000000"/>
          <w:sz w:val="24"/>
          <w:szCs w:val="24"/>
        </w:rPr>
        <w:t>Bacillus thuringiensis strain</w:t>
      </w:r>
      <w:r>
        <w:rPr>
          <w:rFonts w:ascii="Times New Roman" w:hAnsi="Times New Roman" w:eastAsia="Times New Roman"/>
          <w:color w:val="000000"/>
          <w:sz w:val="24"/>
          <w:szCs w:val="24"/>
        </w:rPr>
        <w:t xml:space="preserve"> (UI-ANSAC-05) </w:t>
      </w:r>
      <w:r>
        <w:rPr>
          <w:rFonts w:ascii="Times New Roman" w:hAnsi="Times New Roman"/>
          <w:color w:val="000000"/>
          <w:sz w:val="24"/>
          <w:szCs w:val="24"/>
        </w:rPr>
        <w:t xml:space="preserve">share the closest homology with sequence with accession number </w:t>
      </w:r>
      <w:r>
        <w:rPr>
          <w:rFonts w:ascii="Times New Roman" w:hAnsi="Times New Roman" w:eastAsia="Times New Roman"/>
          <w:color w:val="000000"/>
          <w:sz w:val="24"/>
          <w:szCs w:val="24"/>
        </w:rPr>
        <w:t xml:space="preserve">OP320376 at 99.86 % identity. </w:t>
      </w:r>
    </w:p>
    <w:p>
      <w:pPr>
        <w:tabs>
          <w:tab w:val="left" w:pos="3310"/>
        </w:tabs>
        <w:spacing w:after="120" w:line="480" w:lineRule="auto"/>
        <w:jc w:val="both"/>
        <w:rPr>
          <w:rFonts w:ascii="Times New Roman" w:hAnsi="Times New Roman" w:eastAsia="+mn-ea"/>
          <w:color w:val="000000"/>
          <w:sz w:val="24"/>
          <w:szCs w:val="24"/>
        </w:rPr>
      </w:pPr>
      <w:r>
        <w:rPr>
          <w:rFonts w:ascii="Times New Roman" w:hAnsi="Times New Roman"/>
          <w:color w:val="000000" w:themeColor="text1"/>
          <w:sz w:val="24"/>
          <w:szCs w:val="24"/>
          <w14:textFill>
            <w14:solidFill>
              <w14:schemeClr w14:val="tx1"/>
            </w14:solidFill>
          </w14:textFill>
        </w:rPr>
        <w:t xml:space="preserve">Presented in </w:t>
      </w:r>
      <w:r>
        <w:rPr>
          <w:rFonts w:ascii="Times New Roman" w:hAnsi="Times New Roman"/>
          <w:bCs/>
          <w:color w:val="000000" w:themeColor="text1"/>
          <w:sz w:val="24"/>
          <w:szCs w:val="24"/>
          <w14:textFill>
            <w14:solidFill>
              <w14:schemeClr w14:val="tx1"/>
            </w14:solidFill>
          </w14:textFill>
        </w:rPr>
        <w:t>Table</w:t>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color w:val="000000" w:themeColor="text1"/>
          <w:sz w:val="24"/>
          <w:szCs w:val="24"/>
          <w14:textFill>
            <w14:solidFill>
              <w14:schemeClr w14:val="tx1"/>
            </w14:solidFill>
          </w14:textFill>
        </w:rPr>
        <w:t>4.8 are correlation coefficients showing relationship between physiochemicals properties and microbial load. There exists high degree of relationship between pH, CBC (0.866) and Actino BC (0.866); while zero correlation exist between pH and HPC, TFC, PSBC, NFBC. Relationship between Mg to all microbial counts except CBC and Actino BC is strong and negative. Perfect and significant (p&lt;0.01) relationship exit between K,  Mn, Cu, Mo and all microbial counts except CBC which is relatively weak (0.5). Al is negatively correlated (though not significant) with all microbe count, but positive and strong with CBC and Actino BC</w:t>
      </w: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rPr>
          <w:rFonts w:ascii="Times New Roman" w:hAnsi="Times New Roman"/>
          <w:b/>
          <w:bCs/>
          <w:color w:val="000000"/>
          <w:sz w:val="24"/>
          <w:szCs w:val="24"/>
        </w:rPr>
        <w:sectPr>
          <w:pgSz w:w="11906" w:h="16838"/>
          <w:pgMar w:top="1440" w:right="1440" w:bottom="1440" w:left="1440" w:header="706" w:footer="706" w:gutter="0"/>
          <w:pgNumType w:start="1"/>
          <w:cols w:space="708" w:num="1"/>
          <w:docGrid w:linePitch="360" w:charSpace="0"/>
        </w:sectPr>
      </w:pPr>
    </w:p>
    <w:p>
      <w:pPr>
        <w:spacing w:after="120" w:line="360" w:lineRule="auto"/>
        <w:rPr>
          <w:rFonts w:ascii="Times New Roman" w:hAnsi="Times New Roman" w:eastAsia="+mn-ea"/>
          <w:b/>
          <w:color w:val="000000"/>
          <w:kern w:val="24"/>
          <w:sz w:val="24"/>
          <w:szCs w:val="24"/>
          <w:u w:val="single"/>
        </w:rPr>
      </w:pPr>
      <w:r>
        <w:rPr>
          <w:rFonts w:ascii="Times New Roman" w:hAnsi="Times New Roman" w:eastAsia="Times New Roman"/>
          <w:b/>
          <w:color w:val="000000"/>
          <w:sz w:val="24"/>
          <w:szCs w:val="24"/>
        </w:rPr>
        <w:t>Table 4.7</w:t>
      </w:r>
      <w:r>
        <w:rPr>
          <w:rFonts w:ascii="Times New Roman" w:hAnsi="Times New Roman" w:eastAsia="Times New Roman"/>
          <w:color w:val="000000"/>
          <w:sz w:val="24"/>
          <w:szCs w:val="24"/>
        </w:rPr>
        <w:t xml:space="preserve">: Characteristics and Properties of </w:t>
      </w:r>
      <w:r>
        <w:rPr>
          <w:rFonts w:ascii="Times New Roman" w:hAnsi="Times New Roman" w:eastAsia="+mn-ea"/>
          <w:color w:val="000000"/>
          <w:kern w:val="24"/>
          <w:sz w:val="24"/>
          <w:szCs w:val="24"/>
        </w:rPr>
        <w:t xml:space="preserve">Partial </w:t>
      </w:r>
      <w:r>
        <w:rPr>
          <w:rFonts w:ascii="Times New Roman" w:hAnsi="Times New Roman"/>
          <w:color w:val="000000"/>
          <w:sz w:val="24"/>
          <w:szCs w:val="24"/>
        </w:rPr>
        <w:t>16S Ribosomal RNA Sequences of Five Bacteria Derived from Litter Soils at the University of Ibadan, Oyo State</w:t>
      </w:r>
      <w:r>
        <w:rPr>
          <w:rFonts w:ascii="Times New Roman" w:hAnsi="Times New Roman" w:eastAsia="+mn-ea"/>
          <w:color w:val="000000"/>
          <w:kern w:val="24"/>
          <w:sz w:val="24"/>
          <w:szCs w:val="24"/>
        </w:rPr>
        <w:t xml:space="preserve">, Nigeria </w:t>
      </w:r>
      <w:r>
        <w:rPr>
          <w:rFonts w:ascii="Times New Roman" w:hAnsi="Times New Roman" w:eastAsia="Times New Roman"/>
          <w:color w:val="000000"/>
          <w:sz w:val="24"/>
          <w:szCs w:val="24"/>
        </w:rPr>
        <w:t>using nBLAST on GenBank</w:t>
      </w:r>
    </w:p>
    <w:tbl>
      <w:tblPr>
        <w:tblStyle w:val="5"/>
        <w:tblpPr w:leftFromText="180" w:rightFromText="180" w:vertAnchor="page" w:horzAnchor="margin" w:tblpXSpec="center" w:tblpY="3031"/>
        <w:tblW w:w="12988"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98"/>
        <w:gridCol w:w="1763"/>
        <w:gridCol w:w="1272"/>
        <w:gridCol w:w="1310"/>
        <w:gridCol w:w="1983"/>
        <w:gridCol w:w="636"/>
        <w:gridCol w:w="414"/>
        <w:gridCol w:w="1493"/>
        <w:gridCol w:w="1919"/>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6" w:hRule="atLeast"/>
        </w:trPr>
        <w:tc>
          <w:tcPr>
            <w:tcW w:w="2210"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Sample organism</w:t>
            </w:r>
          </w:p>
        </w:tc>
        <w:tc>
          <w:tcPr>
            <w:tcW w:w="1773"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Strain</w:t>
            </w:r>
          </w:p>
        </w:tc>
        <w:tc>
          <w:tcPr>
            <w:tcW w:w="1272"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Accession number</w:t>
            </w:r>
          </w:p>
        </w:tc>
        <w:tc>
          <w:tcPr>
            <w:tcW w:w="1310"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No of nucleotides</w:t>
            </w:r>
          </w:p>
        </w:tc>
        <w:tc>
          <w:tcPr>
            <w:tcW w:w="1998"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Highest nBLAST identity (%)</w:t>
            </w:r>
          </w:p>
        </w:tc>
        <w:tc>
          <w:tcPr>
            <w:tcW w:w="995" w:type="dxa"/>
            <w:gridSpan w:val="2"/>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E value</w:t>
            </w:r>
          </w:p>
        </w:tc>
        <w:tc>
          <w:tcPr>
            <w:tcW w:w="1497"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Alignment score</w:t>
            </w:r>
          </w:p>
        </w:tc>
        <w:tc>
          <w:tcPr>
            <w:tcW w:w="1933" w:type="dxa"/>
            <w:tcBorders>
              <w:top w:val="single" w:color="auto" w:sz="4" w:space="0"/>
              <w:left w:val="nil"/>
              <w:bottom w:val="single" w:color="auto" w:sz="4" w:space="0"/>
              <w:right w:val="nil"/>
            </w:tcBorders>
            <w:shd w:val="clear" w:color="auto" w:fill="auto"/>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Highest query</w:t>
            </w:r>
          </w:p>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coverage (%)</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2210" w:type="dxa"/>
            <w:tcBorders>
              <w:top w:val="single" w:color="auto" w:sz="4" w:space="0"/>
              <w:left w:val="nil"/>
              <w:bottom w:val="nil"/>
              <w:right w:val="nil"/>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Pseudomonas aeruginosa</w:t>
            </w:r>
          </w:p>
        </w:tc>
        <w:tc>
          <w:tcPr>
            <w:tcW w:w="1773" w:type="dxa"/>
            <w:tcBorders>
              <w:top w:val="single" w:color="auto" w:sz="4" w:space="0"/>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UI-ANSCB-01</w:t>
            </w:r>
          </w:p>
        </w:tc>
        <w:tc>
          <w:tcPr>
            <w:tcW w:w="1272" w:type="dxa"/>
            <w:tcBorders>
              <w:top w:val="single" w:color="auto" w:sz="4" w:space="0"/>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shd w:val="clear" w:color="auto" w:fill="FFFFFF"/>
              </w:rPr>
              <w:t>OP320372</w:t>
            </w:r>
          </w:p>
        </w:tc>
        <w:tc>
          <w:tcPr>
            <w:tcW w:w="1310" w:type="dxa"/>
            <w:tcBorders>
              <w:top w:val="single" w:color="auto" w:sz="4" w:space="0"/>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1,408</w:t>
            </w:r>
          </w:p>
        </w:tc>
        <w:tc>
          <w:tcPr>
            <w:tcW w:w="1998" w:type="dxa"/>
            <w:tcBorders>
              <w:top w:val="single" w:color="auto" w:sz="4" w:space="0"/>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99.65</w:t>
            </w:r>
          </w:p>
        </w:tc>
        <w:tc>
          <w:tcPr>
            <w:tcW w:w="636" w:type="dxa"/>
            <w:tcBorders>
              <w:top w:val="single" w:color="auto" w:sz="4" w:space="0"/>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0.00</w:t>
            </w:r>
          </w:p>
        </w:tc>
        <w:tc>
          <w:tcPr>
            <w:tcW w:w="1856" w:type="dxa"/>
            <w:gridSpan w:val="2"/>
            <w:tcBorders>
              <w:top w:val="single" w:color="auto" w:sz="4" w:space="0"/>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       ≥200</w:t>
            </w:r>
          </w:p>
        </w:tc>
        <w:tc>
          <w:tcPr>
            <w:tcW w:w="1933" w:type="dxa"/>
            <w:tcBorders>
              <w:top w:val="single" w:color="auto" w:sz="4" w:space="0"/>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6" w:hRule="atLeast"/>
        </w:trPr>
        <w:tc>
          <w:tcPr>
            <w:tcW w:w="2210" w:type="dxa"/>
            <w:tcBorders>
              <w:top w:val="nil"/>
              <w:left w:val="nil"/>
              <w:bottom w:val="nil"/>
              <w:right w:val="nil"/>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Bacillus cereus</w:t>
            </w:r>
          </w:p>
        </w:tc>
        <w:tc>
          <w:tcPr>
            <w:tcW w:w="1773"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UI-ANSCB-02</w:t>
            </w:r>
          </w:p>
        </w:tc>
        <w:tc>
          <w:tcPr>
            <w:tcW w:w="1272"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shd w:val="clear" w:color="auto" w:fill="FFFFFF"/>
              </w:rPr>
              <w:t>OP320373</w:t>
            </w:r>
          </w:p>
        </w:tc>
        <w:tc>
          <w:tcPr>
            <w:tcW w:w="1310"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1,438</w:t>
            </w:r>
          </w:p>
        </w:tc>
        <w:tc>
          <w:tcPr>
            <w:tcW w:w="1998"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99.93</w:t>
            </w:r>
          </w:p>
        </w:tc>
        <w:tc>
          <w:tcPr>
            <w:tcW w:w="1055" w:type="dxa"/>
            <w:gridSpan w:val="2"/>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0.00</w:t>
            </w:r>
          </w:p>
        </w:tc>
        <w:tc>
          <w:tcPr>
            <w:tcW w:w="1437"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≥200</w:t>
            </w:r>
          </w:p>
        </w:tc>
        <w:tc>
          <w:tcPr>
            <w:tcW w:w="1933"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2210" w:type="dxa"/>
            <w:tcBorders>
              <w:top w:val="nil"/>
              <w:left w:val="nil"/>
              <w:bottom w:val="nil"/>
              <w:right w:val="nil"/>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Klebsiella pneumonia</w:t>
            </w:r>
          </w:p>
        </w:tc>
        <w:tc>
          <w:tcPr>
            <w:tcW w:w="1773"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UI-ANSNFB-03</w:t>
            </w:r>
          </w:p>
        </w:tc>
        <w:tc>
          <w:tcPr>
            <w:tcW w:w="1272"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shd w:val="clear" w:color="auto" w:fill="FFFFFF"/>
              </w:rPr>
              <w:t>OP320374</w:t>
            </w:r>
          </w:p>
        </w:tc>
        <w:tc>
          <w:tcPr>
            <w:tcW w:w="1310"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1,485</w:t>
            </w:r>
          </w:p>
        </w:tc>
        <w:tc>
          <w:tcPr>
            <w:tcW w:w="1998"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99.73</w:t>
            </w:r>
          </w:p>
        </w:tc>
        <w:tc>
          <w:tcPr>
            <w:tcW w:w="1055" w:type="dxa"/>
            <w:gridSpan w:val="2"/>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0.00</w:t>
            </w:r>
          </w:p>
        </w:tc>
        <w:tc>
          <w:tcPr>
            <w:tcW w:w="1437"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≥200</w:t>
            </w:r>
          </w:p>
        </w:tc>
        <w:tc>
          <w:tcPr>
            <w:tcW w:w="1933"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6" w:hRule="atLeast"/>
        </w:trPr>
        <w:tc>
          <w:tcPr>
            <w:tcW w:w="2210" w:type="dxa"/>
            <w:tcBorders>
              <w:top w:val="nil"/>
              <w:left w:val="nil"/>
              <w:bottom w:val="nil"/>
              <w:right w:val="nil"/>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Bacillus subtilis</w:t>
            </w:r>
          </w:p>
        </w:tc>
        <w:tc>
          <w:tcPr>
            <w:tcW w:w="1773"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UI-ANSPSB-04</w:t>
            </w:r>
          </w:p>
        </w:tc>
        <w:tc>
          <w:tcPr>
            <w:tcW w:w="1272"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shd w:val="clear" w:color="auto" w:fill="FFFFFF"/>
              </w:rPr>
              <w:t>OP320375</w:t>
            </w:r>
          </w:p>
        </w:tc>
        <w:tc>
          <w:tcPr>
            <w:tcW w:w="1310" w:type="dxa"/>
            <w:tcBorders>
              <w:top w:val="nil"/>
              <w:left w:val="nil"/>
              <w:bottom w:val="nil"/>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1,402</w:t>
            </w:r>
          </w:p>
        </w:tc>
        <w:tc>
          <w:tcPr>
            <w:tcW w:w="1998"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99.71</w:t>
            </w:r>
          </w:p>
        </w:tc>
        <w:tc>
          <w:tcPr>
            <w:tcW w:w="1055" w:type="dxa"/>
            <w:gridSpan w:val="2"/>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0.00</w:t>
            </w:r>
          </w:p>
        </w:tc>
        <w:tc>
          <w:tcPr>
            <w:tcW w:w="1437"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≥200</w:t>
            </w:r>
          </w:p>
        </w:tc>
        <w:tc>
          <w:tcPr>
            <w:tcW w:w="1933" w:type="dxa"/>
            <w:tcBorders>
              <w:top w:val="nil"/>
              <w:left w:val="nil"/>
              <w:bottom w:val="nil"/>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6" w:hRule="atLeast"/>
        </w:trPr>
        <w:tc>
          <w:tcPr>
            <w:tcW w:w="2210" w:type="dxa"/>
            <w:tcBorders>
              <w:top w:val="nil"/>
              <w:left w:val="nil"/>
              <w:bottom w:val="single" w:color="auto" w:sz="4" w:space="0"/>
              <w:right w:val="nil"/>
            </w:tcBorders>
            <w:shd w:val="clear" w:color="auto" w:fill="auto"/>
          </w:tcPr>
          <w:p>
            <w:pPr>
              <w:spacing w:after="120" w:line="360" w:lineRule="auto"/>
              <w:rPr>
                <w:rFonts w:ascii="Times New Roman" w:hAnsi="Times New Roman"/>
                <w:i/>
                <w:color w:val="000000"/>
                <w:sz w:val="24"/>
                <w:szCs w:val="24"/>
              </w:rPr>
            </w:pPr>
            <w:r>
              <w:rPr>
                <w:rFonts w:ascii="Times New Roman" w:hAnsi="Times New Roman"/>
                <w:i/>
                <w:color w:val="000000"/>
                <w:sz w:val="24"/>
                <w:szCs w:val="24"/>
              </w:rPr>
              <w:t>Bacillus thuringiensis</w:t>
            </w:r>
          </w:p>
        </w:tc>
        <w:tc>
          <w:tcPr>
            <w:tcW w:w="1773" w:type="dxa"/>
            <w:tcBorders>
              <w:top w:val="nil"/>
              <w:left w:val="nil"/>
              <w:bottom w:val="single" w:color="auto" w:sz="4" w:space="0"/>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UI-ANSAC-05</w:t>
            </w:r>
          </w:p>
        </w:tc>
        <w:tc>
          <w:tcPr>
            <w:tcW w:w="1272" w:type="dxa"/>
            <w:tcBorders>
              <w:top w:val="nil"/>
              <w:left w:val="nil"/>
              <w:bottom w:val="single" w:color="auto" w:sz="4" w:space="0"/>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OP320376</w:t>
            </w:r>
          </w:p>
        </w:tc>
        <w:tc>
          <w:tcPr>
            <w:tcW w:w="1310" w:type="dxa"/>
            <w:tcBorders>
              <w:top w:val="nil"/>
              <w:left w:val="nil"/>
              <w:bottom w:val="single" w:color="auto" w:sz="4" w:space="0"/>
              <w:right w:val="nil"/>
            </w:tcBorders>
            <w:shd w:val="clear" w:color="auto" w:fill="auto"/>
          </w:tcPr>
          <w:p>
            <w:pPr>
              <w:spacing w:after="120" w:line="360" w:lineRule="auto"/>
              <w:rPr>
                <w:rFonts w:ascii="Times New Roman" w:hAnsi="Times New Roman"/>
                <w:color w:val="000000"/>
                <w:sz w:val="24"/>
                <w:szCs w:val="24"/>
              </w:rPr>
            </w:pPr>
            <w:r>
              <w:rPr>
                <w:rFonts w:ascii="Times New Roman" w:hAnsi="Times New Roman"/>
                <w:color w:val="000000"/>
                <w:sz w:val="24"/>
                <w:szCs w:val="24"/>
              </w:rPr>
              <w:t>1,444</w:t>
            </w:r>
          </w:p>
        </w:tc>
        <w:tc>
          <w:tcPr>
            <w:tcW w:w="1998" w:type="dxa"/>
            <w:tcBorders>
              <w:top w:val="nil"/>
              <w:left w:val="nil"/>
              <w:bottom w:val="single" w:color="auto" w:sz="4" w:space="0"/>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99.86</w:t>
            </w:r>
          </w:p>
        </w:tc>
        <w:tc>
          <w:tcPr>
            <w:tcW w:w="1055" w:type="dxa"/>
            <w:gridSpan w:val="2"/>
            <w:tcBorders>
              <w:top w:val="nil"/>
              <w:left w:val="nil"/>
              <w:bottom w:val="single" w:color="auto" w:sz="4" w:space="0"/>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0.00</w:t>
            </w:r>
          </w:p>
        </w:tc>
        <w:tc>
          <w:tcPr>
            <w:tcW w:w="1437" w:type="dxa"/>
            <w:tcBorders>
              <w:top w:val="nil"/>
              <w:left w:val="nil"/>
              <w:bottom w:val="single" w:color="auto" w:sz="4" w:space="0"/>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≥200</w:t>
            </w:r>
          </w:p>
        </w:tc>
        <w:tc>
          <w:tcPr>
            <w:tcW w:w="1933" w:type="dxa"/>
            <w:tcBorders>
              <w:top w:val="nil"/>
              <w:left w:val="nil"/>
              <w:bottom w:val="single" w:color="auto" w:sz="4" w:space="0"/>
              <w:right w:val="nil"/>
            </w:tcBorders>
            <w:shd w:val="clear" w:color="auto" w:fill="auto"/>
          </w:tcPr>
          <w:p>
            <w:pPr>
              <w:spacing w:after="120" w:line="36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t>100</w:t>
            </w:r>
          </w:p>
        </w:tc>
      </w:tr>
    </w:tbl>
    <w:p>
      <w:pPr>
        <w:spacing w:after="120" w:line="360" w:lineRule="auto"/>
        <w:rPr>
          <w:rFonts w:ascii="Times New Roman" w:hAnsi="Times New Roman" w:eastAsia="+mn-ea"/>
          <w:b/>
          <w:color w:val="000000"/>
          <w:kern w:val="24"/>
          <w:sz w:val="24"/>
          <w:szCs w:val="24"/>
          <w:u w:val="single"/>
        </w:rPr>
      </w:pPr>
    </w:p>
    <w:p>
      <w:pPr>
        <w:spacing w:after="120" w:line="360" w:lineRule="auto"/>
        <w:rPr>
          <w:rFonts w:ascii="Times New Roman" w:hAnsi="Times New Roman" w:eastAsia="+mn-ea"/>
          <w:color w:val="000000"/>
          <w:sz w:val="24"/>
          <w:szCs w:val="24"/>
        </w:rPr>
      </w:pPr>
      <w:r>
        <w:rPr>
          <w:rFonts w:ascii="Times New Roman" w:hAnsi="Times New Roman"/>
          <w:color w:val="000000"/>
          <w:sz w:val="24"/>
          <w:szCs w:val="24"/>
        </w:rPr>
        <w:t>Source: Author’s Field Work, 2023</w:t>
      </w:r>
    </w:p>
    <w:p>
      <w:pPr>
        <w:spacing w:after="120" w:line="360" w:lineRule="auto"/>
        <w:rPr>
          <w:rFonts w:ascii="Times New Roman" w:hAnsi="Times New Roman" w:eastAsia="+mn-ea"/>
          <w:color w:val="000000"/>
          <w:sz w:val="24"/>
          <w:szCs w:val="24"/>
        </w:rPr>
      </w:pPr>
    </w:p>
    <w:p>
      <w:pPr>
        <w:spacing w:after="120" w:line="360" w:lineRule="auto"/>
        <w:jc w:val="both"/>
        <w:rPr>
          <w:rFonts w:ascii="Times New Roman" w:hAnsi="Times New Roman" w:eastAsia="+mn-ea"/>
          <w:color w:val="000000"/>
          <w:sz w:val="24"/>
          <w:szCs w:val="24"/>
        </w:rPr>
        <w:sectPr>
          <w:pgSz w:w="15840" w:h="12240" w:orient="landscape"/>
          <w:pgMar w:top="1440" w:right="1440" w:bottom="1440" w:left="1440" w:header="720" w:footer="720" w:gutter="0"/>
          <w:cols w:space="720" w:num="1"/>
          <w:docGrid w:linePitch="360" w:charSpace="0"/>
        </w:sectPr>
      </w:pPr>
    </w:p>
    <w:p>
      <w:pPr>
        <w:pStyle w:val="3"/>
        <w:spacing w:before="0" w:line="480" w:lineRule="auto"/>
        <w:jc w:val="both"/>
        <w:rPr>
          <w:rFonts w:ascii="Times New Roman" w:hAnsi="Times New Roman" w:cs="Times New Roman"/>
          <w:b w:val="0"/>
          <w:color w:val="000000" w:themeColor="text1"/>
          <w:sz w:val="24"/>
          <w:szCs w:val="24"/>
          <w14:textFill>
            <w14:solidFill>
              <w14:schemeClr w14:val="tx1"/>
            </w14:solidFill>
          </w14:textFill>
        </w:rPr>
      </w:pPr>
      <w:bookmarkStart w:id="58" w:name="_Toc132200970"/>
      <w:r>
        <w:rPr>
          <w:rFonts w:ascii="Times New Roman" w:hAnsi="Times New Roman" w:cs="Times New Roman"/>
          <w:b w:val="0"/>
          <w:color w:val="000000" w:themeColor="text1"/>
          <w:sz w:val="24"/>
          <w:szCs w:val="24"/>
          <w14:textFill>
            <w14:solidFill>
              <w14:schemeClr w14:val="tx1"/>
            </w14:solidFill>
          </w14:textFill>
        </w:rPr>
        <w:t xml:space="preserve"> </w:t>
      </w:r>
      <w:r>
        <w:rPr>
          <w:rFonts w:ascii="Times New Roman" w:hAnsi="Times New Roman" w:cs="Times New Roman"/>
          <w:bCs w:val="0"/>
          <w:color w:val="000000" w:themeColor="text1"/>
          <w:sz w:val="24"/>
          <w:szCs w:val="24"/>
          <w14:textFill>
            <w14:solidFill>
              <w14:schemeClr w14:val="tx1"/>
            </w14:solidFill>
          </w14:textFill>
        </w:rPr>
        <w:t>Table</w:t>
      </w:r>
      <w:r>
        <w:rPr>
          <w:rFonts w:ascii="Times New Roman" w:hAnsi="Times New Roman" w:cs="Times New Roman"/>
          <w:b w:val="0"/>
          <w:color w:val="000000" w:themeColor="text1"/>
          <w:sz w:val="24"/>
          <w:szCs w:val="24"/>
          <w14:textFill>
            <w14:solidFill>
              <w14:schemeClr w14:val="tx1"/>
            </w14:solidFill>
          </w14:textFill>
        </w:rPr>
        <w:t xml:space="preserve"> 4.8: Relationship between Physicochemical Parameters and Microbial Analysis of each Soil Sample from Pig.</w:t>
      </w:r>
    </w:p>
    <w:p>
      <w:pPr>
        <w:rPr>
          <w:rFonts w:ascii="Times New Roman" w:hAnsi="Times New Roman"/>
          <w:sz w:val="24"/>
          <w:szCs w:val="24"/>
        </w:rPr>
      </w:pPr>
      <w:r>
        <w:rPr>
          <w:rFonts w:ascii="Times New Roman" w:hAnsi="Times New Roman"/>
          <w:color w:val="000000"/>
          <w:sz w:val="24"/>
          <w:szCs w:val="24"/>
        </w:rPr>
        <w:t>Source: Author’s Field Work, 2023</w:t>
      </w:r>
    </w:p>
    <w:tbl>
      <w:tblPr>
        <w:tblStyle w:val="5"/>
        <w:tblpPr w:leftFromText="180" w:rightFromText="180" w:vertAnchor="page" w:horzAnchor="margin" w:tblpXSpec="center" w:tblpY="2639"/>
        <w:tblW w:w="9887" w:type="dxa"/>
        <w:tblInd w:w="0" w:type="dxa"/>
        <w:tblLayout w:type="autofit"/>
        <w:tblCellMar>
          <w:top w:w="0" w:type="dxa"/>
          <w:left w:w="0" w:type="dxa"/>
          <w:bottom w:w="0" w:type="dxa"/>
          <w:right w:w="0" w:type="dxa"/>
        </w:tblCellMar>
      </w:tblPr>
      <w:tblGrid>
        <w:gridCol w:w="1622"/>
        <w:gridCol w:w="1400"/>
        <w:gridCol w:w="1539"/>
        <w:gridCol w:w="1330"/>
        <w:gridCol w:w="1120"/>
        <w:gridCol w:w="1453"/>
        <w:gridCol w:w="1423"/>
      </w:tblGrid>
      <w:tr>
        <w:tblPrEx>
          <w:tblCellMar>
            <w:top w:w="0" w:type="dxa"/>
            <w:left w:w="0" w:type="dxa"/>
            <w:bottom w:w="0" w:type="dxa"/>
            <w:right w:w="0" w:type="dxa"/>
          </w:tblCellMar>
        </w:tblPrEx>
        <w:trPr>
          <w:trHeight w:val="585" w:hRule="atLeast"/>
        </w:trPr>
        <w:tc>
          <w:tcPr>
            <w:tcW w:w="1622"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40" w:lineRule="auto"/>
              <w:rPr>
                <w:rFonts w:ascii="Times New Roman" w:hAnsi="Times New Roman" w:eastAsia="Times New Roman"/>
                <w:sz w:val="24"/>
                <w:szCs w:val="24"/>
              </w:rPr>
            </w:pPr>
          </w:p>
        </w:tc>
        <w:tc>
          <w:tcPr>
            <w:tcW w:w="1400"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HPC</w:t>
            </w:r>
          </w:p>
        </w:tc>
        <w:tc>
          <w:tcPr>
            <w:tcW w:w="1539"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TFC</w:t>
            </w:r>
          </w:p>
        </w:tc>
        <w:tc>
          <w:tcPr>
            <w:tcW w:w="1330"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CBC</w:t>
            </w:r>
          </w:p>
        </w:tc>
        <w:tc>
          <w:tcPr>
            <w:tcW w:w="1120"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PSBC</w:t>
            </w:r>
          </w:p>
        </w:tc>
        <w:tc>
          <w:tcPr>
            <w:tcW w:w="1453"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NFBC</w:t>
            </w:r>
          </w:p>
        </w:tc>
        <w:tc>
          <w:tcPr>
            <w:tcW w:w="1423" w:type="dxa"/>
            <w:tcBorders>
              <w:top w:val="single" w:color="000000" w:sz="8" w:space="0"/>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ACTINO BC</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mc:AlternateContent>
                <mc:Choice Requires="wps">
                  <w:drawing>
                    <wp:anchor distT="0" distB="0" distL="114300" distR="114300" simplePos="0" relativeHeight="251660288" behindDoc="0" locked="0" layoutInCell="1" allowOverlap="1">
                      <wp:simplePos x="0" y="0"/>
                      <wp:positionH relativeFrom="column">
                        <wp:posOffset>-76200</wp:posOffset>
                      </wp:positionH>
                      <wp:positionV relativeFrom="paragraph">
                        <wp:posOffset>-101600</wp:posOffset>
                      </wp:positionV>
                      <wp:extent cx="6246495" cy="0"/>
                      <wp:effectExtent l="0" t="0" r="20955" b="19050"/>
                      <wp:wrapNone/>
                      <wp:docPr id="2" name="Straight Connector 2"/>
                      <wp:cNvGraphicFramePr/>
                      <a:graphic xmlns:a="http://schemas.openxmlformats.org/drawingml/2006/main">
                        <a:graphicData uri="http://schemas.microsoft.com/office/word/2010/wordprocessingShape">
                          <wps:wsp>
                            <wps:cNvCnPr/>
                            <wps:spPr>
                              <a:xfrm>
                                <a:off x="0" y="0"/>
                                <a:ext cx="62464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6pt;margin-top:-8pt;height:0pt;width:491.85pt;z-index:251660288;mso-width-relative:page;mso-height-relative:page;" filled="f" stroked="t" coordsize="21600,21600" o:gfxdata="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KOcrW1gAAAAsBAAAPAAAAAAAAAAEAIAAAACIA&#10;AABkcnMvZG93bnJldi54bWxQSwECFAAUAAAACACHTuJAVQq4ttIBAAC0AwAADgAAAAAAAAABACAA&#10;AAAlAQAAZHJzL2Uyb0RvYy54bWxQSwUGAAAAAAYABgBZAQAAaQUAAAAA&#10;">
                      <v:fill on="f" focussize="0,0"/>
                      <v:stroke weight="0.5pt" color="#000000 [3200]" miterlimit="8" joinstyle="miter"/>
                      <v:imagedata o:title=""/>
                      <o:lock v:ext="edit" aspectratio="f"/>
                    </v:line>
                  </w:pict>
                </mc:Fallback>
              </mc:AlternateContent>
            </w:r>
            <w:r>
              <w:rPr>
                <w:rFonts w:ascii="Times New Roman" w:hAnsi="Times New Roman" w:eastAsia="Times New Roman"/>
                <w:color w:val="000000"/>
                <w:kern w:val="24"/>
                <w:sz w:val="24"/>
                <w:szCs w:val="24"/>
              </w:rPr>
              <w:t>Ph</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0.866</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0.866</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Ca (cmol/kg)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0.961</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0.961</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0.961</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0.961</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-0.24</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Mg (cmol/kg)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0.24</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0.961</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Na (cmol/kg)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-0.961</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-0.721</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-0.24</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K (cmol/kg)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Mn (mg/kg)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Al (mg/kg)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-0.327</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-0.327</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0.655</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-0.327</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-0.327</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0.982</w:t>
            </w:r>
          </w:p>
        </w:tc>
      </w:tr>
      <w:tr>
        <w:tblPrEx>
          <w:tblCellMar>
            <w:top w:w="0" w:type="dxa"/>
            <w:left w:w="0" w:type="dxa"/>
            <w:bottom w:w="0" w:type="dxa"/>
            <w:right w:w="0" w:type="dxa"/>
          </w:tblCellMar>
        </w:tblPrEx>
        <w:trPr>
          <w:trHeight w:val="523" w:hRule="atLeast"/>
        </w:trPr>
        <w:tc>
          <w:tcPr>
            <w:tcW w:w="1622"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Cu (mg/kg)</w:t>
            </w:r>
          </w:p>
        </w:tc>
        <w:tc>
          <w:tcPr>
            <w:tcW w:w="140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539"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33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c>
          <w:tcPr>
            <w:tcW w:w="1120"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5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23" w:type="dxa"/>
            <w:tcBorders>
              <w:top w:val="nil"/>
              <w:left w:val="nil"/>
              <w:bottom w:val="nil"/>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r>
      <w:tr>
        <w:tblPrEx>
          <w:tblCellMar>
            <w:top w:w="0" w:type="dxa"/>
            <w:left w:w="0" w:type="dxa"/>
            <w:bottom w:w="0" w:type="dxa"/>
            <w:right w:w="0" w:type="dxa"/>
          </w:tblCellMar>
        </w:tblPrEx>
        <w:trPr>
          <w:trHeight w:val="523" w:hRule="atLeast"/>
        </w:trPr>
        <w:tc>
          <w:tcPr>
            <w:tcW w:w="1622"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Mo (mg/kg)</w:t>
            </w:r>
          </w:p>
        </w:tc>
        <w:tc>
          <w:tcPr>
            <w:tcW w:w="1400"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539"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330"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c>
          <w:tcPr>
            <w:tcW w:w="1120"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53"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1.000**</w:t>
            </w:r>
          </w:p>
        </w:tc>
        <w:tc>
          <w:tcPr>
            <w:tcW w:w="1423" w:type="dxa"/>
            <w:tcBorders>
              <w:top w:val="nil"/>
              <w:left w:val="nil"/>
              <w:bottom w:val="single" w:color="000000" w:sz="8" w:space="0"/>
              <w:right w:val="nil"/>
            </w:tcBorders>
            <w:shd w:val="clear" w:color="auto" w:fill="auto"/>
            <w:tcMar>
              <w:top w:w="15" w:type="dxa"/>
              <w:left w:w="108" w:type="dxa"/>
              <w:bottom w:w="0" w:type="dxa"/>
              <w:right w:w="108" w:type="dxa"/>
            </w:tcMar>
            <w:vAlign w:val="bottom"/>
          </w:tcPr>
          <w:p>
            <w:pPr>
              <w:spacing w:after="0" w:line="276" w:lineRule="auto"/>
              <w:rPr>
                <w:rFonts w:ascii="Times New Roman" w:hAnsi="Times New Roman" w:eastAsia="Times New Roman"/>
                <w:sz w:val="24"/>
                <w:szCs w:val="24"/>
              </w:rPr>
            </w:pPr>
            <w:r>
              <w:rPr>
                <w:rFonts w:ascii="Times New Roman" w:hAnsi="Times New Roman" w:eastAsia="Times New Roman"/>
                <w:color w:val="000000"/>
                <w:kern w:val="24"/>
                <w:sz w:val="24"/>
                <w:szCs w:val="24"/>
              </w:rPr>
              <w:t>-0.5</w:t>
            </w:r>
          </w:p>
        </w:tc>
      </w:tr>
    </w:tbl>
    <w:p>
      <w:pPr>
        <w:rPr>
          <w:rFonts w:ascii="Times New Roman" w:hAnsi="Times New Roman"/>
          <w:sz w:val="24"/>
          <w:szCs w:val="24"/>
        </w:rPr>
      </w:pPr>
    </w:p>
    <w:p>
      <w:pPr>
        <w:rPr>
          <w:rFonts w:ascii="Times New Roman" w:hAnsi="Times New Roman"/>
          <w:sz w:val="24"/>
          <w:szCs w:val="24"/>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pStyle w:val="3"/>
        <w:spacing w:before="0" w:line="480" w:lineRule="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4.4     Evolutionary Relationship of Bacteria Strains</w:t>
      </w:r>
      <w:bookmarkEnd w:id="58"/>
    </w:p>
    <w:p>
      <w:pPr>
        <w:spacing w:after="120" w:line="480" w:lineRule="auto"/>
        <w:jc w:val="both"/>
        <w:rPr>
          <w:rFonts w:ascii="Times New Roman" w:hAnsi="Times New Roman"/>
          <w:color w:val="000000"/>
          <w:sz w:val="24"/>
          <w:szCs w:val="24"/>
        </w:rPr>
      </w:pPr>
      <w:r>
        <w:rPr>
          <w:rFonts w:ascii="Times New Roman" w:hAnsi="Times New Roman" w:eastAsia="+mn-ea"/>
          <w:bCs/>
          <w:color w:val="000000"/>
          <w:kern w:val="24"/>
          <w:sz w:val="24"/>
          <w:szCs w:val="24"/>
        </w:rPr>
        <w:t>Figure 1 revealed the Phylogenetic tree illustrating the evolutionary relationship of Pseudomonas aeruginosa isolated from soil in Ibadan, Nigeria in red, with other strains available in the GenBank database.</w:t>
      </w:r>
    </w:p>
    <w:p>
      <w:pPr>
        <w:spacing w:after="120" w:line="48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The evolutionary history was deduced using the Neighbor-Joining method, and the optimal tree is presented. The percentage of replicate trees, in which the associated taxa clustered together in the bootstrap test (1000 replicates), is indicated next to the branches. The tree is drawn to scale, with branch lengths measured in the same units as the evolutionary distances utilized for the phylogenetic tree inference. The evolutionary distances were computed using the Jukes-Cantor method and are expressed as the number of base substitutions per site. This analysis involved 11 nucleotide sequences, with all ambiguous positions removed for each sequence pair (using pairwise deletion option). The final dataset consisted of a total of 1545 positions. The evolutionary analyses were conducted in MEGA11.</w:t>
      </w:r>
    </w:p>
    <w:p>
      <w:pPr>
        <w:spacing w:after="120" w:line="360" w:lineRule="auto"/>
        <w:jc w:val="both"/>
        <w:rPr>
          <w:rFonts w:ascii="Times New Roman" w:hAnsi="Times New Roman"/>
          <w:color w:val="000000"/>
          <w:sz w:val="24"/>
          <w:szCs w:val="24"/>
          <w:shd w:val="clear" w:color="auto" w:fill="FFFFFF"/>
        </w:rPr>
      </w:pPr>
    </w:p>
    <w:p>
      <w:pPr>
        <w:spacing w:after="120" w:line="360" w:lineRule="auto"/>
        <w:jc w:val="both"/>
        <w:rPr>
          <w:rFonts w:ascii="Times New Roman" w:hAnsi="Times New Roman"/>
          <w:color w:val="000000"/>
          <w:sz w:val="24"/>
          <w:szCs w:val="24"/>
          <w:shd w:val="clear" w:color="auto" w:fill="FFFFFF"/>
        </w:rPr>
      </w:pPr>
    </w:p>
    <w:p>
      <w:pPr>
        <w:spacing w:after="120" w:line="360" w:lineRule="auto"/>
        <w:jc w:val="both"/>
        <w:rPr>
          <w:rFonts w:ascii="Times New Roman" w:hAnsi="Times New Roman"/>
          <w:color w:val="000000"/>
          <w:sz w:val="24"/>
          <w:szCs w:val="24"/>
          <w:shd w:val="clear" w:color="auto" w:fill="FFFFFF"/>
        </w:rPr>
      </w:pPr>
    </w:p>
    <w:p>
      <w:pPr>
        <w:spacing w:after="120" w:line="360" w:lineRule="auto"/>
        <w:jc w:val="both"/>
        <w:rPr>
          <w:rFonts w:ascii="Times New Roman" w:hAnsi="Times New Roman"/>
          <w:color w:val="000000"/>
          <w:sz w:val="24"/>
          <w:szCs w:val="24"/>
          <w:shd w:val="clear" w:color="auto" w:fill="FFFFFF"/>
        </w:rPr>
      </w:pPr>
    </w:p>
    <w:p>
      <w:pPr>
        <w:spacing w:after="120" w:line="360" w:lineRule="auto"/>
        <w:jc w:val="both"/>
        <w:rPr>
          <w:rFonts w:ascii="Times New Roman" w:hAnsi="Times New Roman"/>
          <w:color w:val="000000"/>
          <w:sz w:val="24"/>
          <w:szCs w:val="24"/>
          <w:shd w:val="clear" w:color="auto" w:fill="FFFFFF"/>
        </w:rPr>
      </w:pPr>
    </w:p>
    <w:p>
      <w:pPr>
        <w:spacing w:after="120" w:line="360" w:lineRule="auto"/>
        <w:jc w:val="both"/>
        <w:rPr>
          <w:rFonts w:ascii="Times New Roman" w:hAnsi="Times New Roman"/>
          <w:color w:val="000000"/>
          <w:sz w:val="24"/>
          <w:szCs w:val="24"/>
          <w:shd w:val="clear" w:color="auto" w:fill="FFFFFF"/>
        </w:rPr>
      </w:pPr>
    </w:p>
    <w:p>
      <w:pPr>
        <w:spacing w:after="120" w:line="360" w:lineRule="auto"/>
        <w:rPr>
          <w:rFonts w:ascii="Times New Roman" w:hAnsi="Times New Roman"/>
          <w:b/>
          <w:bCs/>
          <w:color w:val="000000"/>
          <w:sz w:val="24"/>
          <w:szCs w:val="24"/>
        </w:rPr>
      </w:pPr>
    </w:p>
    <w:p>
      <w:pPr>
        <w:spacing w:after="120" w:line="360" w:lineRule="auto"/>
        <w:rPr>
          <w:rFonts w:ascii="Times New Roman" w:hAnsi="Times New Roman"/>
          <w:color w:val="000000"/>
          <w:sz w:val="24"/>
          <w:szCs w:val="24"/>
        </w:rPr>
      </w:pPr>
      <w:r>
        <w:rPr>
          <w:rFonts w:ascii="Times New Roman" w:hAnsi="Times New Roman"/>
          <w:b/>
          <w:color w:val="000000"/>
          <w:sz w:val="24"/>
          <w:szCs w:val="24"/>
          <w:u w:val="single"/>
        </w:rPr>
        <mc:AlternateContent>
          <mc:Choice Requires="wps">
            <w:drawing>
              <wp:anchor distT="0" distB="0" distL="114300" distR="114300" simplePos="0" relativeHeight="251671552" behindDoc="0" locked="0" layoutInCell="1" allowOverlap="1">
                <wp:simplePos x="0" y="0"/>
                <wp:positionH relativeFrom="column">
                  <wp:posOffset>-6350</wp:posOffset>
                </wp:positionH>
                <wp:positionV relativeFrom="paragraph">
                  <wp:posOffset>5547360</wp:posOffset>
                </wp:positionV>
                <wp:extent cx="5739765" cy="1760855"/>
                <wp:effectExtent l="0" t="0" r="0" b="0"/>
                <wp:wrapNone/>
                <wp:docPr id="76" name="Rectangle 76"/>
                <wp:cNvGraphicFramePr/>
                <a:graphic xmlns:a="http://schemas.openxmlformats.org/drawingml/2006/main">
                  <a:graphicData uri="http://schemas.microsoft.com/office/word/2010/wordprocessingShape">
                    <wps:wsp>
                      <wps:cNvSpPr/>
                      <wps:spPr>
                        <a:xfrm>
                          <a:off x="0" y="0"/>
                          <a:ext cx="5739547" cy="1760561"/>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spacing w:after="120" w:line="360" w:lineRule="auto"/>
                              <w:jc w:val="both"/>
                              <w:rPr>
                                <w:rFonts w:ascii="Times New Roman" w:hAnsi="Times New Roman" w:eastAsia="+mn-ea"/>
                                <w:color w:val="000000"/>
                                <w:kern w:val="24"/>
                                <w:sz w:val="24"/>
                                <w:szCs w:val="24"/>
                              </w:rPr>
                            </w:pPr>
                            <w:r>
                              <w:rPr>
                                <w:rFonts w:ascii="Times New Roman" w:hAnsi="Times New Roman" w:eastAsia="+mn-ea"/>
                                <w:b/>
                                <w:color w:val="000000"/>
                                <w:kern w:val="24"/>
                                <w:sz w:val="24"/>
                                <w:szCs w:val="24"/>
                              </w:rPr>
                              <w:t xml:space="preserve">Figure 4.2: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Pseudomonas aeruginosa </w:t>
                            </w:r>
                            <w:r>
                              <w:rPr>
                                <w:rFonts w:ascii="Times New Roman" w:hAnsi="Times New Roman" w:eastAsia="+mn-ea"/>
                                <w:color w:val="000000"/>
                                <w:kern w:val="24"/>
                                <w:sz w:val="24"/>
                                <w:szCs w:val="24"/>
                              </w:rPr>
                              <w:t>obtained from soil in Ibadan, Nigeria (in red) with others stains available in the GenBank database</w:t>
                            </w: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6" o:spid="_x0000_s1026" o:spt="1" style="position:absolute;left:0pt;margin-left:-0.5pt;margin-top:436.8pt;height:138.65pt;width:451.95pt;z-index:251671552;v-text-anchor:middle;mso-width-relative:page;mso-height-relative:page;" fillcolor="#FFFFFF [3201]" filled="t" stroked="f" coordsize="21600,21600" o:gfxdata="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jEbRJ2wAAAAsBAAAPAAAAAAAAAAEAIAAAACIAAABkcnMvZG93bnJldi54&#10;bWxQSwECFAAUAAAACACHTuJAyahjz2kCAADcBAAADgAAAAAAAAABACAAAAAqAQAAZHJzL2Uyb0Rv&#10;Yy54bWxQSwUGAAAAAAYABgBZAQAABQYAAAAA&#10;">
                <v:fill on="t" focussize="0,0"/>
                <v:stroke on="f" weight="1pt" miterlimit="8" joinstyle="miter"/>
                <v:imagedata o:title=""/>
                <o:lock v:ext="edit" aspectratio="f"/>
                <v:textbox>
                  <w:txbxContent>
                    <w:p>
                      <w:pPr>
                        <w:spacing w:after="120" w:line="360" w:lineRule="auto"/>
                        <w:jc w:val="both"/>
                        <w:rPr>
                          <w:rFonts w:ascii="Times New Roman" w:hAnsi="Times New Roman" w:eastAsia="+mn-ea"/>
                          <w:color w:val="000000"/>
                          <w:kern w:val="24"/>
                          <w:sz w:val="24"/>
                          <w:szCs w:val="24"/>
                        </w:rPr>
                      </w:pPr>
                      <w:r>
                        <w:rPr>
                          <w:rFonts w:ascii="Times New Roman" w:hAnsi="Times New Roman" w:eastAsia="+mn-ea"/>
                          <w:b/>
                          <w:color w:val="000000"/>
                          <w:kern w:val="24"/>
                          <w:sz w:val="24"/>
                          <w:szCs w:val="24"/>
                        </w:rPr>
                        <w:t xml:space="preserve">Figure 4.2: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Pseudomonas aeruginosa </w:t>
                      </w:r>
                      <w:r>
                        <w:rPr>
                          <w:rFonts w:ascii="Times New Roman" w:hAnsi="Times New Roman" w:eastAsia="+mn-ea"/>
                          <w:color w:val="000000"/>
                          <w:kern w:val="24"/>
                          <w:sz w:val="24"/>
                          <w:szCs w:val="24"/>
                        </w:rPr>
                        <w:t>obtained from soil in Ibadan, Nigeria (in red) with others stains available in the GenBank database</w:t>
                      </w: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t>Source: Author’s Field Work, 2023</w:t>
                      </w: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spacing w:after="120" w:line="360" w:lineRule="auto"/>
                        <w:jc w:val="both"/>
                        <w:rPr>
                          <w:rFonts w:ascii="Times New Roman" w:hAnsi="Times New Roman"/>
                          <w:color w:val="000000"/>
                          <w:sz w:val="24"/>
                          <w:szCs w:val="24"/>
                        </w:rPr>
                      </w:pPr>
                    </w:p>
                    <w:p>
                      <w:pPr>
                        <w:jc w:val="center"/>
                      </w:pPr>
                    </w:p>
                  </w:txbxContent>
                </v:textbox>
              </v:rect>
            </w:pict>
          </mc:Fallback>
        </mc:AlternateContent>
      </w:r>
      <w:r>
        <w:rPr>
          <w:rFonts w:ascii="Times New Roman" w:hAnsi="Times New Roman"/>
          <w:b/>
          <w:color w:val="000000"/>
          <w:sz w:val="24"/>
          <w:szCs w:val="24"/>
          <w:u w:val="single"/>
        </w:rPr>
        <w:drawing>
          <wp:inline distT="0" distB="0" distL="0" distR="0">
            <wp:extent cx="5711825" cy="72199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711825" cy="7219950"/>
                    </a:xfrm>
                    <a:prstGeom prst="rect">
                      <a:avLst/>
                    </a:prstGeom>
                    <a:noFill/>
                    <a:ln>
                      <a:noFill/>
                    </a:ln>
                  </pic:spPr>
                </pic:pic>
              </a:graphicData>
            </a:graphic>
          </wp:inline>
        </w:drawing>
      </w:r>
    </w:p>
    <w:p>
      <w:pPr>
        <w:spacing w:after="200" w:line="276" w:lineRule="auto"/>
        <w:rPr>
          <w:rFonts w:ascii="Times New Roman" w:hAnsi="Times New Roman"/>
          <w:color w:val="000000"/>
          <w:sz w:val="24"/>
          <w:szCs w:val="24"/>
        </w:rPr>
      </w:pPr>
      <w:r>
        <w:rPr>
          <w:rFonts w:ascii="Times New Roman" w:hAnsi="Times New Roman"/>
          <w:color w:val="000000"/>
          <w:sz w:val="24"/>
          <w:szCs w:val="24"/>
        </w:rPr>
        <w:br w:type="page"/>
      </w:r>
    </w:p>
    <w:p>
      <w:pPr>
        <w:spacing w:after="120" w:line="480" w:lineRule="auto"/>
        <w:jc w:val="both"/>
        <w:rPr>
          <w:rFonts w:ascii="Times New Roman" w:hAnsi="Times New Roman"/>
          <w:b/>
          <w:color w:val="000000"/>
          <w:sz w:val="24"/>
          <w:szCs w:val="24"/>
          <w:u w:val="single"/>
        </w:rPr>
        <w:sectPr>
          <w:pgSz w:w="11906" w:h="16838"/>
          <w:pgMar w:top="1440" w:right="1440" w:bottom="1440" w:left="1440" w:header="709" w:footer="709" w:gutter="0"/>
          <w:cols w:space="708" w:num="1"/>
          <w:docGrid w:linePitch="360" w:charSpace="0"/>
        </w:sectPr>
      </w:pPr>
      <w:r>
        <w:rPr>
          <w:rFonts w:ascii="Times New Roman" w:hAnsi="Times New Roman"/>
          <w:color w:val="000000"/>
          <w:sz w:val="24"/>
          <w:szCs w:val="24"/>
          <w:shd w:val="clear" w:color="auto" w:fill="FFFFFF"/>
        </w:rPr>
        <w:t>The evolutionary relationship was determined using the Neighbor-Joining method, and the optimal tree is displayed. The percentage of replicate trees, where the associated taxa clustered together in the bootstrap test (1000 replicates), is indicated alongside the branches. The tree is drawn to scale, with branch lengths measured in the same units as the evolutionary distances used to infer the phylogenetic tree. The evolutionary distances were computed using the Jukes-Cantor method and are expressed as the number of base substitutions per site. This analysis involved 9 nucleotide sequences, and all ambiguous positions were removed for each sequence pair using the pairwise deletion option. The final dataset contained a total of 1459 positions. The evolutionary analyses were performed using MEGA11.</w:t>
      </w:r>
    </w:p>
    <w:p>
      <w:pPr>
        <w:spacing w:after="120" w:line="360" w:lineRule="auto"/>
        <w:jc w:val="center"/>
        <w:rPr>
          <w:rFonts w:ascii="Times New Roman" w:hAnsi="Times New Roman"/>
          <w:b/>
          <w:color w:val="000000"/>
          <w:sz w:val="24"/>
          <w:szCs w:val="24"/>
        </w:rPr>
      </w:pPr>
      <w:r>
        <w:rPr>
          <w:rFonts w:ascii="Times New Roman" w:hAnsi="Times New Roman"/>
          <w:b/>
          <w:color w:val="000000"/>
          <w:sz w:val="24"/>
          <w:szCs w:val="24"/>
          <w:u w:val="single"/>
        </w:rP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5092700</wp:posOffset>
                </wp:positionV>
                <wp:extent cx="6018530" cy="1247140"/>
                <wp:effectExtent l="0" t="0" r="1270" b="0"/>
                <wp:wrapNone/>
                <wp:docPr id="77" name="Rectangle 77"/>
                <wp:cNvGraphicFramePr/>
                <a:graphic xmlns:a="http://schemas.openxmlformats.org/drawingml/2006/main">
                  <a:graphicData uri="http://schemas.microsoft.com/office/word/2010/wordprocessingShape">
                    <wps:wsp>
                      <wps:cNvSpPr/>
                      <wps:spPr>
                        <a:xfrm>
                          <a:off x="0" y="0"/>
                          <a:ext cx="6018663" cy="1246909"/>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spacing w:after="120" w:line="360" w:lineRule="auto"/>
                              <w:jc w:val="both"/>
                              <w:rPr>
                                <w:rFonts w:ascii="Times New Roman" w:hAnsi="Times New Roman"/>
                                <w:color w:val="000000"/>
                                <w:sz w:val="24"/>
                                <w:szCs w:val="24"/>
                              </w:rPr>
                            </w:pPr>
                            <w:r>
                              <w:rPr>
                                <w:rFonts w:ascii="Times New Roman" w:hAnsi="Times New Roman" w:eastAsia="+mn-ea"/>
                                <w:b/>
                                <w:color w:val="000000"/>
                                <w:kern w:val="24"/>
                                <w:sz w:val="24"/>
                                <w:szCs w:val="24"/>
                              </w:rPr>
                              <w:t xml:space="preserve">Figure 4.3: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Bacillus cereus </w:t>
                            </w:r>
                            <w:r>
                              <w:rPr>
                                <w:rFonts w:ascii="Times New Roman" w:hAnsi="Times New Roman" w:eastAsia="+mn-ea"/>
                                <w:color w:val="000000"/>
                                <w:kern w:val="24"/>
                                <w:sz w:val="24"/>
                                <w:szCs w:val="24"/>
                              </w:rPr>
                              <w:t xml:space="preserve">obtained from soil in Ibadan, Nigeria (in red) with others stains available in the GenBank database. </w:t>
                            </w:r>
                          </w:p>
                          <w:p>
                            <w:pPr>
                              <w:spacing w:after="120" w:line="360" w:lineRule="auto"/>
                              <w:jc w:val="both"/>
                              <w:rPr>
                                <w:rFonts w:ascii="Times New Roman" w:hAnsi="Times New Roman" w:eastAsia="Times New Roman"/>
                                <w:color w:val="000000"/>
                                <w:sz w:val="24"/>
                                <w:szCs w:val="24"/>
                              </w:rPr>
                            </w:pPr>
                            <w:r>
                              <w:rPr>
                                <w:rFonts w:ascii="Times New Roman" w:hAnsi="Times New Roman"/>
                                <w:color w:val="000000"/>
                                <w:sz w:val="24"/>
                                <w:szCs w:val="24"/>
                              </w:rPr>
                              <w:t>Source: Author’s Field Work, 2023</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7" o:spid="_x0000_s1026" o:spt="1" style="position:absolute;left:0pt;margin-top:401pt;height:98.2pt;width:473.9pt;mso-position-horizontal:left;mso-position-horizontal-relative:margin;z-index:251661312;v-text-anchor:middle;mso-width-relative:page;mso-height-relative:page;" fillcolor="#FFFFFF [3201]" filled="t" stroked="f" coordsize="21600,21600" o:gfxdata="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BjD9ew2AAAAAgBAAAPAAAAAAAAAAEAIAAAACIAAABkcnMvZG93bnJldi54bWxQ&#10;SwECFAAUAAAACACHTuJA6Zz8PGkCAADcBAAADgAAAAAAAAABACAAAAAnAQAAZHJzL2Uyb0RvYy54&#10;bWxQSwUGAAAAAAYABgBZAQAAAgYAAAAA&#10;">
                <v:fill on="t" focussize="0,0"/>
                <v:stroke on="f" weight="1pt" miterlimit="8" joinstyle="miter"/>
                <v:imagedata o:title=""/>
                <o:lock v:ext="edit" aspectratio="f"/>
                <v:textbox>
                  <w:txbxContent>
                    <w:p>
                      <w:pPr>
                        <w:spacing w:after="120" w:line="360" w:lineRule="auto"/>
                        <w:jc w:val="both"/>
                        <w:rPr>
                          <w:rFonts w:ascii="Times New Roman" w:hAnsi="Times New Roman"/>
                          <w:color w:val="000000"/>
                          <w:sz w:val="24"/>
                          <w:szCs w:val="24"/>
                        </w:rPr>
                      </w:pPr>
                      <w:r>
                        <w:rPr>
                          <w:rFonts w:ascii="Times New Roman" w:hAnsi="Times New Roman" w:eastAsia="+mn-ea"/>
                          <w:b/>
                          <w:color w:val="000000"/>
                          <w:kern w:val="24"/>
                          <w:sz w:val="24"/>
                          <w:szCs w:val="24"/>
                        </w:rPr>
                        <w:t xml:space="preserve">Figure 4.3: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Bacillus cereus </w:t>
                      </w:r>
                      <w:r>
                        <w:rPr>
                          <w:rFonts w:ascii="Times New Roman" w:hAnsi="Times New Roman" w:eastAsia="+mn-ea"/>
                          <w:color w:val="000000"/>
                          <w:kern w:val="24"/>
                          <w:sz w:val="24"/>
                          <w:szCs w:val="24"/>
                        </w:rPr>
                        <w:t xml:space="preserve">obtained from soil in Ibadan, Nigeria (in red) with others stains available in the GenBank database. </w:t>
                      </w:r>
                    </w:p>
                    <w:p>
                      <w:pPr>
                        <w:spacing w:after="120" w:line="360" w:lineRule="auto"/>
                        <w:jc w:val="both"/>
                        <w:rPr>
                          <w:rFonts w:ascii="Times New Roman" w:hAnsi="Times New Roman" w:eastAsia="Times New Roman"/>
                          <w:color w:val="000000"/>
                          <w:sz w:val="24"/>
                          <w:szCs w:val="24"/>
                        </w:rPr>
                      </w:pPr>
                      <w:r>
                        <w:rPr>
                          <w:rFonts w:ascii="Times New Roman" w:hAnsi="Times New Roman"/>
                          <w:color w:val="000000"/>
                          <w:sz w:val="24"/>
                          <w:szCs w:val="24"/>
                        </w:rPr>
                        <w:t>Source: Author’s Field Work, 2023</w:t>
                      </w:r>
                    </w:p>
                    <w:p>
                      <w:pPr>
                        <w:jc w:val="center"/>
                      </w:pPr>
                    </w:p>
                  </w:txbxContent>
                </v:textbox>
              </v:rect>
            </w:pict>
          </mc:Fallback>
        </mc:AlternateContent>
      </w:r>
      <w:r>
        <w:rPr>
          <w:rFonts w:ascii="Times New Roman" w:hAnsi="Times New Roman"/>
          <w:b/>
          <w:color w:val="000000"/>
          <w:sz w:val="24"/>
          <w:szCs w:val="24"/>
        </w:rPr>
        <w:drawing>
          <wp:inline distT="0" distB="0" distL="0" distR="0">
            <wp:extent cx="6447155" cy="74771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6452479" cy="7483332"/>
                    </a:xfrm>
                    <a:prstGeom prst="rect">
                      <a:avLst/>
                    </a:prstGeom>
                    <a:noFill/>
                    <a:ln>
                      <a:noFill/>
                    </a:ln>
                  </pic:spPr>
                </pic:pic>
              </a:graphicData>
            </a:graphic>
          </wp:inline>
        </w:drawing>
      </w:r>
    </w:p>
    <w:p>
      <w:pPr>
        <w:spacing w:after="120" w:line="360" w:lineRule="auto"/>
        <w:jc w:val="both"/>
        <w:rPr>
          <w:rFonts w:ascii="Times New Roman" w:hAnsi="Times New Roman" w:eastAsia="Times New Roman"/>
          <w:color w:val="000000"/>
          <w:sz w:val="24"/>
          <w:szCs w:val="24"/>
        </w:rPr>
      </w:pPr>
    </w:p>
    <w:p>
      <w:pPr>
        <w:spacing w:after="120" w:line="360" w:lineRule="auto"/>
        <w:jc w:val="both"/>
        <w:rPr>
          <w:rFonts w:ascii="Times New Roman" w:hAnsi="Times New Roman" w:eastAsia="Times New Roman"/>
          <w:color w:val="000000"/>
          <w:sz w:val="24"/>
          <w:szCs w:val="24"/>
        </w:rPr>
      </w:pPr>
    </w:p>
    <w:p>
      <w:pPr>
        <w:spacing w:after="120" w:line="360" w:lineRule="auto"/>
        <w:jc w:val="both"/>
        <w:rPr>
          <w:rFonts w:ascii="Times New Roman" w:hAnsi="Times New Roman" w:eastAsia="Times New Roman"/>
          <w:color w:val="000000"/>
          <w:sz w:val="24"/>
          <w:szCs w:val="24"/>
        </w:rPr>
      </w:pPr>
    </w:p>
    <w:p>
      <w:pPr>
        <w:spacing w:after="120" w:line="48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The evolutionary relationships were determined using the Neighbor-Joining method, and the optimal tree is displayed. The percentage of replicate trees, where the associated taxa clustered together in the bootstrap test (1000 replicates), is indicated next to the branches. The tree is drawn to scale, and branch lengths are in the same units as the evolutionary distances used to infer the phylogenetic tree. The evolutionary distances were computed using the Jukes-Cantor method and are expressed as the number of base substitutions per site. This analysis involved 9 nucleotide sequences, and the codon positions considered included 1st+2nd+3rd+Noncoding. Ambiguous positions were removed for each sequence pair using the pairwise deletion option. The final dataset contained a total of 1514 positions. The evolutionary analyses were conducted using MEGA11.</w:t>
      </w:r>
    </w:p>
    <w:p>
      <w:pPr>
        <w:spacing w:after="120" w:line="360" w:lineRule="auto"/>
        <w:rPr>
          <w:rFonts w:ascii="Times New Roman" w:hAnsi="Times New Roman"/>
          <w:b/>
          <w:color w:val="000000"/>
          <w:sz w:val="24"/>
          <w:szCs w:val="24"/>
          <w:u w:val="single"/>
        </w:rPr>
      </w:pPr>
    </w:p>
    <w:p>
      <w:pPr>
        <w:spacing w:after="120" w:line="36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4646930</wp:posOffset>
                </wp:positionV>
                <wp:extent cx="5936615" cy="1794510"/>
                <wp:effectExtent l="0" t="0" r="6985" b="0"/>
                <wp:wrapNone/>
                <wp:docPr id="78" name="Rectangle 78"/>
                <wp:cNvGraphicFramePr/>
                <a:graphic xmlns:a="http://schemas.openxmlformats.org/drawingml/2006/main">
                  <a:graphicData uri="http://schemas.microsoft.com/office/word/2010/wordprocessingShape">
                    <wps:wsp>
                      <wps:cNvSpPr/>
                      <wps:spPr>
                        <a:xfrm>
                          <a:off x="0" y="0"/>
                          <a:ext cx="5936776" cy="179468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spacing w:after="120" w:line="360" w:lineRule="auto"/>
                              <w:rPr>
                                <w:rFonts w:ascii="Times New Roman" w:hAnsi="Times New Roman"/>
                                <w:color w:val="000000"/>
                                <w:sz w:val="24"/>
                                <w:szCs w:val="24"/>
                              </w:rPr>
                            </w:pPr>
                            <w:r>
                              <w:rPr>
                                <w:rFonts w:ascii="Times New Roman" w:hAnsi="Times New Roman" w:eastAsia="+mn-ea"/>
                                <w:b/>
                                <w:color w:val="000000"/>
                                <w:kern w:val="24"/>
                                <w:sz w:val="24"/>
                                <w:szCs w:val="24"/>
                              </w:rPr>
                              <w:t xml:space="preserve">Figure 4.4: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Klebsiella pneumoniae </w:t>
                            </w:r>
                            <w:r>
                              <w:rPr>
                                <w:rFonts w:ascii="Times New Roman" w:hAnsi="Times New Roman" w:eastAsia="+mn-ea"/>
                                <w:color w:val="000000"/>
                                <w:kern w:val="24"/>
                                <w:sz w:val="24"/>
                                <w:szCs w:val="24"/>
                              </w:rPr>
                              <w:t xml:space="preserve">obtained from soil in Ibadan, Nigeria (in red) with others stains available in the GenBank database. </w:t>
                            </w:r>
                          </w:p>
                          <w:p>
                            <w:pPr>
                              <w:spacing w:after="120" w:line="360" w:lineRule="auto"/>
                              <w:rPr>
                                <w:rFonts w:ascii="Times New Roman" w:hAnsi="Times New Roman"/>
                                <w:color w:val="000000"/>
                                <w:sz w:val="24"/>
                                <w:szCs w:val="24"/>
                                <w:shd w:val="clear" w:color="auto" w:fill="FFFFFF"/>
                              </w:rPr>
                            </w:pPr>
                            <w:r>
                              <w:rPr>
                                <w:rFonts w:ascii="Times New Roman" w:hAnsi="Times New Roman"/>
                                <w:color w:val="000000"/>
                                <w:sz w:val="24"/>
                                <w:szCs w:val="24"/>
                              </w:rPr>
                              <w:t>Source: Author’s Field Work, 2023</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8" o:spid="_x0000_s1026" o:spt="1" style="position:absolute;left:0pt;margin-left:0pt;margin-top:365.9pt;height:141.3pt;width:467.45pt;z-index:251663360;v-text-anchor:middle;mso-width-relative:page;mso-height-relative:page;" fillcolor="#FFFFFF [3201]" filled="t" stroked="f" coordsize="21600,21600" o:gfxdata="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xcYcqNgAAAAJAQAADwAAAAAAAAABACAAAAAiAAAAZHJzL2Rvd25yZXYueG1s&#10;UEsBAhQAFAAAAAgAh07iQLFTEjdqAgAA3AQAAA4AAAAAAAAAAQAgAAAAJwEAAGRycy9lMm9Eb2Mu&#10;eG1sUEsFBgAAAAAGAAYAWQEAAAMGAAAAAA==&#10;">
                <v:fill on="t" focussize="0,0"/>
                <v:stroke on="f" weight="1pt" miterlimit="8" joinstyle="miter"/>
                <v:imagedata o:title=""/>
                <o:lock v:ext="edit" aspectratio="f"/>
                <v:textbox>
                  <w:txbxContent>
                    <w:p>
                      <w:pPr>
                        <w:spacing w:after="120" w:line="360" w:lineRule="auto"/>
                        <w:rPr>
                          <w:rFonts w:ascii="Times New Roman" w:hAnsi="Times New Roman"/>
                          <w:color w:val="000000"/>
                          <w:sz w:val="24"/>
                          <w:szCs w:val="24"/>
                        </w:rPr>
                      </w:pPr>
                      <w:r>
                        <w:rPr>
                          <w:rFonts w:ascii="Times New Roman" w:hAnsi="Times New Roman" w:eastAsia="+mn-ea"/>
                          <w:b/>
                          <w:color w:val="000000"/>
                          <w:kern w:val="24"/>
                          <w:sz w:val="24"/>
                          <w:szCs w:val="24"/>
                        </w:rPr>
                        <w:t xml:space="preserve">Figure 4.4: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Klebsiella pneumoniae </w:t>
                      </w:r>
                      <w:r>
                        <w:rPr>
                          <w:rFonts w:ascii="Times New Roman" w:hAnsi="Times New Roman" w:eastAsia="+mn-ea"/>
                          <w:color w:val="000000"/>
                          <w:kern w:val="24"/>
                          <w:sz w:val="24"/>
                          <w:szCs w:val="24"/>
                        </w:rPr>
                        <w:t xml:space="preserve">obtained from soil in Ibadan, Nigeria (in red) with others stains available in the GenBank database. </w:t>
                      </w:r>
                    </w:p>
                    <w:p>
                      <w:pPr>
                        <w:spacing w:after="120" w:line="360" w:lineRule="auto"/>
                        <w:rPr>
                          <w:rFonts w:ascii="Times New Roman" w:hAnsi="Times New Roman"/>
                          <w:color w:val="000000"/>
                          <w:sz w:val="24"/>
                          <w:szCs w:val="24"/>
                          <w:shd w:val="clear" w:color="auto" w:fill="FFFFFF"/>
                        </w:rPr>
                      </w:pPr>
                      <w:r>
                        <w:rPr>
                          <w:rFonts w:ascii="Times New Roman" w:hAnsi="Times New Roman"/>
                          <w:color w:val="000000"/>
                          <w:sz w:val="24"/>
                          <w:szCs w:val="24"/>
                        </w:rPr>
                        <w:t>Source: Author’s Field Work, 2023</w:t>
                      </w:r>
                    </w:p>
                    <w:p>
                      <w:pPr>
                        <w:jc w:val="center"/>
                      </w:pPr>
                    </w:p>
                  </w:txbxContent>
                </v:textbox>
              </v:rect>
            </w:pict>
          </mc:Fallback>
        </mc:AlternateContent>
      </w:r>
      <w:r>
        <w:rPr>
          <w:rFonts w:ascii="Times New Roman" w:hAnsi="Times New Roman"/>
          <w:b/>
          <w:color w:val="000000"/>
          <w:sz w:val="24"/>
          <w:szCs w:val="24"/>
          <w:u w:val="single"/>
        </w:rPr>
        <w:drawing>
          <wp:inline distT="0" distB="0" distL="0" distR="0">
            <wp:extent cx="5438775" cy="616331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438775" cy="6163310"/>
                    </a:xfrm>
                    <a:prstGeom prst="rect">
                      <a:avLst/>
                    </a:prstGeom>
                    <a:noFill/>
                    <a:ln>
                      <a:noFill/>
                    </a:ln>
                  </pic:spPr>
                </pic:pic>
              </a:graphicData>
            </a:graphic>
          </wp:inline>
        </w:drawing>
      </w:r>
    </w:p>
    <w:p>
      <w:pPr>
        <w:spacing w:after="200" w:line="276"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br w:type="page"/>
      </w:r>
    </w:p>
    <w:p>
      <w:pPr>
        <w:spacing w:after="120" w:line="480" w:lineRule="auto"/>
        <w:jc w:val="both"/>
        <w:rPr>
          <w:rFonts w:ascii="Times New Roman" w:hAnsi="Times New Roman"/>
          <w:b/>
          <w:color w:val="000000"/>
          <w:sz w:val="24"/>
          <w:szCs w:val="24"/>
          <w:u w:val="single"/>
        </w:rPr>
      </w:pPr>
      <w:r>
        <w:rPr>
          <w:rFonts w:ascii="Times New Roman" w:hAnsi="Times New Roman"/>
          <w:color w:val="000000"/>
          <w:sz w:val="24"/>
          <w:szCs w:val="24"/>
          <w:shd w:val="clear" w:color="auto" w:fill="FFFFFF"/>
        </w:rPr>
        <w:t>The evolutionary relationships were deduced using the Neighbor-Joining method, and the optimal tree is depicted. The percentage of replicate trees, where the associated taxa clustered together in the bootstrap test (1000 replicates), is indicated next to the branches. The tree is drawn to scale, and branch lengths are in the same units as the evolutionary distances used to infer the phylogenetic tree. The evolutionary distances were calculated using the Jukes-Cantor method and are expressed as the number of base substitutions per site. This analysis involved 11 nucleotide sequences, with all ambiguous positions removed for each sequence pair using the pairwise deletion option. The final dataset contained a total of 1449 positions. The evolutionary analyses were performed using MEGA11. Bacillus subtilis UI-ANSPSB-04 showed the closest homology with Bacillus subtilis strain LCU-MCB-22-004 and Bacillus pumilus strain ATCC 7061.</w:t>
      </w:r>
    </w:p>
    <w:p>
      <w:pPr>
        <w:spacing w:after="120" w:line="360" w:lineRule="auto"/>
        <w:rPr>
          <w:rFonts w:ascii="Times New Roman" w:hAnsi="Times New Roman"/>
          <w:b/>
          <w:color w:val="000000"/>
          <w:sz w:val="24"/>
          <w:szCs w:val="24"/>
          <w:u w:val="single"/>
        </w:rPr>
      </w:pPr>
    </w:p>
    <w:p>
      <w:pPr>
        <w:spacing w:after="120" w:line="360" w:lineRule="auto"/>
        <w:rPr>
          <w:rFonts w:ascii="Times New Roman" w:hAnsi="Times New Roman"/>
          <w:b/>
          <w:color w:val="000000"/>
          <w:sz w:val="24"/>
          <w:szCs w:val="24"/>
          <w:u w:val="single"/>
        </w:rPr>
      </w:pPr>
    </w:p>
    <w:p>
      <w:pPr>
        <w:spacing w:after="120" w:line="36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mc:AlternateContent>
          <mc:Choice Requires="wps">
            <w:drawing>
              <wp:anchor distT="0" distB="0" distL="114300" distR="114300" simplePos="0" relativeHeight="251665408" behindDoc="0" locked="0" layoutInCell="1" allowOverlap="1">
                <wp:simplePos x="0" y="0"/>
                <wp:positionH relativeFrom="column">
                  <wp:posOffset>-20320</wp:posOffset>
                </wp:positionH>
                <wp:positionV relativeFrom="paragraph">
                  <wp:posOffset>3609340</wp:posOffset>
                </wp:positionV>
                <wp:extent cx="5956935" cy="1398905"/>
                <wp:effectExtent l="0" t="0" r="5715" b="0"/>
                <wp:wrapNone/>
                <wp:docPr id="79" name="Rectangle 79"/>
                <wp:cNvGraphicFramePr/>
                <a:graphic xmlns:a="http://schemas.openxmlformats.org/drawingml/2006/main">
                  <a:graphicData uri="http://schemas.microsoft.com/office/word/2010/wordprocessingShape">
                    <wps:wsp>
                      <wps:cNvSpPr/>
                      <wps:spPr>
                        <a:xfrm>
                          <a:off x="0" y="0"/>
                          <a:ext cx="5957248" cy="139889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spacing w:after="120" w:line="360" w:lineRule="auto"/>
                              <w:rPr>
                                <w:rFonts w:ascii="Times New Roman" w:hAnsi="Times New Roman" w:eastAsia="+mn-ea"/>
                                <w:color w:val="000000"/>
                                <w:kern w:val="24"/>
                                <w:sz w:val="24"/>
                                <w:szCs w:val="24"/>
                              </w:rPr>
                            </w:pPr>
                            <w:r>
                              <w:rPr>
                                <w:rFonts w:ascii="Times New Roman" w:hAnsi="Times New Roman" w:eastAsia="+mn-ea"/>
                                <w:b/>
                                <w:color w:val="000000"/>
                                <w:kern w:val="24"/>
                                <w:sz w:val="24"/>
                                <w:szCs w:val="24"/>
                              </w:rPr>
                              <w:t xml:space="preserve">Figure 4.5: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Bacillus subtilis </w:t>
                            </w:r>
                            <w:r>
                              <w:rPr>
                                <w:rFonts w:ascii="Times New Roman" w:hAnsi="Times New Roman" w:eastAsia="+mn-ea"/>
                                <w:color w:val="000000"/>
                                <w:kern w:val="24"/>
                                <w:sz w:val="24"/>
                                <w:szCs w:val="24"/>
                              </w:rPr>
                              <w:t>obtained from soil in Ibadan, Nigeria (in red) with others stains available in the GenBank database.</w:t>
                            </w:r>
                          </w:p>
                          <w:p>
                            <w:pPr>
                              <w:spacing w:after="120" w:line="360" w:lineRule="auto"/>
                              <w:rPr>
                                <w:rFonts w:ascii="Times New Roman" w:hAnsi="Times New Roman" w:eastAsia="Times New Roman"/>
                                <w:color w:val="000000"/>
                                <w:sz w:val="24"/>
                                <w:szCs w:val="24"/>
                              </w:rPr>
                            </w:pPr>
                            <w:r>
                              <w:rPr>
                                <w:rFonts w:ascii="Times New Roman" w:hAnsi="Times New Roman"/>
                                <w:color w:val="000000"/>
                                <w:sz w:val="24"/>
                                <w:szCs w:val="24"/>
                              </w:rPr>
                              <w:t>Source: Author’s Field Work, 2023</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9" o:spid="_x0000_s1026" o:spt="1" style="position:absolute;left:0pt;margin-left:-1.6pt;margin-top:284.2pt;height:110.15pt;width:469.05pt;z-index:251665408;v-text-anchor:middle;mso-width-relative:page;mso-height-relative:page;" fillcolor="#FFFFFF [3201]" filled="t" stroked="f" coordsize="21600,21600" o:gfxdata="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H+D0GrbAAAACgEAAA8AAAAAAAAAAQAgAAAAIgAAAGRycy9kb3ducmV2Lnht&#10;bFBLAQIUABQAAAAIAIdO4kDKG91FaAIAANwEAAAOAAAAAAAAAAEAIAAAACoBAABkcnMvZTJvRG9j&#10;LnhtbFBLBQYAAAAABgAGAFkBAAAEBgAAAAA=&#10;">
                <v:fill on="t" focussize="0,0"/>
                <v:stroke on="f" weight="1pt" miterlimit="8" joinstyle="miter"/>
                <v:imagedata o:title=""/>
                <o:lock v:ext="edit" aspectratio="f"/>
                <v:textbox>
                  <w:txbxContent>
                    <w:p>
                      <w:pPr>
                        <w:spacing w:after="120" w:line="360" w:lineRule="auto"/>
                        <w:rPr>
                          <w:rFonts w:ascii="Times New Roman" w:hAnsi="Times New Roman" w:eastAsia="+mn-ea"/>
                          <w:color w:val="000000"/>
                          <w:kern w:val="24"/>
                          <w:sz w:val="24"/>
                          <w:szCs w:val="24"/>
                        </w:rPr>
                      </w:pPr>
                      <w:r>
                        <w:rPr>
                          <w:rFonts w:ascii="Times New Roman" w:hAnsi="Times New Roman" w:eastAsia="+mn-ea"/>
                          <w:b/>
                          <w:color w:val="000000"/>
                          <w:kern w:val="24"/>
                          <w:sz w:val="24"/>
                          <w:szCs w:val="24"/>
                        </w:rPr>
                        <w:t xml:space="preserve">Figure 4.5: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Bacillus subtilis </w:t>
                      </w:r>
                      <w:r>
                        <w:rPr>
                          <w:rFonts w:ascii="Times New Roman" w:hAnsi="Times New Roman" w:eastAsia="+mn-ea"/>
                          <w:color w:val="000000"/>
                          <w:kern w:val="24"/>
                          <w:sz w:val="24"/>
                          <w:szCs w:val="24"/>
                        </w:rPr>
                        <w:t>obtained from soil in Ibadan, Nigeria (in red) with others stains available in the GenBank database.</w:t>
                      </w:r>
                    </w:p>
                    <w:p>
                      <w:pPr>
                        <w:spacing w:after="120" w:line="360" w:lineRule="auto"/>
                        <w:rPr>
                          <w:rFonts w:ascii="Times New Roman" w:hAnsi="Times New Roman" w:eastAsia="Times New Roman"/>
                          <w:color w:val="000000"/>
                          <w:sz w:val="24"/>
                          <w:szCs w:val="24"/>
                        </w:rPr>
                      </w:pPr>
                      <w:r>
                        <w:rPr>
                          <w:rFonts w:ascii="Times New Roman" w:hAnsi="Times New Roman"/>
                          <w:color w:val="000000"/>
                          <w:sz w:val="24"/>
                          <w:szCs w:val="24"/>
                        </w:rPr>
                        <w:t>Source: Author’s Field Work, 2023</w:t>
                      </w:r>
                    </w:p>
                    <w:p>
                      <w:pPr>
                        <w:jc w:val="center"/>
                      </w:pPr>
                    </w:p>
                  </w:txbxContent>
                </v:textbox>
              </v:rect>
            </w:pict>
          </mc:Fallback>
        </mc:AlternateContent>
      </w:r>
      <w:r>
        <w:rPr>
          <w:rFonts w:ascii="Times New Roman" w:hAnsi="Times New Roman"/>
          <w:b/>
          <w:color w:val="000000"/>
          <w:sz w:val="24"/>
          <w:szCs w:val="24"/>
          <w:u w:val="single"/>
        </w:rPr>
        <w:drawing>
          <wp:inline distT="0" distB="0" distL="0" distR="0">
            <wp:extent cx="5949315" cy="485711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949315" cy="4857115"/>
                    </a:xfrm>
                    <a:prstGeom prst="rect">
                      <a:avLst/>
                    </a:prstGeom>
                    <a:noFill/>
                    <a:ln>
                      <a:noFill/>
                    </a:ln>
                  </pic:spPr>
                </pic:pic>
              </a:graphicData>
            </a:graphic>
          </wp:inline>
        </w:drawing>
      </w:r>
    </w:p>
    <w:p>
      <w:pPr>
        <w:spacing w:after="120" w:line="360" w:lineRule="auto"/>
        <w:rPr>
          <w:rFonts w:ascii="Times New Roman" w:hAnsi="Times New Roman" w:eastAsia="Times New Roman"/>
          <w:color w:val="000000"/>
          <w:sz w:val="24"/>
          <w:szCs w:val="24"/>
        </w:rPr>
      </w:pPr>
    </w:p>
    <w:p>
      <w:pPr>
        <w:spacing w:after="120" w:line="360" w:lineRule="auto"/>
        <w:rPr>
          <w:rFonts w:ascii="Times New Roman" w:hAnsi="Times New Roman" w:eastAsia="Times New Roman"/>
          <w:color w:val="000000"/>
          <w:sz w:val="24"/>
          <w:szCs w:val="24"/>
        </w:rPr>
      </w:pPr>
    </w:p>
    <w:p>
      <w:pPr>
        <w:spacing w:after="120" w:line="360" w:lineRule="auto"/>
        <w:rPr>
          <w:rFonts w:ascii="Times New Roman" w:hAnsi="Times New Roman" w:eastAsia="Times New Roman"/>
          <w:color w:val="000000"/>
          <w:sz w:val="24"/>
          <w:szCs w:val="24"/>
        </w:rPr>
      </w:pPr>
    </w:p>
    <w:p>
      <w:pPr>
        <w:spacing w:after="120" w:line="360" w:lineRule="auto"/>
        <w:rPr>
          <w:rFonts w:ascii="Times New Roman" w:hAnsi="Times New Roman" w:eastAsia="Times New Roman"/>
          <w:color w:val="000000"/>
          <w:sz w:val="24"/>
          <w:szCs w:val="24"/>
        </w:rPr>
      </w:pPr>
    </w:p>
    <w:p>
      <w:pPr>
        <w:spacing w:after="120" w:line="360" w:lineRule="auto"/>
        <w:rPr>
          <w:rFonts w:ascii="Times New Roman" w:hAnsi="Times New Roman" w:eastAsia="Times New Roman"/>
          <w:color w:val="000000"/>
          <w:sz w:val="24"/>
          <w:szCs w:val="24"/>
        </w:rPr>
      </w:pPr>
    </w:p>
    <w:p>
      <w:pPr>
        <w:spacing w:after="200" w:line="276"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br w:type="page"/>
      </w:r>
    </w:p>
    <w:p>
      <w:pPr>
        <w:spacing w:after="120" w:line="480" w:lineRule="auto"/>
        <w:jc w:val="both"/>
        <w:rPr>
          <w:rFonts w:ascii="Times New Roman" w:hAnsi="Times New Roman"/>
          <w:color w:val="000000"/>
          <w:sz w:val="24"/>
          <w:szCs w:val="24"/>
        </w:rPr>
      </w:pPr>
      <w:r>
        <w:rPr>
          <w:rFonts w:ascii="Times New Roman" w:hAnsi="Times New Roman" w:eastAsia="Times New Roman"/>
          <w:color w:val="000000"/>
          <w:sz w:val="24"/>
          <w:szCs w:val="24"/>
        </w:rPr>
        <w:t xml:space="preserve">The evolutionary relationships were determined using the Neighbor-Joining method, and the optimal tree is presented. The percentage of replicate trees, where the associated taxa clustered together in the bootstrap test (1000 replicates), is indicated next to the branches. The tree is drawn to scale, and branch lengths are in the same units as the evolutionary distances used to infer the phylogenetic tree. The evolutionary distances were computed using the Jukes-Cantor method and are expressed as the number of base substitutions per site. This analysis involved 19 nucleotide sequences, and all ambiguous positions were removed for each sequence pair using the pairwise deletion option. The final dataset contained a total of 1520 positions. The evolutionary analyses were conducted using MEGA11. </w:t>
      </w:r>
      <w:r>
        <w:rPr>
          <w:rFonts w:ascii="Times New Roman" w:hAnsi="Times New Roman"/>
          <w:i/>
          <w:color w:val="000000"/>
          <w:sz w:val="24"/>
          <w:szCs w:val="24"/>
        </w:rPr>
        <w:t xml:space="preserve">Bacillus thuringiensis </w:t>
      </w:r>
      <w:r>
        <w:rPr>
          <w:rFonts w:ascii="Times New Roman" w:hAnsi="Times New Roman"/>
          <w:iCs/>
          <w:color w:val="000000"/>
          <w:sz w:val="24"/>
          <w:szCs w:val="24"/>
        </w:rPr>
        <w:t>strain UI-ANSAC-05 share closest homology with</w:t>
      </w:r>
      <w:r>
        <w:rPr>
          <w:rFonts w:ascii="Times New Roman" w:hAnsi="Times New Roman"/>
          <w:i/>
          <w:color w:val="000000"/>
          <w:sz w:val="24"/>
          <w:szCs w:val="24"/>
        </w:rPr>
        <w:t xml:space="preserve"> Bacillus thuringiensis </w:t>
      </w:r>
      <w:r>
        <w:rPr>
          <w:rFonts w:ascii="Times New Roman" w:hAnsi="Times New Roman"/>
          <w:iCs/>
          <w:color w:val="000000"/>
          <w:sz w:val="24"/>
          <w:szCs w:val="24"/>
        </w:rPr>
        <w:t>strain BF2, and VKK-BB-1</w:t>
      </w:r>
      <w:r>
        <w:rPr>
          <w:rFonts w:ascii="Times New Roman" w:hAnsi="Times New Roman"/>
          <w:i/>
          <w:color w:val="000000"/>
          <w:sz w:val="24"/>
          <w:szCs w:val="24"/>
        </w:rPr>
        <w:t xml:space="preserve">. </w:t>
      </w:r>
      <w:r>
        <w:rPr>
          <w:rFonts w:ascii="Times New Roman" w:hAnsi="Times New Roman"/>
          <w:color w:val="000000"/>
          <w:sz w:val="24"/>
          <w:szCs w:val="24"/>
        </w:rPr>
        <w:t xml:space="preserve">However, there is greater diversity in molecular identification of </w:t>
      </w:r>
      <w:r>
        <w:rPr>
          <w:rFonts w:ascii="Times New Roman" w:hAnsi="Times New Roman"/>
          <w:i/>
          <w:color w:val="000000"/>
          <w:sz w:val="24"/>
          <w:szCs w:val="24"/>
        </w:rPr>
        <w:t xml:space="preserve">Bacillus thuringiensis </w:t>
      </w:r>
      <w:r>
        <w:rPr>
          <w:rFonts w:ascii="Times New Roman" w:hAnsi="Times New Roman"/>
          <w:iCs/>
          <w:color w:val="000000"/>
          <w:sz w:val="24"/>
          <w:szCs w:val="24"/>
        </w:rPr>
        <w:t>strain UI-ANSAC-05 compared to</w:t>
      </w:r>
      <w:r>
        <w:rPr>
          <w:rFonts w:ascii="Times New Roman" w:hAnsi="Times New Roman"/>
          <w:i/>
          <w:color w:val="000000"/>
          <w:sz w:val="24"/>
          <w:szCs w:val="24"/>
        </w:rPr>
        <w:t xml:space="preserve"> Bacillus thuringiensis </w:t>
      </w:r>
      <w:r>
        <w:rPr>
          <w:rFonts w:ascii="Times New Roman" w:hAnsi="Times New Roman"/>
          <w:iCs/>
          <w:color w:val="000000"/>
          <w:sz w:val="24"/>
          <w:szCs w:val="24"/>
        </w:rPr>
        <w:t>strains KNU-07; SXFB8, NBIN-863</w:t>
      </w:r>
      <w:r>
        <w:rPr>
          <w:rFonts w:ascii="Times New Roman" w:hAnsi="Times New Roman"/>
          <w:i/>
          <w:color w:val="000000"/>
          <w:sz w:val="24"/>
          <w:szCs w:val="24"/>
        </w:rPr>
        <w:t>.</w:t>
      </w:r>
    </w:p>
    <w:p>
      <w:pPr>
        <w:spacing w:after="120" w:line="360" w:lineRule="auto"/>
        <w:rPr>
          <w:rFonts w:ascii="Times New Roman" w:hAnsi="Times New Roman"/>
          <w:b/>
          <w:color w:val="000000"/>
          <w:sz w:val="24"/>
          <w:szCs w:val="24"/>
          <w:u w:val="single"/>
        </w:rPr>
      </w:pPr>
    </w:p>
    <w:p>
      <w:pPr>
        <w:spacing w:after="120" w:line="360" w:lineRule="auto"/>
        <w:rPr>
          <w:rFonts w:ascii="Times New Roman" w:hAnsi="Times New Roman"/>
          <w:b/>
          <w:color w:val="000000"/>
          <w:sz w:val="24"/>
          <w:szCs w:val="24"/>
          <w:u w:val="single"/>
        </w:rPr>
      </w:pPr>
    </w:p>
    <w:p>
      <w:pPr>
        <w:spacing w:after="120" w:line="360" w:lineRule="auto"/>
        <w:rPr>
          <w:rFonts w:ascii="Times New Roman" w:hAnsi="Times New Roman"/>
          <w:b/>
          <w:color w:val="000000"/>
          <w:sz w:val="24"/>
          <w:szCs w:val="24"/>
          <w:u w:val="single"/>
        </w:rPr>
      </w:pPr>
    </w:p>
    <w:p>
      <w:pPr>
        <w:spacing w:after="120" w:line="360" w:lineRule="auto"/>
        <w:jc w:val="center"/>
        <w:rPr>
          <w:rFonts w:ascii="Times New Roman" w:hAnsi="Times New Roman"/>
          <w:b/>
          <w:color w:val="000000"/>
          <w:sz w:val="24"/>
          <w:szCs w:val="24"/>
          <w:u w:val="single"/>
        </w:rPr>
      </w:pPr>
      <w:r>
        <w:rPr>
          <w:rFonts w:ascii="Times New Roman" w:hAnsi="Times New Roman"/>
          <w:b/>
          <w:color w:val="000000"/>
          <w:sz w:val="24"/>
          <w:szCs w:val="24"/>
          <w:u w:val="single"/>
        </w:rP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3725545</wp:posOffset>
                </wp:positionV>
                <wp:extent cx="5909310" cy="1247140"/>
                <wp:effectExtent l="0" t="0" r="0" b="0"/>
                <wp:wrapNone/>
                <wp:docPr id="80" name="Rectangle 80"/>
                <wp:cNvGraphicFramePr/>
                <a:graphic xmlns:a="http://schemas.openxmlformats.org/drawingml/2006/main">
                  <a:graphicData uri="http://schemas.microsoft.com/office/word/2010/wordprocessingShape">
                    <wps:wsp>
                      <wps:cNvSpPr/>
                      <wps:spPr>
                        <a:xfrm>
                          <a:off x="0" y="0"/>
                          <a:ext cx="5909481" cy="1246909"/>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spacing w:after="120" w:line="360" w:lineRule="auto"/>
                              <w:jc w:val="both"/>
                              <w:rPr>
                                <w:rFonts w:ascii="Times New Roman" w:hAnsi="Times New Roman"/>
                                <w:color w:val="000000"/>
                                <w:sz w:val="24"/>
                                <w:szCs w:val="24"/>
                              </w:rPr>
                            </w:pPr>
                            <w:r>
                              <w:rPr>
                                <w:rFonts w:ascii="Times New Roman" w:hAnsi="Times New Roman" w:eastAsia="+mn-ea"/>
                                <w:b/>
                                <w:color w:val="000000"/>
                                <w:kern w:val="24"/>
                                <w:sz w:val="24"/>
                                <w:szCs w:val="24"/>
                              </w:rPr>
                              <w:t xml:space="preserve">Figure 4.6: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Bacillus thuringiensis </w:t>
                            </w:r>
                            <w:r>
                              <w:rPr>
                                <w:rFonts w:ascii="Times New Roman" w:hAnsi="Times New Roman" w:eastAsia="+mn-ea"/>
                                <w:color w:val="000000"/>
                                <w:kern w:val="24"/>
                                <w:sz w:val="24"/>
                                <w:szCs w:val="24"/>
                              </w:rPr>
                              <w:t xml:space="preserve">obtained from soil in Ibadan, Nigeria (in red) with others stains available in the GenBank database. </w:t>
                            </w:r>
                          </w:p>
                          <w:p>
                            <w:pPr>
                              <w:spacing w:after="120" w:line="360" w:lineRule="auto"/>
                              <w:jc w:val="both"/>
                              <w:rPr>
                                <w:rFonts w:ascii="Times New Roman" w:hAnsi="Times New Roman"/>
                                <w:b/>
                                <w:bCs/>
                                <w:color w:val="000000"/>
                                <w:sz w:val="24"/>
                                <w:szCs w:val="24"/>
                              </w:rPr>
                            </w:pPr>
                            <w:r>
                              <w:rPr>
                                <w:rFonts w:ascii="Times New Roman" w:hAnsi="Times New Roman"/>
                                <w:color w:val="000000"/>
                                <w:sz w:val="24"/>
                                <w:szCs w:val="24"/>
                              </w:rPr>
                              <w:t>Source: Author’s Field Work, 2023</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80" o:spid="_x0000_s1026" o:spt="1" style="position:absolute;left:0pt;margin-left:0pt;margin-top:293.35pt;height:98.2pt;width:465.3pt;z-index:251666432;v-text-anchor:middle;mso-width-relative:page;mso-height-relative:page;" fillcolor="#FFFFFF [3201]" filled="t" stroked="f" coordsize="21600,21600" o:gfxdata="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DkM//U2AAAAAgBAAAPAAAAAAAAAAEAIAAAACIAAABkcnMvZG93bnJldi54bWxQSwECFAAU&#10;AAAACACHTuJAu1qQtGMCAADcBAAADgAAAAAAAAABACAAAAAnAQAAZHJzL2Uyb0RvYy54bWxQSwUG&#10;AAAAAAYABgBZAQAA/AUAAAAA&#10;">
                <v:fill on="t" focussize="0,0"/>
                <v:stroke on="f" weight="1pt" miterlimit="8" joinstyle="miter"/>
                <v:imagedata o:title=""/>
                <o:lock v:ext="edit" aspectratio="f"/>
                <v:textbox>
                  <w:txbxContent>
                    <w:p>
                      <w:pPr>
                        <w:spacing w:after="120" w:line="360" w:lineRule="auto"/>
                        <w:jc w:val="both"/>
                        <w:rPr>
                          <w:rFonts w:ascii="Times New Roman" w:hAnsi="Times New Roman"/>
                          <w:color w:val="000000"/>
                          <w:sz w:val="24"/>
                          <w:szCs w:val="24"/>
                        </w:rPr>
                      </w:pPr>
                      <w:r>
                        <w:rPr>
                          <w:rFonts w:ascii="Times New Roman" w:hAnsi="Times New Roman" w:eastAsia="+mn-ea"/>
                          <w:b/>
                          <w:color w:val="000000"/>
                          <w:kern w:val="24"/>
                          <w:sz w:val="24"/>
                          <w:szCs w:val="24"/>
                        </w:rPr>
                        <w:t xml:space="preserve">Figure 4.6: </w:t>
                      </w:r>
                      <w:r>
                        <w:rPr>
                          <w:rFonts w:ascii="Times New Roman" w:hAnsi="Times New Roman" w:eastAsia="+mn-ea"/>
                          <w:color w:val="000000"/>
                          <w:kern w:val="24"/>
                          <w:sz w:val="24"/>
                          <w:szCs w:val="24"/>
                        </w:rPr>
                        <w:t xml:space="preserve">Phylogenetic tree illustrating evolutionary relationship of </w:t>
                      </w:r>
                      <w:r>
                        <w:rPr>
                          <w:rFonts w:ascii="Times New Roman" w:hAnsi="Times New Roman" w:eastAsia="+mn-ea"/>
                          <w:i/>
                          <w:color w:val="000000"/>
                          <w:kern w:val="24"/>
                          <w:sz w:val="24"/>
                          <w:szCs w:val="24"/>
                        </w:rPr>
                        <w:t xml:space="preserve">Bacillus thuringiensis </w:t>
                      </w:r>
                      <w:r>
                        <w:rPr>
                          <w:rFonts w:ascii="Times New Roman" w:hAnsi="Times New Roman" w:eastAsia="+mn-ea"/>
                          <w:color w:val="000000"/>
                          <w:kern w:val="24"/>
                          <w:sz w:val="24"/>
                          <w:szCs w:val="24"/>
                        </w:rPr>
                        <w:t xml:space="preserve">obtained from soil in Ibadan, Nigeria (in red) with others stains available in the GenBank database. </w:t>
                      </w:r>
                    </w:p>
                    <w:p>
                      <w:pPr>
                        <w:spacing w:after="120" w:line="360" w:lineRule="auto"/>
                        <w:jc w:val="both"/>
                        <w:rPr>
                          <w:rFonts w:ascii="Times New Roman" w:hAnsi="Times New Roman"/>
                          <w:b/>
                          <w:bCs/>
                          <w:color w:val="000000"/>
                          <w:sz w:val="24"/>
                          <w:szCs w:val="24"/>
                        </w:rPr>
                      </w:pPr>
                      <w:r>
                        <w:rPr>
                          <w:rFonts w:ascii="Times New Roman" w:hAnsi="Times New Roman"/>
                          <w:color w:val="000000"/>
                          <w:sz w:val="24"/>
                          <w:szCs w:val="24"/>
                        </w:rPr>
                        <w:t>Source: Author’s Field Work, 2023</w:t>
                      </w:r>
                    </w:p>
                    <w:p>
                      <w:pPr>
                        <w:jc w:val="center"/>
                      </w:pPr>
                    </w:p>
                  </w:txbxContent>
                </v:textbox>
              </v:rect>
            </w:pict>
          </mc:Fallback>
        </mc:AlternateContent>
      </w:r>
      <w:r>
        <w:rPr>
          <w:rFonts w:ascii="Times New Roman" w:hAnsi="Times New Roman"/>
          <w:b/>
          <w:color w:val="000000"/>
          <w:sz w:val="24"/>
          <w:szCs w:val="24"/>
          <w:u w:val="single"/>
        </w:rPr>
        <w:drawing>
          <wp:inline distT="0" distB="0" distL="0" distR="0">
            <wp:extent cx="5640705" cy="49161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640705" cy="4916170"/>
                    </a:xfrm>
                    <a:prstGeom prst="rect">
                      <a:avLst/>
                    </a:prstGeom>
                    <a:noFill/>
                    <a:ln>
                      <a:noFill/>
                    </a:ln>
                  </pic:spPr>
                </pic:pic>
              </a:graphicData>
            </a:graphic>
          </wp:inline>
        </w:drawing>
      </w:r>
    </w:p>
    <w:p>
      <w:pPr>
        <w:spacing w:after="120" w:line="360" w:lineRule="auto"/>
        <w:jc w:val="both"/>
        <w:rPr>
          <w:rFonts w:ascii="Times New Roman" w:hAnsi="Times New Roman"/>
          <w:b/>
          <w:bCs/>
          <w:color w:val="000000"/>
          <w:sz w:val="24"/>
          <w:szCs w:val="24"/>
        </w:rPr>
      </w:pPr>
    </w:p>
    <w:p>
      <w:pPr>
        <w:pStyle w:val="2"/>
      </w:pPr>
      <w:bookmarkStart w:id="59" w:name="_Toc132200972"/>
    </w:p>
    <w:p>
      <w:pPr>
        <w:spacing w:after="200" w:line="276" w:lineRule="auto"/>
        <w:rPr>
          <w:rFonts w:ascii="Times New Roman" w:hAnsi="Times New Roman" w:eastAsia="Times New Roman"/>
          <w:b/>
          <w:color w:val="000000"/>
          <w:sz w:val="24"/>
          <w:szCs w:val="24"/>
        </w:rPr>
      </w:pPr>
      <w:r>
        <w:rPr>
          <w:rFonts w:ascii="Times New Roman" w:hAnsi="Times New Roman"/>
          <w:sz w:val="24"/>
          <w:szCs w:val="24"/>
        </w:rPr>
        <w:br w:type="page"/>
      </w:r>
    </w:p>
    <w:p>
      <w:pPr>
        <w:pStyle w:val="2"/>
        <w:jc w:val="left"/>
      </w:pPr>
      <w:r>
        <w:t>4.5    Discussion of Findings</w:t>
      </w:r>
      <w:bookmarkEnd w:id="59"/>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impact of animal dung on soil pH and microbiota was investigated in this study. Soil pH influences nutrient availability. In strongly acidic soils, potassium, calcium and magnesium are depleted due to leaching which is evident when the values for T2, T3, T4 and T5 were compared</w:t>
      </w:r>
      <w:r>
        <w:rPr>
          <w:rFonts w:ascii="Times New Roman" w:hAnsi="Times New Roman"/>
          <w:color w:val="000000"/>
          <w:sz w:val="24"/>
          <w:szCs w:val="24"/>
          <w:vertAlign w:val="superscript"/>
        </w:rPr>
        <w:t>1</w:t>
      </w:r>
      <w:r>
        <w:rPr>
          <w:rFonts w:ascii="Times New Roman" w:hAnsi="Times New Roman"/>
          <w:color w:val="000000"/>
          <w:sz w:val="24"/>
          <w:szCs w:val="24"/>
        </w:rPr>
        <w:t>. Acids attack soil minerals and increase net loss of nutrients from the soil e.g. Mn, Cu, Zn. The findings of the current research align with a previous study that highlighted the potential occurrence of metal toxicity in acidic conditions. In such circumstances, the active microbial population and their involvement in the processes of N, P, and S immobilization/mineralization may be hindered</w:t>
      </w:r>
      <w:r>
        <w:rPr>
          <w:rFonts w:ascii="Times New Roman" w:hAnsi="Times New Roman"/>
          <w:color w:val="000000"/>
          <w:sz w:val="24"/>
          <w:szCs w:val="24"/>
          <w:vertAlign w:val="superscript"/>
        </w:rPr>
        <w:t>1</w:t>
      </w:r>
      <w:r>
        <w:rPr>
          <w:rFonts w:ascii="Times New Roman" w:hAnsi="Times New Roman"/>
          <w:color w:val="000000"/>
          <w:sz w:val="24"/>
          <w:szCs w:val="24"/>
        </w:rPr>
        <w:t>. Additionally, acidic conditions can lead to calcium deficiency, significantly impacting symbiotic N fixation. Moreover, acid soils with low organic matter content tend to have poor tilth</w:t>
      </w:r>
      <w:r>
        <w:rPr>
          <w:rFonts w:ascii="Times New Roman" w:hAnsi="Times New Roman"/>
          <w:color w:val="000000"/>
          <w:sz w:val="24"/>
          <w:szCs w:val="24"/>
          <w:vertAlign w:val="superscript"/>
        </w:rPr>
        <w:t>1</w:t>
      </w:r>
      <w:r>
        <w:rPr>
          <w:rFonts w:ascii="Times New Roman" w:hAnsi="Times New Roman"/>
          <w:color w:val="000000"/>
          <w:sz w:val="24"/>
          <w:szCs w:val="24"/>
        </w:rPr>
        <w:t>.  However, in comparing the litter soils with control (litter free soil), one would expect that these elements will be in higher quantity in litter free soil compared to the litter soils, however, the reverse is the case. This could be because the litter free soil is nutrient deficient because litters are not dumped on it</w:t>
      </w:r>
      <w:r>
        <w:rPr>
          <w:rFonts w:ascii="Times New Roman" w:hAnsi="Times New Roman"/>
          <w:color w:val="000000"/>
          <w:sz w:val="24"/>
          <w:szCs w:val="24"/>
          <w:vertAlign w:val="superscript"/>
        </w:rPr>
        <w:t>1</w:t>
      </w:r>
      <w:r>
        <w:rPr>
          <w:rFonts w:ascii="Times New Roman" w:hAnsi="Times New Roman"/>
          <w:color w:val="000000"/>
          <w:sz w:val="24"/>
          <w:szCs w:val="24"/>
        </w:rPr>
        <w:t>.</w:t>
      </w:r>
    </w:p>
    <w:p>
      <w:pPr>
        <w:pStyle w:val="37"/>
        <w:shd w:val="clear" w:color="auto" w:fill="FFFFFF"/>
        <w:spacing w:before="0" w:beforeAutospacing="0" w:after="120" w:afterAutospacing="0" w:line="480" w:lineRule="auto"/>
        <w:jc w:val="both"/>
        <w:rPr>
          <w:color w:val="000000"/>
        </w:rPr>
      </w:pPr>
      <w:r>
        <w:rPr>
          <w:color w:val="000000"/>
        </w:rPr>
        <w:t>The major causes for soils to become acidic are organic matter decomposition, rainfall and leaching, acidic parent material, nitrification of ammonium, and low buffer capacity from little clay and organic matter</w:t>
      </w:r>
      <w:r>
        <w:rPr>
          <w:color w:val="000000"/>
          <w:vertAlign w:val="superscript"/>
        </w:rPr>
        <w:t>2</w:t>
      </w:r>
      <w:r>
        <w:rPr>
          <w:color w:val="000000"/>
        </w:rPr>
        <w:t>. The contribution of decaying organic matter to acid soil development is usually very small compared to rainfall, and it would be only the cumulative effects of several years that could ever be measured in a field</w:t>
      </w:r>
      <w:r>
        <w:rPr>
          <w:color w:val="000000"/>
          <w:vertAlign w:val="superscript"/>
        </w:rPr>
        <w:t>3</w:t>
      </w:r>
      <w:r>
        <w:rPr>
          <w:color w:val="000000"/>
        </w:rPr>
        <w:t>. A soil is considered acidic when there is an richness of acidic cations, like hydrogen (H+ ) and aluminum (Al3+ ) present compared to the alkaline cations, like calcium (Ca2+), magnesium (Mg2+), potassium (K+ ) and sodium (Na+ )</w:t>
      </w:r>
      <w:r>
        <w:rPr>
          <w:color w:val="000000"/>
          <w:vertAlign w:val="superscript"/>
        </w:rPr>
        <w:t>4</w:t>
      </w:r>
      <w:r>
        <w:rPr>
          <w:color w:val="000000"/>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result on figure 4.1 shows that the pH value for the T1 differ significantly from the values recorded for poultry, pig cattle and goat. One of the factors that contribute to the acidification of the soil is improper disposal of livestock litters that has taken place over time. When hydrogen ions replace basic elements held by soil colloids like calcium, magnesium, sodium, and potassium, the soils become acidic. In some cases, these waste's litter and manure components are used as an organic fertilizer and has a high nutritional value, recycling nutrients like nitrogen, phosphorus, and potassium. Litters and manure especially from poultry due to the high concentrations of protein and amino acids, contains significant concentrations of organic nitrogen; about 60–80% of the nitrogen in fresh manure, and is usually in the form of organic compounds like urea and protein. Within a year, 40–90 percent of this organic nitrogen is transformed into ammonia, depending on the conditions of the environment</w:t>
      </w:r>
      <w:r>
        <w:rPr>
          <w:rFonts w:ascii="Times New Roman" w:hAnsi="Times New Roman"/>
          <w:color w:val="000000"/>
          <w:sz w:val="24"/>
          <w:szCs w:val="24"/>
          <w:vertAlign w:val="superscript"/>
        </w:rPr>
        <w:t>5</w:t>
      </w:r>
      <w:r>
        <w:rPr>
          <w:rFonts w:ascii="Times New Roman" w:hAnsi="Times New Roman"/>
          <w:color w:val="000000"/>
          <w:sz w:val="24"/>
          <w:szCs w:val="24"/>
        </w:rPr>
        <w:t>. Ammonia can be found as a gas (NH</w:t>
      </w:r>
      <w:r>
        <w:rPr>
          <w:rFonts w:ascii="Times New Roman" w:hAnsi="Times New Roman"/>
          <w:color w:val="000000"/>
          <w:sz w:val="24"/>
          <w:szCs w:val="24"/>
          <w:vertAlign w:val="subscript"/>
        </w:rPr>
        <w:t>3</w:t>
      </w:r>
      <w:r>
        <w:rPr>
          <w:rFonts w:ascii="Times New Roman" w:hAnsi="Times New Roman"/>
          <w:color w:val="000000"/>
          <w:sz w:val="24"/>
          <w:szCs w:val="24"/>
        </w:rPr>
        <w:t>) or as an ionized form (NH</w:t>
      </w:r>
      <w:r>
        <w:rPr>
          <w:rFonts w:ascii="Times New Roman" w:hAnsi="Times New Roman"/>
          <w:color w:val="000000"/>
          <w:sz w:val="24"/>
          <w:szCs w:val="24"/>
          <w:vertAlign w:val="subscript"/>
        </w:rPr>
        <w:t>4</w:t>
      </w:r>
      <w:r>
        <w:rPr>
          <w:rFonts w:ascii="Times New Roman" w:hAnsi="Times New Roman"/>
          <w:color w:val="000000"/>
          <w:sz w:val="24"/>
          <w:szCs w:val="24"/>
        </w:rPr>
        <w:t>) that is water-soluble. While NH</w:t>
      </w:r>
      <w:r>
        <w:rPr>
          <w:rFonts w:ascii="Times New Roman" w:hAnsi="Times New Roman"/>
          <w:color w:val="000000"/>
          <w:sz w:val="24"/>
          <w:szCs w:val="24"/>
          <w:vertAlign w:val="subscript"/>
        </w:rPr>
        <w:t>4</w:t>
      </w:r>
      <w:r>
        <w:rPr>
          <w:rFonts w:ascii="Times New Roman" w:hAnsi="Times New Roman"/>
          <w:color w:val="000000"/>
          <w:sz w:val="24"/>
          <w:szCs w:val="24"/>
        </w:rPr>
        <w:t xml:space="preserve"> gas can be transformed into nitrate by microorganisms (a process known as nitrification), NH</w:t>
      </w:r>
      <w:r>
        <w:rPr>
          <w:rFonts w:ascii="Times New Roman" w:hAnsi="Times New Roman"/>
          <w:color w:val="000000"/>
          <w:sz w:val="24"/>
          <w:szCs w:val="24"/>
          <w:vertAlign w:val="subscript"/>
        </w:rPr>
        <w:t>3</w:t>
      </w:r>
      <w:r>
        <w:rPr>
          <w:rFonts w:ascii="Times New Roman" w:hAnsi="Times New Roman"/>
          <w:color w:val="000000"/>
          <w:sz w:val="24"/>
          <w:szCs w:val="24"/>
        </w:rPr>
        <w:t xml:space="preserve"> gas can be released into the atmosphere.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concentration of endogenous ammonia and nitrogen significantly increases during the anaerobic digestion of litters and manure. Also, the presence of ammonium ions contributes to the acidic pH</w:t>
      </w:r>
      <w:r>
        <w:rPr>
          <w:rFonts w:ascii="Times New Roman" w:hAnsi="Times New Roman"/>
          <w:color w:val="000000"/>
          <w:sz w:val="24"/>
          <w:szCs w:val="24"/>
          <w:vertAlign w:val="superscript"/>
        </w:rPr>
        <w:t>6</w:t>
      </w:r>
      <w:r>
        <w:rPr>
          <w:rFonts w:ascii="Times New Roman" w:hAnsi="Times New Roman"/>
          <w:color w:val="000000"/>
          <w:sz w:val="24"/>
          <w:szCs w:val="24"/>
        </w:rPr>
        <w:t>. The results of present study were consistent with a study which reported that a decrease in soil pH occurs when acid-forming nitrogen fertilizers are used continuously</w:t>
      </w:r>
      <w:r>
        <w:rPr>
          <w:rFonts w:ascii="Times New Roman" w:hAnsi="Times New Roman"/>
          <w:color w:val="000000"/>
          <w:sz w:val="24"/>
          <w:szCs w:val="24"/>
          <w:vertAlign w:val="superscript"/>
        </w:rPr>
        <w:t>6</w:t>
      </w:r>
      <w:r>
        <w:rPr>
          <w:rFonts w:ascii="Times New Roman" w:hAnsi="Times New Roman"/>
          <w:color w:val="000000"/>
          <w:sz w:val="24"/>
          <w:szCs w:val="24"/>
        </w:rPr>
        <w:t xml:space="preserve">. </w:t>
      </w:r>
      <w:r>
        <w:rPr>
          <w:rFonts w:ascii="Times New Roman" w:hAnsi="Times New Roman"/>
          <w:color w:val="000000"/>
          <w:sz w:val="24"/>
          <w:szCs w:val="24"/>
          <w:vertAlign w:val="superscript"/>
        </w:rPr>
        <w:t xml:space="preserve"> </w:t>
      </w:r>
      <w:r>
        <w:rPr>
          <w:rFonts w:ascii="Times New Roman" w:hAnsi="Times New Roman"/>
          <w:color w:val="000000"/>
          <w:sz w:val="24"/>
          <w:szCs w:val="24"/>
        </w:rPr>
        <w:t xml:space="preserve"> Another study mentioned that increase in the acidity of the soils resulted from organic fertilizer application, and majority of the territory had a pH below 4</w:t>
      </w:r>
      <w:r>
        <w:rPr>
          <w:rFonts w:ascii="Times New Roman" w:hAnsi="Times New Roman"/>
          <w:color w:val="000000"/>
          <w:sz w:val="24"/>
          <w:szCs w:val="24"/>
          <w:vertAlign w:val="superscript"/>
        </w:rPr>
        <w:t>7</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Due to the essential role of soil microorganisms in nutrient cycling, higher microbial biomass and diversity positively impact soil quality. These microorganisms facilitate the transformation of organic nitrogen (N) and phosphorus (P) found in manures into plant-accessible forms and expedite the decomposition of organic matter</w:t>
      </w:r>
      <w:r>
        <w:rPr>
          <w:rFonts w:ascii="Times New Roman" w:hAnsi="Times New Roman"/>
          <w:color w:val="000000"/>
          <w:sz w:val="24"/>
          <w:szCs w:val="24"/>
          <w:vertAlign w:val="superscript"/>
        </w:rPr>
        <w:t>8</w:t>
      </w:r>
      <w:r>
        <w:rPr>
          <w:rFonts w:ascii="Times New Roman" w:hAnsi="Times New Roman"/>
          <w:color w:val="000000"/>
          <w:sz w:val="24"/>
          <w:szCs w:val="24"/>
        </w:rPr>
        <w:t>. Soil amendments increase microbial activity, competition, and biomass overall by providing energy to microorganisms. This includes antagonistic microorganisms that ward off pathogens</w:t>
      </w:r>
      <w:r>
        <w:rPr>
          <w:rFonts w:ascii="Times New Roman" w:hAnsi="Times New Roman"/>
          <w:color w:val="000000"/>
          <w:sz w:val="24"/>
          <w:szCs w:val="24"/>
          <w:vertAlign w:val="superscript"/>
        </w:rPr>
        <w:t>9</w:t>
      </w:r>
      <w:r>
        <w:rPr>
          <w:rFonts w:ascii="Times New Roman" w:hAnsi="Times New Roman"/>
          <w:color w:val="000000"/>
          <w:sz w:val="24"/>
          <w:szCs w:val="24"/>
        </w:rPr>
        <w:t xml:space="preserve">. However, when the pH tends to stay outside neutral range, the microbial population and diversity is affected.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result on Table 4.2 shows that the T1 value for HPC, TFC and CBC differ significantly from other treatments, T2 value for PSBC differ significantly from other treatment while T3 value for NFBC and Actinobacteria differ significantly from other treatments. The litter soil type influenced the type of microbes that thrived in them. As a previous study suggested, environmental parameters, such as soil pH and water content, influence the microbial community structure and composition</w:t>
      </w:r>
      <w:r>
        <w:rPr>
          <w:rFonts w:ascii="Times New Roman" w:hAnsi="Times New Roman"/>
          <w:color w:val="000000"/>
          <w:sz w:val="24"/>
          <w:szCs w:val="24"/>
          <w:vertAlign w:val="superscript"/>
        </w:rPr>
        <w:t>10,11</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Pig and poultry litter had the highest microbial population of nitrogen fixing bacteria and actinobacteria, poultry litter had the highest microbial population of phosphate solubilizing bacteria while the control had the highest microbial population of heterotrophic plate count bacteria, total fungal count and Cellulolytic bacteria. These results suggested that N-cycle-related microorganisms were activated by the addition of pig and poultry litter because of their high protein content, possibly through the degradation of organic matters. The result for TFC showed that the value obtained for control was highest compared to other treatment. However, this is in contrast to the fact that fungi thrives in pH tending to acidic level</w:t>
      </w:r>
      <w:r>
        <w:rPr>
          <w:rFonts w:ascii="Times New Roman" w:hAnsi="Times New Roman"/>
          <w:color w:val="000000"/>
          <w:sz w:val="24"/>
          <w:szCs w:val="24"/>
          <w:vertAlign w:val="superscript"/>
        </w:rPr>
        <w:t>12</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highest occurrence of PSB found in the control could be due to the pH level of the soil which tends towards neutral. However, in comparing the litter soils, litter soils from poultry and pig unit had the highest occurrence level of PSB. This could be due to the high level of phosphorus found in poultry and pig litter compared to other livestock. </w:t>
      </w:r>
      <w:r>
        <w:rPr>
          <w:rStyle w:val="10"/>
          <w:rFonts w:ascii="Times New Roman" w:hAnsi="Times New Roman"/>
          <w:color w:val="000000"/>
          <w:sz w:val="24"/>
          <w:szCs w:val="24"/>
        </w:rPr>
        <w:t xml:space="preserve">Aspergillus has been reported to dominate </w:t>
      </w:r>
      <w:r>
        <w:rPr>
          <w:rFonts w:ascii="Times New Roman" w:hAnsi="Times New Roman"/>
          <w:color w:val="000000"/>
          <w:sz w:val="24"/>
          <w:szCs w:val="24"/>
        </w:rPr>
        <w:t>in poultry and pig manure composts</w:t>
      </w:r>
      <w:r>
        <w:rPr>
          <w:rFonts w:ascii="Times New Roman" w:hAnsi="Times New Roman"/>
          <w:color w:val="000000"/>
          <w:sz w:val="24"/>
          <w:szCs w:val="24"/>
          <w:vertAlign w:val="superscript"/>
        </w:rPr>
        <w:t>12,13,14</w:t>
      </w:r>
      <w:r>
        <w:rPr>
          <w:rFonts w:ascii="Times New Roman" w:hAnsi="Times New Roman"/>
          <w:color w:val="000000"/>
          <w:sz w:val="24"/>
          <w:szCs w:val="24"/>
        </w:rPr>
        <w: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highest occurrence of CB was found in the litter soils from poultry and cow uint. This could be due to the high level of cellulolytic bacteri</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a found in the intestine of chicken and rumen of cattle which is passed out through the faeces; the CB becomes predominant on the soil where the litters are dumped</w:t>
      </w:r>
      <w:r>
        <w:rPr>
          <w:rFonts w:ascii="Times New Roman" w:hAnsi="Times New Roman"/>
          <w:color w:val="000000"/>
          <w:sz w:val="24"/>
          <w:szCs w:val="24"/>
          <w:vertAlign w:val="superscript"/>
        </w:rPr>
        <w:t>15,16</w:t>
      </w:r>
      <w:r>
        <w:rPr>
          <w:rFonts w:ascii="Times New Roman" w:hAnsi="Times New Roman"/>
          <w:color w:val="000000"/>
          <w:sz w:val="24"/>
          <w:szCs w:val="24"/>
        </w:rPr>
        <w:t xml:space="preserve">. </w:t>
      </w:r>
      <w:r>
        <w:rPr>
          <w:rStyle w:val="10"/>
          <w:rFonts w:ascii="Times New Roman" w:hAnsi="Times New Roman"/>
          <w:color w:val="000000"/>
          <w:sz w:val="24"/>
          <w:szCs w:val="24"/>
        </w:rPr>
        <w:t xml:space="preserve">Aspergillus and Fusarium has been reported to be present </w:t>
      </w:r>
      <w:r>
        <w:rPr>
          <w:rFonts w:ascii="Times New Roman" w:hAnsi="Times New Roman"/>
          <w:color w:val="000000"/>
          <w:sz w:val="24"/>
          <w:szCs w:val="24"/>
        </w:rPr>
        <w:t>in poultry and cow manure composts</w:t>
      </w:r>
      <w:r>
        <w:rPr>
          <w:rFonts w:ascii="Times New Roman" w:hAnsi="Times New Roman"/>
          <w:color w:val="000000"/>
          <w:sz w:val="24"/>
          <w:szCs w:val="24"/>
          <w:vertAlign w:val="superscript"/>
        </w:rPr>
        <w:t>17,18</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highest occurrence of NFB was found in the litter soils from control, poultry and pig uint. This could be due to the reason that, N-cycle-related microorganisms were activated by the addition of pig and poultry litter because of their high protein content, possibly through the degradation of organic matters</w:t>
      </w:r>
      <w:r>
        <w:rPr>
          <w:rFonts w:ascii="Times New Roman" w:hAnsi="Times New Roman"/>
          <w:color w:val="000000"/>
          <w:sz w:val="24"/>
          <w:szCs w:val="24"/>
          <w:vertAlign w:val="superscript"/>
        </w:rPr>
        <w:t>15,16</w:t>
      </w:r>
      <w:r>
        <w:rPr>
          <w:rFonts w:ascii="Times New Roman" w:hAnsi="Times New Roman"/>
          <w:color w:val="000000"/>
          <w:sz w:val="24"/>
          <w:szCs w:val="24"/>
        </w:rPr>
        <w:t xml:space="preserve">. </w:t>
      </w:r>
      <w:r>
        <w:rPr>
          <w:rStyle w:val="10"/>
          <w:rFonts w:ascii="Times New Roman" w:hAnsi="Times New Roman"/>
          <w:color w:val="000000"/>
          <w:sz w:val="24"/>
          <w:szCs w:val="24"/>
        </w:rPr>
        <w:t xml:space="preserve">Aspergillus and Fusarium has been reported to be present </w:t>
      </w:r>
      <w:r>
        <w:rPr>
          <w:rFonts w:ascii="Times New Roman" w:hAnsi="Times New Roman"/>
          <w:color w:val="000000"/>
          <w:sz w:val="24"/>
          <w:szCs w:val="24"/>
        </w:rPr>
        <w:t>in poultry and cow manure composts</w:t>
      </w:r>
      <w:r>
        <w:rPr>
          <w:rFonts w:ascii="Times New Roman" w:hAnsi="Times New Roman"/>
          <w:color w:val="000000"/>
          <w:sz w:val="24"/>
          <w:szCs w:val="24"/>
          <w:vertAlign w:val="superscript"/>
        </w:rPr>
        <w:t>17</w:t>
      </w:r>
      <w:r>
        <w:rPr>
          <w:rFonts w:ascii="Times New Roman" w:hAnsi="Times New Roman"/>
          <w:color w:val="000000"/>
          <w:sz w:val="24"/>
          <w:szCs w:val="24"/>
        </w:rPr>
        <w:t xml:space="preserve">. </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The highest occurrence of actinomycetes was found in the litter soil from pig uint. </w:t>
      </w:r>
      <w:r>
        <w:rPr>
          <w:rFonts w:ascii="Times New Roman" w:hAnsi="Times New Roman"/>
          <w:color w:val="000000"/>
          <w:sz w:val="24"/>
          <w:szCs w:val="24"/>
          <w:shd w:val="clear" w:color="auto" w:fill="FFFFFF"/>
        </w:rPr>
        <w:t>Microorganisms such as bacteria, fungi and actinomycetes play pivotal roles in the degradation of pig faeces and composting process</w:t>
      </w:r>
      <w:r>
        <w:rPr>
          <w:rFonts w:ascii="Times New Roman" w:hAnsi="Times New Roman"/>
          <w:color w:val="000000"/>
          <w:sz w:val="24"/>
          <w:szCs w:val="24"/>
          <w:vertAlign w:val="superscript"/>
        </w:rPr>
        <w:t>19</w:t>
      </w:r>
      <w:r>
        <w:rPr>
          <w:rFonts w:ascii="Times New Roman" w:hAnsi="Times New Roman"/>
          <w:color w:val="000000"/>
          <w:sz w:val="24"/>
          <w:szCs w:val="24"/>
          <w:shd w:val="clear" w:color="auto" w:fill="FFFFFF"/>
        </w:rPr>
        <w:t>.</w:t>
      </w:r>
      <w:r>
        <w:rPr>
          <w:rFonts w:ascii="Times New Roman" w:hAnsi="Times New Roman"/>
          <w:color w:val="000000"/>
          <w:sz w:val="24"/>
          <w:szCs w:val="24"/>
        </w:rPr>
        <w:t xml:space="preserve"> As saprophytic microbes, actinomycetes are ubiquitous in soils where they contribute to the breakdown and recycling of naturally occurring organic compounds</w:t>
      </w:r>
      <w:r>
        <w:rPr>
          <w:rFonts w:ascii="Times New Roman" w:hAnsi="Times New Roman"/>
          <w:color w:val="000000"/>
          <w:sz w:val="24"/>
          <w:szCs w:val="24"/>
          <w:vertAlign w:val="superscript"/>
        </w:rPr>
        <w:t>20</w:t>
      </w:r>
      <w:r>
        <w:rPr>
          <w:rFonts w:ascii="Times New Roman" w:hAnsi="Times New Roman"/>
          <w:color w:val="000000"/>
          <w:sz w:val="24"/>
          <w:szCs w:val="24"/>
        </w:rPr>
        <w:t>. These organisms are also common in self-heated substrates, such as manure, compost, and fodder, where they play an important role in the decomposition of bulk organic materials</w:t>
      </w:r>
      <w:r>
        <w:rPr>
          <w:rFonts w:ascii="Times New Roman" w:hAnsi="Times New Roman"/>
          <w:color w:val="000000"/>
          <w:sz w:val="24"/>
          <w:szCs w:val="24"/>
          <w:vertAlign w:val="superscript"/>
        </w:rPr>
        <w:t>21,22,23</w:t>
      </w:r>
      <w:r>
        <w:rPr>
          <w:rFonts w:ascii="Times New Roman" w:hAnsi="Times New Roman"/>
          <w:color w:val="000000"/>
          <w:sz w:val="24"/>
          <w:szCs w:val="24"/>
        </w:rPr>
        <w:t xml:space="preserve">. </w:t>
      </w:r>
    </w:p>
    <w:p>
      <w:pPr>
        <w:pStyle w:val="14"/>
        <w:shd w:val="clear" w:color="auto" w:fill="FFFFFF"/>
        <w:spacing w:before="0" w:beforeAutospacing="0" w:after="120" w:afterAutospacing="0" w:line="480" w:lineRule="auto"/>
        <w:jc w:val="both"/>
        <w:rPr>
          <w:b/>
          <w:color w:val="000000"/>
        </w:rPr>
      </w:pPr>
    </w:p>
    <w:p>
      <w:pPr>
        <w:spacing w:after="200" w:line="276" w:lineRule="auto"/>
        <w:rPr>
          <w:rFonts w:ascii="Times New Roman" w:hAnsi="Times New Roman"/>
          <w:b/>
          <w:sz w:val="24"/>
          <w:szCs w:val="24"/>
        </w:rPr>
      </w:pPr>
      <w:r>
        <w:rPr>
          <w:rFonts w:ascii="Times New Roman" w:hAnsi="Times New Roman"/>
          <w:b/>
          <w:sz w:val="24"/>
          <w:szCs w:val="24"/>
        </w:rPr>
        <w:br w:type="page"/>
      </w:r>
    </w:p>
    <w:p>
      <w:pPr>
        <w:spacing w:after="240" w:line="360" w:lineRule="auto"/>
        <w:ind w:left="3600" w:firstLine="720"/>
        <w:rPr>
          <w:rFonts w:ascii="Times New Roman" w:hAnsi="Times New Roman"/>
          <w:b/>
          <w:color w:val="000000"/>
          <w:sz w:val="24"/>
          <w:szCs w:val="24"/>
        </w:rPr>
      </w:pPr>
      <w:r>
        <w:rPr>
          <w:rFonts w:ascii="Times New Roman" w:hAnsi="Times New Roman"/>
          <w:b/>
          <w:sz w:val="24"/>
          <w:szCs w:val="24"/>
        </w:rPr>
        <w:t>Endnotes</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K. Jackson &amp; T. T. Meetei, </w:t>
      </w:r>
      <w:r>
        <w:rPr>
          <w:rFonts w:ascii="Times New Roman" w:hAnsi="Times New Roman"/>
          <w:i/>
          <w:sz w:val="24"/>
          <w:szCs w:val="24"/>
        </w:rPr>
        <w:t xml:space="preserve">Influence of Soil </w:t>
      </w:r>
      <w:r>
        <w:rPr>
          <w:rFonts w:ascii="Times New Roman" w:hAnsi="Times New Roman"/>
          <w:i/>
          <w:sz w:val="24"/>
          <w:szCs w:val="24"/>
          <w:vertAlign w:val="subscript"/>
        </w:rPr>
        <w:t>P</w:t>
      </w:r>
      <w:r>
        <w:rPr>
          <w:rFonts w:ascii="Times New Roman" w:hAnsi="Times New Roman"/>
          <w:i/>
          <w:sz w:val="24"/>
          <w:szCs w:val="24"/>
        </w:rPr>
        <w:t>H on Nutrient Availability: A Review,</w:t>
      </w:r>
      <w:r>
        <w:rPr>
          <w:rFonts w:ascii="Times New Roman" w:hAnsi="Times New Roman"/>
          <w:sz w:val="24"/>
          <w:szCs w:val="24"/>
        </w:rPr>
        <w:t xml:space="preserve"> </w:t>
      </w:r>
      <w:r>
        <w:rPr>
          <w:rFonts w:ascii="Times New Roman" w:hAnsi="Times New Roman"/>
          <w:sz w:val="24"/>
          <w:szCs w:val="24"/>
        </w:rPr>
        <w:tab/>
      </w:r>
      <w:r>
        <w:rPr>
          <w:rFonts w:ascii="Times New Roman" w:hAnsi="Times New Roman"/>
          <w:b/>
          <w:bCs/>
          <w:sz w:val="24"/>
          <w:szCs w:val="24"/>
        </w:rPr>
        <w:t>Journal of Emerging Technologies and Innovative Research,</w:t>
      </w:r>
      <w:r>
        <w:rPr>
          <w:rFonts w:ascii="Times New Roman" w:hAnsi="Times New Roman"/>
          <w:bCs/>
          <w:sz w:val="24"/>
          <w:szCs w:val="24"/>
        </w:rPr>
        <w:t xml:space="preserve"> 5(12), 2018, 707-713</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Z. Fischer &amp; L. Dubis, </w:t>
      </w:r>
      <w:r>
        <w:rPr>
          <w:rFonts w:ascii="Times New Roman" w:hAnsi="Times New Roman"/>
          <w:i/>
          <w:sz w:val="24"/>
          <w:szCs w:val="24"/>
        </w:rPr>
        <w:t xml:space="preserve">Soil Respiration in the Profiles of Forest Soils in Inland </w:t>
      </w:r>
      <w:r>
        <w:rPr>
          <w:rFonts w:ascii="Times New Roman" w:hAnsi="Times New Roman"/>
          <w:i/>
          <w:sz w:val="24"/>
          <w:szCs w:val="24"/>
        </w:rPr>
        <w:tab/>
      </w:r>
      <w:r>
        <w:rPr>
          <w:rFonts w:ascii="Times New Roman" w:hAnsi="Times New Roman"/>
          <w:i/>
          <w:sz w:val="24"/>
          <w:szCs w:val="24"/>
        </w:rPr>
        <w:t>Dunes</w:t>
      </w:r>
      <w:r>
        <w:rPr>
          <w:rFonts w:ascii="Times New Roman" w:hAnsi="Times New Roman"/>
          <w:sz w:val="24"/>
          <w:szCs w:val="24"/>
        </w:rPr>
        <w:t>, </w:t>
      </w:r>
      <w:r>
        <w:rPr>
          <w:rFonts w:ascii="Times New Roman" w:hAnsi="Times New Roman"/>
          <w:b/>
          <w:iCs/>
          <w:sz w:val="24"/>
          <w:szCs w:val="24"/>
        </w:rPr>
        <w:t>Open Journal of Soil Science</w:t>
      </w:r>
      <w:r>
        <w:rPr>
          <w:rFonts w:ascii="Times New Roman" w:hAnsi="Times New Roman"/>
          <w:sz w:val="24"/>
          <w:szCs w:val="24"/>
        </w:rPr>
        <w:t>, </w:t>
      </w:r>
      <w:r>
        <w:rPr>
          <w:rFonts w:ascii="Times New Roman" w:hAnsi="Times New Roman"/>
          <w:bCs/>
          <w:sz w:val="24"/>
          <w:szCs w:val="24"/>
        </w:rPr>
        <w:t>9</w:t>
      </w:r>
      <w:r>
        <w:rPr>
          <w:rFonts w:ascii="Times New Roman" w:hAnsi="Times New Roman"/>
          <w:sz w:val="24"/>
          <w:szCs w:val="24"/>
        </w:rPr>
        <w:t>, 2019, 75-90</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H. Zhang, </w:t>
      </w:r>
      <w:r>
        <w:rPr>
          <w:rFonts w:ascii="Times New Roman" w:hAnsi="Times New Roman"/>
          <w:i/>
          <w:sz w:val="24"/>
          <w:szCs w:val="24"/>
        </w:rPr>
        <w:t>Cause and Effects of Soil Acidity</w:t>
      </w:r>
      <w:r>
        <w:rPr>
          <w:rFonts w:ascii="Times New Roman" w:hAnsi="Times New Roman"/>
          <w:sz w:val="24"/>
          <w:szCs w:val="24"/>
        </w:rPr>
        <w:t xml:space="preserve">, Oklahoma Cooperative Extension Service, </w:t>
      </w:r>
      <w:r>
        <w:rPr>
          <w:rFonts w:ascii="Times New Roman" w:hAnsi="Times New Roman"/>
          <w:sz w:val="24"/>
          <w:szCs w:val="24"/>
        </w:rPr>
        <w:tab/>
      </w:r>
      <w:r>
        <w:rPr>
          <w:rFonts w:ascii="Times New Roman" w:hAnsi="Times New Roman"/>
          <w:sz w:val="24"/>
          <w:szCs w:val="24"/>
        </w:rPr>
        <w:t>PSS 2239, 2013 1-2</w:t>
      </w:r>
      <w:r>
        <w:rPr>
          <w:rFonts w:ascii="Times New Roman" w:hAnsi="Times New Roman"/>
          <w:sz w:val="24"/>
          <w:szCs w:val="24"/>
        </w:rPr>
        <w:tab/>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L. Preshow, </w:t>
      </w:r>
      <w:r>
        <w:rPr>
          <w:rFonts w:ascii="Times New Roman" w:hAnsi="Times New Roman"/>
          <w:i/>
          <w:sz w:val="24"/>
          <w:szCs w:val="24"/>
        </w:rPr>
        <w:t>Soil Acidity Evaluation and Management.,</w:t>
      </w:r>
      <w:r>
        <w:rPr>
          <w:rFonts w:ascii="Times New Roman" w:hAnsi="Times New Roman"/>
          <w:sz w:val="24"/>
          <w:szCs w:val="24"/>
        </w:rPr>
        <w:t xml:space="preserve">Ph.D. thesis, Moi University, </w:t>
      </w:r>
      <w:r>
        <w:rPr>
          <w:rFonts w:ascii="Times New Roman" w:hAnsi="Times New Roman"/>
          <w:sz w:val="24"/>
          <w:szCs w:val="24"/>
        </w:rPr>
        <w:tab/>
      </w:r>
      <w:r>
        <w:rPr>
          <w:rFonts w:ascii="Times New Roman" w:hAnsi="Times New Roman"/>
          <w:sz w:val="24"/>
          <w:szCs w:val="24"/>
        </w:rPr>
        <w:t>Eldoret, Kenya. 2014.</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N. K. Fageria, </w:t>
      </w:r>
      <w:r>
        <w:rPr>
          <w:rFonts w:ascii="Times New Roman" w:hAnsi="Times New Roman"/>
          <w:i/>
          <w:sz w:val="24"/>
          <w:szCs w:val="24"/>
        </w:rPr>
        <w:t>Role of Soil Organic Matter in Maintaining Sustainability of Cropping</w:t>
      </w:r>
      <w:r>
        <w:rPr>
          <w:rFonts w:ascii="Times New Roman" w:hAnsi="Times New Roman"/>
          <w:i/>
          <w:sz w:val="24"/>
          <w:szCs w:val="24"/>
        </w:rPr>
        <w:tab/>
      </w:r>
      <w:r>
        <w:rPr>
          <w:rFonts w:ascii="Times New Roman" w:hAnsi="Times New Roman"/>
          <w:i/>
          <w:sz w:val="24"/>
          <w:szCs w:val="24"/>
        </w:rPr>
        <w:t xml:space="preserve">Systems, </w:t>
      </w:r>
      <w:r>
        <w:rPr>
          <w:rFonts w:ascii="Times New Roman" w:hAnsi="Times New Roman"/>
          <w:b/>
          <w:sz w:val="24"/>
          <w:szCs w:val="24"/>
        </w:rPr>
        <w:t>Communications in Soil Science and Plant Analysis</w:t>
      </w:r>
      <w:r>
        <w:rPr>
          <w:rFonts w:ascii="Times New Roman" w:hAnsi="Times New Roman"/>
          <w:sz w:val="24"/>
          <w:szCs w:val="24"/>
        </w:rPr>
        <w:t>, 43(16), 2012, 2063-2113</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Y. Liu, X. Gong, M. Li, H. Si, Q. Zhou, X. Liu, Y. Fan, X. Zhang, J. Han, S. Gu &amp; J. Dong, </w:t>
      </w:r>
      <w:r>
        <w:rPr>
          <w:rFonts w:ascii="Times New Roman" w:hAnsi="Times New Roman"/>
          <w:sz w:val="24"/>
          <w:szCs w:val="24"/>
        </w:rPr>
        <w:tab/>
      </w:r>
      <w:r>
        <w:rPr>
          <w:rFonts w:ascii="Times New Roman" w:hAnsi="Times New Roman"/>
          <w:i/>
          <w:sz w:val="24"/>
          <w:szCs w:val="24"/>
        </w:rPr>
        <w:t xml:space="preserve">Effect of Osmotic Stress on  the Growth, Development and Pathogenicity of Setosphaeria </w:t>
      </w:r>
      <w:r>
        <w:rPr>
          <w:rFonts w:ascii="Times New Roman" w:hAnsi="Times New Roman"/>
          <w:i/>
          <w:sz w:val="24"/>
          <w:szCs w:val="24"/>
        </w:rPr>
        <w:tab/>
      </w:r>
      <w:r>
        <w:rPr>
          <w:rFonts w:ascii="Times New Roman" w:hAnsi="Times New Roman"/>
          <w:i/>
          <w:sz w:val="24"/>
          <w:szCs w:val="24"/>
        </w:rPr>
        <w:t xml:space="preserve">turcica, </w:t>
      </w:r>
      <w:r>
        <w:rPr>
          <w:rFonts w:ascii="Times New Roman" w:hAnsi="Times New Roman"/>
          <w:b/>
          <w:sz w:val="24"/>
          <w:szCs w:val="24"/>
        </w:rPr>
        <w:t xml:space="preserve">Front. Microbiol., </w:t>
      </w:r>
      <w:r>
        <w:rPr>
          <w:rFonts w:ascii="Times New Roman" w:hAnsi="Times New Roman"/>
          <w:sz w:val="24"/>
          <w:szCs w:val="24"/>
        </w:rPr>
        <w:t>12, 2021, 1-11</w:t>
      </w:r>
      <w:r>
        <w:rPr>
          <w:rFonts w:ascii="Times New Roman" w:hAnsi="Times New Roman"/>
          <w:i/>
          <w:sz w:val="24"/>
          <w:szCs w:val="24"/>
        </w:rPr>
        <w:t xml:space="preserve"> </w:t>
      </w:r>
      <w:r>
        <w:rPr>
          <w:rFonts w:ascii="Times New Roman" w:hAnsi="Times New Roman"/>
          <w:sz w:val="24"/>
          <w:szCs w:val="24"/>
        </w:rPr>
        <w:t xml:space="preserve"> </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H. A. L. Henry, </w:t>
      </w:r>
      <w:r>
        <w:rPr>
          <w:rFonts w:ascii="Times New Roman" w:hAnsi="Times New Roman"/>
          <w:i/>
          <w:iCs/>
          <w:sz w:val="24"/>
          <w:szCs w:val="24"/>
        </w:rPr>
        <w:t>Soil Extracellular Enzyme Dynamics in a Changing Climate</w:t>
      </w:r>
      <w:r>
        <w:rPr>
          <w:rFonts w:ascii="Times New Roman" w:hAnsi="Times New Roman"/>
          <w:sz w:val="24"/>
          <w:szCs w:val="24"/>
        </w:rPr>
        <w:t xml:space="preserve">. </w:t>
      </w:r>
      <w:r>
        <w:rPr>
          <w:rFonts w:ascii="Times New Roman" w:hAnsi="Times New Roman"/>
          <w:b/>
          <w:bCs/>
          <w:sz w:val="24"/>
          <w:szCs w:val="24"/>
        </w:rPr>
        <w:t xml:space="preserve">Soil Biol. </w:t>
      </w:r>
      <w:r>
        <w:rPr>
          <w:rFonts w:ascii="Times New Roman" w:hAnsi="Times New Roman"/>
          <w:b/>
          <w:bCs/>
          <w:sz w:val="24"/>
          <w:szCs w:val="24"/>
        </w:rPr>
        <w:tab/>
      </w:r>
      <w:r>
        <w:rPr>
          <w:rFonts w:ascii="Times New Roman" w:hAnsi="Times New Roman"/>
          <w:b/>
          <w:bCs/>
          <w:sz w:val="24"/>
          <w:szCs w:val="24"/>
        </w:rPr>
        <w:t>Biochem.</w:t>
      </w:r>
      <w:r>
        <w:rPr>
          <w:rFonts w:ascii="Times New Roman" w:hAnsi="Times New Roman"/>
          <w:sz w:val="24"/>
          <w:szCs w:val="24"/>
        </w:rPr>
        <w:t>, 47, 2012, 53–59</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P. M. Homyak, J. C. Blankinship, E. W. Slessarev, S. M. Schaeffer, S. Manzoni &amp; J. P. </w:t>
      </w:r>
      <w:r>
        <w:rPr>
          <w:rFonts w:ascii="Times New Roman" w:hAnsi="Times New Roman"/>
          <w:sz w:val="24"/>
          <w:szCs w:val="24"/>
        </w:rPr>
        <w:tab/>
      </w:r>
      <w:r>
        <w:rPr>
          <w:rFonts w:ascii="Times New Roman" w:hAnsi="Times New Roman"/>
          <w:sz w:val="24"/>
          <w:szCs w:val="24"/>
        </w:rPr>
        <w:t xml:space="preserve">Schimel, </w:t>
      </w:r>
      <w:r>
        <w:rPr>
          <w:rFonts w:ascii="Times New Roman" w:hAnsi="Times New Roman"/>
          <w:i/>
          <w:sz w:val="24"/>
          <w:szCs w:val="24"/>
        </w:rPr>
        <w:t>Effects of Altered Dry-Season Length and Plant Inputs on Soluble Soil Carbon,</w:t>
      </w:r>
      <w:r>
        <w:rPr>
          <w:rFonts w:ascii="Times New Roman" w:hAnsi="Times New Roman"/>
          <w:sz w:val="24"/>
          <w:szCs w:val="24"/>
        </w:rPr>
        <w:t xml:space="preserve"> </w:t>
      </w:r>
      <w:r>
        <w:rPr>
          <w:rFonts w:ascii="Times New Roman" w:hAnsi="Times New Roman"/>
          <w:sz w:val="24"/>
          <w:szCs w:val="24"/>
        </w:rPr>
        <w:tab/>
      </w:r>
      <w:r>
        <w:rPr>
          <w:rFonts w:ascii="Times New Roman" w:hAnsi="Times New Roman"/>
          <w:b/>
          <w:sz w:val="24"/>
          <w:szCs w:val="24"/>
        </w:rPr>
        <w:t>Ecology</w:t>
      </w:r>
      <w:r>
        <w:rPr>
          <w:rFonts w:ascii="Times New Roman" w:hAnsi="Times New Roman"/>
          <w:sz w:val="24"/>
          <w:szCs w:val="24"/>
        </w:rPr>
        <w:t>,  99(10), 2018, 2348-2362</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R. Tecon &amp; D. Or, </w:t>
      </w:r>
      <w:r>
        <w:rPr>
          <w:rFonts w:ascii="Times New Roman" w:hAnsi="Times New Roman"/>
          <w:i/>
          <w:iCs/>
          <w:sz w:val="24"/>
          <w:szCs w:val="24"/>
        </w:rPr>
        <w:t xml:space="preserve">Biophysical Processes Supporting the Diversity of Microbial Life in </w:t>
      </w:r>
      <w:r>
        <w:rPr>
          <w:rFonts w:ascii="Times New Roman" w:hAnsi="Times New Roman"/>
          <w:i/>
          <w:iCs/>
          <w:sz w:val="24"/>
          <w:szCs w:val="24"/>
        </w:rPr>
        <w:tab/>
      </w:r>
      <w:r>
        <w:rPr>
          <w:rFonts w:ascii="Times New Roman" w:hAnsi="Times New Roman"/>
          <w:i/>
          <w:iCs/>
          <w:sz w:val="24"/>
          <w:szCs w:val="24"/>
        </w:rPr>
        <w:t>Soil</w:t>
      </w:r>
      <w:r>
        <w:rPr>
          <w:rFonts w:ascii="Times New Roman" w:hAnsi="Times New Roman"/>
          <w:sz w:val="24"/>
          <w:szCs w:val="24"/>
        </w:rPr>
        <w:t xml:space="preserve">. </w:t>
      </w:r>
      <w:r>
        <w:rPr>
          <w:rFonts w:ascii="Times New Roman" w:hAnsi="Times New Roman"/>
          <w:b/>
          <w:bCs/>
          <w:sz w:val="24"/>
          <w:szCs w:val="24"/>
        </w:rPr>
        <w:t>FEMS Microbiol. Rev.</w:t>
      </w:r>
      <w:r>
        <w:rPr>
          <w:rFonts w:ascii="Times New Roman" w:hAnsi="Times New Roman"/>
          <w:bCs/>
          <w:sz w:val="24"/>
          <w:szCs w:val="24"/>
        </w:rPr>
        <w:t>,</w:t>
      </w:r>
      <w:r>
        <w:rPr>
          <w:rFonts w:ascii="Times New Roman" w:hAnsi="Times New Roman"/>
          <w:sz w:val="24"/>
          <w:szCs w:val="24"/>
        </w:rPr>
        <w:t xml:space="preserve"> 41, 2017, 599–602.</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S. U. Khan, P. S. Hooda, M. S. A. Blackwell &amp; R. Busquets, </w:t>
      </w:r>
      <w:r>
        <w:rPr>
          <w:rFonts w:ascii="Times New Roman" w:hAnsi="Times New Roman"/>
          <w:i/>
          <w:sz w:val="24"/>
          <w:szCs w:val="24"/>
        </w:rPr>
        <w:t xml:space="preserve">Microbial Biomass Responses </w:t>
      </w:r>
      <w:r>
        <w:rPr>
          <w:rFonts w:ascii="Times New Roman" w:hAnsi="Times New Roman"/>
          <w:i/>
          <w:sz w:val="24"/>
          <w:szCs w:val="24"/>
        </w:rPr>
        <w:tab/>
      </w:r>
      <w:r>
        <w:rPr>
          <w:rFonts w:ascii="Times New Roman" w:hAnsi="Times New Roman"/>
          <w:i/>
          <w:sz w:val="24"/>
          <w:szCs w:val="24"/>
        </w:rPr>
        <w:t xml:space="preserve">to Soil Drying-Rewetting and Phosphorus Leaching, </w:t>
      </w:r>
      <w:r>
        <w:rPr>
          <w:rFonts w:ascii="Times New Roman" w:hAnsi="Times New Roman"/>
          <w:b/>
          <w:sz w:val="24"/>
          <w:szCs w:val="24"/>
        </w:rPr>
        <w:t>Front. Environ. Sci.</w:t>
      </w:r>
      <w:r>
        <w:rPr>
          <w:rFonts w:ascii="Times New Roman" w:hAnsi="Times New Roman"/>
          <w:sz w:val="24"/>
          <w:szCs w:val="24"/>
        </w:rPr>
        <w:t xml:space="preserve">, 7, 2019, </w:t>
      </w:r>
    </w:p>
    <w:p>
      <w:pPr>
        <w:pStyle w:val="28"/>
        <w:numPr>
          <w:ilvl w:val="0"/>
          <w:numId w:val="8"/>
        </w:numPr>
        <w:tabs>
          <w:tab w:val="left" w:pos="450"/>
          <w:tab w:val="left" w:pos="3240"/>
        </w:tabs>
        <w:spacing w:before="240" w:after="240" w:line="240" w:lineRule="auto"/>
        <w:ind w:hanging="450"/>
        <w:jc w:val="both"/>
        <w:rPr>
          <w:rFonts w:ascii="Times New Roman" w:hAnsi="Times New Roman"/>
          <w:sz w:val="24"/>
          <w:szCs w:val="24"/>
        </w:rPr>
      </w:pPr>
      <w:r>
        <w:rPr>
          <w:rFonts w:ascii="Times New Roman" w:hAnsi="Times New Roman"/>
          <w:sz w:val="24"/>
          <w:szCs w:val="24"/>
        </w:rPr>
        <w:t xml:space="preserve"> B. Fest, N. Hinko-Najera, J. C. von Fischer, S. J. Livesley &amp; S. K. Arndt, </w:t>
      </w:r>
      <w:r>
        <w:rPr>
          <w:rFonts w:ascii="Times New Roman" w:hAnsi="Times New Roman"/>
          <w:i/>
          <w:iCs/>
          <w:sz w:val="24"/>
          <w:szCs w:val="24"/>
        </w:rPr>
        <w:t>Soil Methane Uptake Increases under Continuous Throughfall Reduction in a Temperate, Evergreen Broadleaved Eucalypt Forest</w:t>
      </w:r>
      <w:r>
        <w:rPr>
          <w:rFonts w:ascii="Times New Roman" w:hAnsi="Times New Roman"/>
          <w:sz w:val="24"/>
          <w:szCs w:val="24"/>
        </w:rPr>
        <w:t xml:space="preserve">, </w:t>
      </w:r>
      <w:r>
        <w:rPr>
          <w:rFonts w:ascii="Times New Roman" w:hAnsi="Times New Roman"/>
          <w:b/>
          <w:bCs/>
          <w:sz w:val="24"/>
          <w:szCs w:val="24"/>
        </w:rPr>
        <w:t>Ecosystems</w:t>
      </w:r>
      <w:r>
        <w:rPr>
          <w:rFonts w:ascii="Times New Roman" w:hAnsi="Times New Roman"/>
          <w:bCs/>
          <w:sz w:val="24"/>
          <w:szCs w:val="24"/>
        </w:rPr>
        <w:t xml:space="preserve">, </w:t>
      </w:r>
      <w:r>
        <w:rPr>
          <w:rFonts w:ascii="Times New Roman" w:hAnsi="Times New Roman"/>
          <w:sz w:val="24"/>
          <w:szCs w:val="24"/>
        </w:rPr>
        <w:t>20(2), 2017, 368–379.</w:t>
      </w:r>
    </w:p>
    <w:p>
      <w:pPr>
        <w:pStyle w:val="28"/>
        <w:tabs>
          <w:tab w:val="left" w:pos="450"/>
          <w:tab w:val="left" w:pos="3240"/>
        </w:tabs>
        <w:spacing w:before="240" w:after="240" w:line="240" w:lineRule="auto"/>
        <w:ind w:left="450"/>
        <w:jc w:val="both"/>
        <w:rPr>
          <w:rFonts w:ascii="Times New Roman" w:hAnsi="Times New Roman"/>
          <w:sz w:val="24"/>
          <w:szCs w:val="24"/>
        </w:rPr>
      </w:pP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A. Meisner, A. Leizeaga, J. Rousk &amp; E. Baath, </w:t>
      </w:r>
      <w:r>
        <w:rPr>
          <w:rFonts w:ascii="Times New Roman" w:hAnsi="Times New Roman"/>
          <w:i/>
          <w:iCs/>
          <w:sz w:val="24"/>
          <w:szCs w:val="24"/>
        </w:rPr>
        <w:t xml:space="preserve">Partial Drying Accelerates Bacterial Growth </w:t>
      </w:r>
      <w:r>
        <w:rPr>
          <w:rFonts w:ascii="Times New Roman" w:hAnsi="Times New Roman"/>
          <w:i/>
          <w:iCs/>
          <w:sz w:val="24"/>
          <w:szCs w:val="24"/>
        </w:rPr>
        <w:tab/>
      </w:r>
      <w:r>
        <w:rPr>
          <w:rFonts w:ascii="Times New Roman" w:hAnsi="Times New Roman"/>
          <w:i/>
          <w:iCs/>
          <w:sz w:val="24"/>
          <w:szCs w:val="24"/>
        </w:rPr>
        <w:t>Recovery Toe-Wetting</w:t>
      </w:r>
      <w:r>
        <w:rPr>
          <w:rFonts w:ascii="Times New Roman" w:hAnsi="Times New Roman"/>
          <w:sz w:val="24"/>
          <w:szCs w:val="24"/>
        </w:rPr>
        <w:t xml:space="preserve">, </w:t>
      </w:r>
      <w:r>
        <w:rPr>
          <w:rFonts w:ascii="Times New Roman" w:hAnsi="Times New Roman"/>
          <w:b/>
          <w:bCs/>
          <w:sz w:val="24"/>
          <w:szCs w:val="24"/>
        </w:rPr>
        <w:t>Soil Biol. Biochem</w:t>
      </w:r>
      <w:r>
        <w:rPr>
          <w:rFonts w:ascii="Times New Roman" w:hAnsi="Times New Roman"/>
          <w:b/>
          <w:sz w:val="24"/>
          <w:szCs w:val="24"/>
        </w:rPr>
        <w:t>.</w:t>
      </w:r>
      <w:r>
        <w:rPr>
          <w:rFonts w:ascii="Times New Roman" w:hAnsi="Times New Roman"/>
          <w:sz w:val="24"/>
          <w:szCs w:val="24"/>
        </w:rPr>
        <w:t>, 112, 2017, 269–276.</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R. Johannes, C. B. Philip &amp; B. Erland, </w:t>
      </w:r>
      <w:r>
        <w:rPr>
          <w:rFonts w:ascii="Times New Roman" w:hAnsi="Times New Roman"/>
          <w:i/>
          <w:sz w:val="24"/>
          <w:szCs w:val="24"/>
        </w:rPr>
        <w:t xml:space="preserve">Contrasting Soil pH Effects on Fungal and </w:t>
      </w:r>
      <w:r>
        <w:rPr>
          <w:rFonts w:ascii="Times New Roman" w:hAnsi="Times New Roman"/>
          <w:i/>
          <w:sz w:val="24"/>
          <w:szCs w:val="24"/>
        </w:rPr>
        <w:tab/>
      </w:r>
      <w:r>
        <w:rPr>
          <w:rFonts w:ascii="Times New Roman" w:hAnsi="Times New Roman"/>
          <w:i/>
          <w:sz w:val="24"/>
          <w:szCs w:val="24"/>
        </w:rPr>
        <w:t>Bacterial Growth Suggest Functional Redundancy in Carbon Mineralization,</w:t>
      </w:r>
      <w:r>
        <w:rPr>
          <w:rFonts w:ascii="Times New Roman" w:hAnsi="Times New Roman"/>
          <w:b/>
          <w:sz w:val="24"/>
          <w:szCs w:val="24"/>
        </w:rPr>
        <w:t xml:space="preserve">App. Environ. </w:t>
      </w:r>
      <w:r>
        <w:rPr>
          <w:rFonts w:ascii="Times New Roman" w:hAnsi="Times New Roman"/>
          <w:b/>
          <w:sz w:val="24"/>
          <w:szCs w:val="24"/>
        </w:rPr>
        <w:tab/>
      </w:r>
      <w:r>
        <w:rPr>
          <w:rFonts w:ascii="Times New Roman" w:hAnsi="Times New Roman"/>
          <w:b/>
          <w:sz w:val="24"/>
          <w:szCs w:val="24"/>
        </w:rPr>
        <w:t>Microbio.</w:t>
      </w:r>
      <w:r>
        <w:rPr>
          <w:rFonts w:ascii="Times New Roman" w:hAnsi="Times New Roman"/>
          <w:i/>
          <w:sz w:val="24"/>
          <w:szCs w:val="24"/>
        </w:rPr>
        <w:t xml:space="preserve">, </w:t>
      </w:r>
      <w:r>
        <w:rPr>
          <w:rFonts w:ascii="Times New Roman" w:hAnsi="Times New Roman"/>
          <w:sz w:val="24"/>
          <w:szCs w:val="24"/>
        </w:rPr>
        <w:t>2009, 1589-1596</w:t>
      </w:r>
    </w:p>
    <w:p>
      <w:pPr>
        <w:pStyle w:val="28"/>
        <w:numPr>
          <w:ilvl w:val="0"/>
          <w:numId w:val="8"/>
        </w:numPr>
        <w:tabs>
          <w:tab w:val="left" w:pos="450"/>
          <w:tab w:val="left" w:pos="3240"/>
        </w:tabs>
        <w:spacing w:before="240" w:after="240" w:line="240" w:lineRule="auto"/>
        <w:ind w:hanging="450"/>
        <w:contextualSpacing w:val="0"/>
        <w:jc w:val="both"/>
        <w:rPr>
          <w:rFonts w:ascii="Times New Roman" w:hAnsi="Times New Roman"/>
          <w:sz w:val="24"/>
          <w:szCs w:val="24"/>
        </w:rPr>
      </w:pPr>
      <w:r>
        <w:rPr>
          <w:rFonts w:ascii="Times New Roman" w:hAnsi="Times New Roman"/>
          <w:sz w:val="24"/>
          <w:szCs w:val="24"/>
        </w:rPr>
        <w:t xml:space="preserve">P. N. Kamble &amp; E. Baath, </w:t>
      </w:r>
      <w:r>
        <w:rPr>
          <w:rFonts w:ascii="Times New Roman" w:hAnsi="Times New Roman"/>
          <w:i/>
          <w:sz w:val="24"/>
          <w:szCs w:val="24"/>
        </w:rPr>
        <w:t>Carbon and Nitrogen Amendments Lead to Differential Growth of Bacterial and Fungal Communities in a High-pH Soil</w:t>
      </w:r>
      <w:r>
        <w:rPr>
          <w:rFonts w:ascii="Times New Roman" w:hAnsi="Times New Roman"/>
          <w:sz w:val="24"/>
          <w:szCs w:val="24"/>
        </w:rPr>
        <w:t xml:space="preserve">, </w:t>
      </w:r>
      <w:r>
        <w:rPr>
          <w:rFonts w:ascii="Times New Roman" w:hAnsi="Times New Roman"/>
          <w:b/>
          <w:sz w:val="24"/>
          <w:szCs w:val="24"/>
        </w:rPr>
        <w:t>Pedosphere</w:t>
      </w:r>
      <w:r>
        <w:rPr>
          <w:rFonts w:ascii="Times New Roman" w:hAnsi="Times New Roman"/>
          <w:sz w:val="24"/>
          <w:szCs w:val="24"/>
        </w:rPr>
        <w:t xml:space="preserve">, 28(2), 2018, 255-260 </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H. Liu, M. J. Lee, N. V. Solis, Q. T. Phan, M. Swidergall, B. Ralph, A. S. Ibrahim1, </w:t>
      </w:r>
      <w:r>
        <w:rPr>
          <w:rFonts w:ascii="Times New Roman" w:hAnsi="Times New Roman"/>
          <w:sz w:val="24"/>
          <w:szCs w:val="24"/>
        </w:rPr>
        <w:tab/>
      </w:r>
      <w:r>
        <w:rPr>
          <w:rFonts w:ascii="Times New Roman" w:hAnsi="Times New Roman"/>
          <w:sz w:val="24"/>
          <w:szCs w:val="24"/>
        </w:rPr>
        <w:t xml:space="preserve">D. C. </w:t>
      </w:r>
      <w:r>
        <w:rPr>
          <w:rFonts w:ascii="Times New Roman" w:hAnsi="Times New Roman"/>
          <w:sz w:val="24"/>
          <w:szCs w:val="24"/>
        </w:rPr>
        <w:tab/>
      </w:r>
      <w:r>
        <w:rPr>
          <w:rFonts w:ascii="Times New Roman" w:hAnsi="Times New Roman"/>
          <w:sz w:val="24"/>
          <w:szCs w:val="24"/>
        </w:rPr>
        <w:t xml:space="preserve">Sheppard, &amp; S. G. Filler, </w:t>
      </w:r>
      <w:r>
        <w:rPr>
          <w:rFonts w:ascii="Times New Roman" w:hAnsi="Times New Roman"/>
          <w:i/>
          <w:sz w:val="24"/>
          <w:szCs w:val="24"/>
        </w:rPr>
        <w:t xml:space="preserve">Aspergillus fumigatus CalA Binds to Integrin α5β1 </w:t>
      </w:r>
      <w:r>
        <w:rPr>
          <w:rFonts w:ascii="Times New Roman" w:hAnsi="Times New Roman"/>
          <w:i/>
          <w:sz w:val="24"/>
          <w:szCs w:val="24"/>
        </w:rPr>
        <w:tab/>
      </w:r>
      <w:r>
        <w:rPr>
          <w:rFonts w:ascii="Times New Roman" w:hAnsi="Times New Roman"/>
          <w:i/>
          <w:sz w:val="24"/>
          <w:szCs w:val="24"/>
        </w:rPr>
        <w:t xml:space="preserve">and Mediates </w:t>
      </w:r>
      <w:r>
        <w:rPr>
          <w:rFonts w:ascii="Times New Roman" w:hAnsi="Times New Roman"/>
          <w:i/>
          <w:sz w:val="24"/>
          <w:szCs w:val="24"/>
        </w:rPr>
        <w:tab/>
      </w:r>
      <w:r>
        <w:rPr>
          <w:rFonts w:ascii="Times New Roman" w:hAnsi="Times New Roman"/>
          <w:i/>
          <w:sz w:val="24"/>
          <w:szCs w:val="24"/>
        </w:rPr>
        <w:t>Host Cell Invasion</w:t>
      </w:r>
      <w:r>
        <w:rPr>
          <w:rFonts w:ascii="Times New Roman" w:hAnsi="Times New Roman"/>
          <w:sz w:val="24"/>
          <w:szCs w:val="24"/>
        </w:rPr>
        <w:t xml:space="preserve">, </w:t>
      </w:r>
      <w:r>
        <w:rPr>
          <w:rFonts w:ascii="Times New Roman" w:hAnsi="Times New Roman"/>
          <w:b/>
          <w:sz w:val="24"/>
          <w:szCs w:val="24"/>
        </w:rPr>
        <w:t>Nat. Microbiol.</w:t>
      </w:r>
      <w:r>
        <w:rPr>
          <w:rFonts w:ascii="Times New Roman" w:hAnsi="Times New Roman"/>
          <w:sz w:val="24"/>
          <w:szCs w:val="24"/>
        </w:rPr>
        <w:t>, 2, 2016, 1621</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O. B. Fawole, E. T. Alori, &amp; O. A. Ojo, </w:t>
      </w:r>
      <w:r>
        <w:rPr>
          <w:rFonts w:ascii="Times New Roman" w:hAnsi="Times New Roman"/>
          <w:i/>
          <w:sz w:val="24"/>
          <w:szCs w:val="24"/>
        </w:rPr>
        <w:t xml:space="preserve">Evaluation of Two Composts for the </w:t>
      </w:r>
      <w:r>
        <w:rPr>
          <w:rFonts w:ascii="Times New Roman" w:hAnsi="Times New Roman"/>
          <w:i/>
          <w:sz w:val="24"/>
          <w:szCs w:val="24"/>
        </w:rPr>
        <w:tab/>
      </w:r>
      <w:r>
        <w:rPr>
          <w:rFonts w:ascii="Times New Roman" w:hAnsi="Times New Roman"/>
          <w:i/>
          <w:sz w:val="24"/>
          <w:szCs w:val="24"/>
        </w:rPr>
        <w:t xml:space="preserve">Improvement </w:t>
      </w:r>
      <w:r>
        <w:rPr>
          <w:rFonts w:ascii="Times New Roman" w:hAnsi="Times New Roman"/>
          <w:i/>
          <w:sz w:val="24"/>
          <w:szCs w:val="24"/>
        </w:rPr>
        <w:tab/>
      </w:r>
      <w:r>
        <w:rPr>
          <w:rFonts w:ascii="Times New Roman" w:hAnsi="Times New Roman"/>
          <w:i/>
          <w:sz w:val="24"/>
          <w:szCs w:val="24"/>
        </w:rPr>
        <w:t>of Crop Yield using Tomato (Lycopersicum esculenta) as Test Crop</w:t>
      </w:r>
      <w:r>
        <w:rPr>
          <w:rFonts w:ascii="Times New Roman" w:hAnsi="Times New Roman"/>
          <w:sz w:val="24"/>
          <w:szCs w:val="24"/>
        </w:rPr>
        <w:t xml:space="preserve">, </w:t>
      </w:r>
      <w:r>
        <w:rPr>
          <w:rFonts w:ascii="Times New Roman" w:hAnsi="Times New Roman"/>
          <w:b/>
          <w:sz w:val="24"/>
          <w:szCs w:val="24"/>
        </w:rPr>
        <w:t xml:space="preserve">Journal of </w:t>
      </w:r>
      <w:r>
        <w:rPr>
          <w:rFonts w:ascii="Times New Roman" w:hAnsi="Times New Roman"/>
          <w:b/>
          <w:sz w:val="24"/>
          <w:szCs w:val="24"/>
        </w:rPr>
        <w:tab/>
      </w:r>
      <w:r>
        <w:rPr>
          <w:rFonts w:ascii="Times New Roman" w:hAnsi="Times New Roman"/>
          <w:b/>
          <w:sz w:val="24"/>
          <w:szCs w:val="24"/>
        </w:rPr>
        <w:t>Agricultural Sciences</w:t>
      </w:r>
      <w:r>
        <w:rPr>
          <w:rFonts w:ascii="Times New Roman" w:hAnsi="Times New Roman"/>
          <w:sz w:val="24"/>
          <w:szCs w:val="24"/>
        </w:rPr>
        <w:t>, 61(1), 2016, 37-44</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V. H. Varel, &amp; B. H. Dehority, </w:t>
      </w:r>
      <w:r>
        <w:rPr>
          <w:rFonts w:ascii="Times New Roman" w:hAnsi="Times New Roman"/>
          <w:i/>
          <w:sz w:val="24"/>
          <w:szCs w:val="24"/>
        </w:rPr>
        <w:t xml:space="preserve">Ruminal Cellulolytic Bacteria and Protozoa from Bison, </w:t>
      </w:r>
      <w:r>
        <w:rPr>
          <w:rFonts w:ascii="Times New Roman" w:hAnsi="Times New Roman"/>
          <w:i/>
          <w:sz w:val="24"/>
          <w:szCs w:val="24"/>
        </w:rPr>
        <w:tab/>
      </w:r>
      <w:r>
        <w:rPr>
          <w:rFonts w:ascii="Times New Roman" w:hAnsi="Times New Roman"/>
          <w:i/>
          <w:sz w:val="24"/>
          <w:szCs w:val="24"/>
        </w:rPr>
        <w:t>Cattle-Bison Hybrids, and Cattle Fed Three Alfalfa-Corn Diets</w:t>
      </w:r>
      <w:r>
        <w:rPr>
          <w:rFonts w:ascii="Times New Roman" w:hAnsi="Times New Roman"/>
          <w:sz w:val="24"/>
          <w:szCs w:val="24"/>
        </w:rPr>
        <w:t xml:space="preserve">, </w:t>
      </w:r>
      <w:r>
        <w:rPr>
          <w:rFonts w:ascii="Times New Roman" w:hAnsi="Times New Roman"/>
          <w:b/>
          <w:sz w:val="24"/>
          <w:szCs w:val="24"/>
        </w:rPr>
        <w:t xml:space="preserve">Applied and </w:t>
      </w:r>
      <w:r>
        <w:rPr>
          <w:rFonts w:ascii="Times New Roman" w:hAnsi="Times New Roman"/>
          <w:b/>
          <w:sz w:val="24"/>
          <w:szCs w:val="24"/>
        </w:rPr>
        <w:tab/>
      </w:r>
      <w:r>
        <w:rPr>
          <w:rFonts w:ascii="Times New Roman" w:hAnsi="Times New Roman"/>
          <w:b/>
          <w:sz w:val="24"/>
          <w:szCs w:val="24"/>
        </w:rPr>
        <w:t>Environmental Microbiology</w:t>
      </w:r>
      <w:r>
        <w:rPr>
          <w:rFonts w:ascii="Times New Roman" w:hAnsi="Times New Roman"/>
          <w:sz w:val="24"/>
          <w:szCs w:val="24"/>
        </w:rPr>
        <w:t>, 55(1), 1989, 148-153</w:t>
      </w:r>
    </w:p>
    <w:p>
      <w:pPr>
        <w:pStyle w:val="28"/>
        <w:numPr>
          <w:ilvl w:val="0"/>
          <w:numId w:val="8"/>
        </w:numPr>
        <w:tabs>
          <w:tab w:val="left" w:pos="450"/>
          <w:tab w:val="left" w:pos="3240"/>
        </w:tabs>
        <w:spacing w:before="240" w:after="240" w:line="240" w:lineRule="auto"/>
        <w:ind w:hanging="450"/>
        <w:contextualSpacing w:val="0"/>
        <w:jc w:val="both"/>
        <w:rPr>
          <w:rFonts w:ascii="Times New Roman" w:hAnsi="Times New Roman"/>
          <w:sz w:val="24"/>
          <w:szCs w:val="24"/>
        </w:rPr>
      </w:pPr>
      <w:r>
        <w:rPr>
          <w:rFonts w:ascii="Times New Roman" w:hAnsi="Times New Roman"/>
          <w:sz w:val="24"/>
          <w:szCs w:val="24"/>
        </w:rPr>
        <w:t xml:space="preserve">G. T. Bergmann, </w:t>
      </w:r>
      <w:r>
        <w:rPr>
          <w:rFonts w:ascii="Times New Roman" w:hAnsi="Times New Roman"/>
          <w:i/>
          <w:sz w:val="24"/>
          <w:szCs w:val="24"/>
        </w:rPr>
        <w:t>Microbial Community Composition along the Digestive Tract in Forage-and-Grain-Fed Bison</w:t>
      </w:r>
      <w:r>
        <w:rPr>
          <w:rFonts w:ascii="Times New Roman" w:hAnsi="Times New Roman"/>
          <w:sz w:val="24"/>
          <w:szCs w:val="24"/>
        </w:rPr>
        <w:t xml:space="preserve">, </w:t>
      </w:r>
      <w:r>
        <w:rPr>
          <w:rFonts w:ascii="Times New Roman" w:hAnsi="Times New Roman"/>
          <w:b/>
          <w:sz w:val="24"/>
          <w:szCs w:val="24"/>
        </w:rPr>
        <w:t>BMC Veterinary Research</w:t>
      </w:r>
      <w:r>
        <w:rPr>
          <w:rFonts w:ascii="Times New Roman" w:hAnsi="Times New Roman"/>
          <w:sz w:val="24"/>
          <w:szCs w:val="24"/>
        </w:rPr>
        <w:t xml:space="preserve">, 13, 2017, 1-9 </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Z. Junhua, S. Cong, H. S. Tian, &amp; L. L. Ji, </w:t>
      </w:r>
      <w:r>
        <w:rPr>
          <w:rFonts w:ascii="Times New Roman" w:hAnsi="Times New Roman"/>
          <w:bCs/>
          <w:i/>
          <w:sz w:val="24"/>
          <w:szCs w:val="24"/>
          <w:shd w:val="clear" w:color="auto" w:fill="FFFFFF"/>
        </w:rPr>
        <w:t xml:space="preserve">Difference Responses of Soil Fungal </w:t>
      </w:r>
      <w:r>
        <w:rPr>
          <w:rFonts w:ascii="Times New Roman" w:hAnsi="Times New Roman"/>
          <w:bCs/>
          <w:i/>
          <w:sz w:val="24"/>
          <w:szCs w:val="24"/>
          <w:shd w:val="clear" w:color="auto" w:fill="FFFFFF"/>
        </w:rPr>
        <w:tab/>
      </w:r>
      <w:r>
        <w:rPr>
          <w:rFonts w:ascii="Times New Roman" w:hAnsi="Times New Roman"/>
          <w:bCs/>
          <w:i/>
          <w:sz w:val="24"/>
          <w:szCs w:val="24"/>
          <w:shd w:val="clear" w:color="auto" w:fill="FFFFFF"/>
        </w:rPr>
        <w:t>Communities to Cattle and Chicken Manure Composting Application</w:t>
      </w:r>
      <w:r>
        <w:rPr>
          <w:rFonts w:ascii="Times New Roman" w:hAnsi="Times New Roman"/>
          <w:bCs/>
          <w:sz w:val="24"/>
          <w:szCs w:val="24"/>
          <w:shd w:val="clear" w:color="auto" w:fill="FFFFFF"/>
        </w:rPr>
        <w:t xml:space="preserve">, </w:t>
      </w:r>
      <w:r>
        <w:rPr>
          <w:rFonts w:ascii="Times New Roman" w:hAnsi="Times New Roman"/>
          <w:b/>
          <w:bCs/>
          <w:sz w:val="24"/>
          <w:szCs w:val="24"/>
          <w:shd w:val="clear" w:color="auto" w:fill="FFFFFF"/>
        </w:rPr>
        <w:t xml:space="preserve">Journal of Applied </w:t>
      </w:r>
      <w:r>
        <w:rPr>
          <w:rFonts w:ascii="Times New Roman" w:hAnsi="Times New Roman"/>
          <w:b/>
          <w:bCs/>
          <w:sz w:val="24"/>
          <w:szCs w:val="24"/>
          <w:shd w:val="clear" w:color="auto" w:fill="FFFFFF"/>
        </w:rPr>
        <w:tab/>
      </w:r>
      <w:r>
        <w:rPr>
          <w:rFonts w:ascii="Times New Roman" w:hAnsi="Times New Roman"/>
          <w:b/>
          <w:bCs/>
          <w:sz w:val="24"/>
          <w:szCs w:val="24"/>
          <w:shd w:val="clear" w:color="auto" w:fill="FFFFFF"/>
        </w:rPr>
        <w:t>Microbiology</w:t>
      </w:r>
      <w:r>
        <w:rPr>
          <w:rFonts w:ascii="Times New Roman" w:hAnsi="Times New Roman"/>
          <w:bCs/>
          <w:i/>
          <w:sz w:val="24"/>
          <w:szCs w:val="24"/>
          <w:shd w:val="clear" w:color="auto" w:fill="FFFFFF"/>
        </w:rPr>
        <w:t xml:space="preserve">, </w:t>
      </w:r>
      <w:r>
        <w:rPr>
          <w:rFonts w:ascii="Times New Roman" w:hAnsi="Times New Roman"/>
          <w:bCs/>
          <w:sz w:val="24"/>
          <w:szCs w:val="24"/>
          <w:shd w:val="clear" w:color="auto" w:fill="FFFFFF"/>
        </w:rPr>
        <w:t xml:space="preserve">133(2), </w:t>
      </w:r>
      <w:r>
        <w:rPr>
          <w:rFonts w:ascii="Times New Roman" w:hAnsi="Times New Roman"/>
          <w:sz w:val="24"/>
          <w:szCs w:val="24"/>
        </w:rPr>
        <w:t>2022,</w:t>
      </w:r>
      <w:r>
        <w:rPr>
          <w:rFonts w:ascii="Times New Roman" w:hAnsi="Times New Roman"/>
          <w:bCs/>
          <w:sz w:val="24"/>
          <w:szCs w:val="24"/>
          <w:shd w:val="clear" w:color="auto" w:fill="FFFFFF"/>
        </w:rPr>
        <w:t xml:space="preserve"> 323-33</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J. A. López-González, F. Suárez-Estrella, M. C. Vargas-García, M. J. López, M. M. Jurado </w:t>
      </w:r>
      <w:r>
        <w:rPr>
          <w:rFonts w:ascii="Times New Roman" w:hAnsi="Times New Roman"/>
          <w:sz w:val="24"/>
          <w:szCs w:val="24"/>
        </w:rPr>
        <w:tab/>
      </w:r>
      <w:r>
        <w:rPr>
          <w:rFonts w:ascii="Times New Roman" w:hAnsi="Times New Roman"/>
          <w:sz w:val="24"/>
          <w:szCs w:val="24"/>
        </w:rPr>
        <w:t xml:space="preserve">&amp; J. Moreno, </w:t>
      </w:r>
      <w:r>
        <w:rPr>
          <w:rFonts w:ascii="Times New Roman" w:hAnsi="Times New Roman"/>
          <w:i/>
          <w:sz w:val="24"/>
          <w:szCs w:val="24"/>
        </w:rPr>
        <w:t xml:space="preserve">Dynamics of Bacterial Microbiota during Lignocellulosic Waste Composting: </w:t>
      </w:r>
      <w:r>
        <w:rPr>
          <w:rFonts w:ascii="Times New Roman" w:hAnsi="Times New Roman"/>
          <w:i/>
          <w:sz w:val="24"/>
          <w:szCs w:val="24"/>
        </w:rPr>
        <w:tab/>
      </w:r>
      <w:r>
        <w:rPr>
          <w:rFonts w:ascii="Times New Roman" w:hAnsi="Times New Roman"/>
          <w:i/>
          <w:sz w:val="24"/>
          <w:szCs w:val="24"/>
        </w:rPr>
        <w:t>Studies upon Its Structure, Functionality and Biodiversity</w:t>
      </w:r>
      <w:r>
        <w:rPr>
          <w:rFonts w:ascii="Times New Roman" w:hAnsi="Times New Roman"/>
          <w:sz w:val="24"/>
          <w:szCs w:val="24"/>
        </w:rPr>
        <w:t xml:space="preserve">, </w:t>
      </w:r>
      <w:r>
        <w:rPr>
          <w:rFonts w:ascii="Times New Roman" w:hAnsi="Times New Roman"/>
          <w:b/>
          <w:sz w:val="24"/>
          <w:szCs w:val="24"/>
        </w:rPr>
        <w:t>Bioresour Technol</w:t>
      </w:r>
      <w:r>
        <w:rPr>
          <w:rFonts w:ascii="Times New Roman" w:hAnsi="Times New Roman"/>
          <w:sz w:val="24"/>
          <w:szCs w:val="24"/>
        </w:rPr>
        <w:t>.</w:t>
      </w:r>
      <w:r>
        <w:rPr>
          <w:rFonts w:ascii="Times New Roman" w:hAnsi="Times New Roman"/>
          <w:b/>
          <w:sz w:val="24"/>
          <w:szCs w:val="24"/>
        </w:rPr>
        <w:t>,</w:t>
      </w:r>
      <w:r>
        <w:rPr>
          <w:rFonts w:ascii="Times New Roman" w:hAnsi="Times New Roman"/>
          <w:sz w:val="24"/>
          <w:szCs w:val="24"/>
        </w:rPr>
        <w:t xml:space="preserve"> 175, 2014, </w:t>
      </w:r>
      <w:r>
        <w:rPr>
          <w:rFonts w:ascii="Times New Roman" w:hAnsi="Times New Roman"/>
          <w:sz w:val="24"/>
          <w:szCs w:val="24"/>
        </w:rPr>
        <w:tab/>
      </w:r>
      <w:r>
        <w:rPr>
          <w:rFonts w:ascii="Times New Roman" w:hAnsi="Times New Roman"/>
          <w:sz w:val="24"/>
          <w:szCs w:val="24"/>
        </w:rPr>
        <w:t>406–416. doi: 10.1016/j.biortech.2014.10.123</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M. Goodfellow, &amp; S. T. Williams, </w:t>
      </w:r>
      <w:r>
        <w:rPr>
          <w:rFonts w:ascii="Times New Roman" w:hAnsi="Times New Roman"/>
          <w:i/>
          <w:sz w:val="24"/>
          <w:szCs w:val="24"/>
        </w:rPr>
        <w:t>Ecology of Actinomycetes</w:t>
      </w:r>
      <w:r>
        <w:rPr>
          <w:rFonts w:ascii="Times New Roman" w:hAnsi="Times New Roman"/>
          <w:sz w:val="24"/>
          <w:szCs w:val="24"/>
        </w:rPr>
        <w:t xml:space="preserve">, </w:t>
      </w:r>
      <w:r>
        <w:rPr>
          <w:rFonts w:ascii="Times New Roman" w:hAnsi="Times New Roman"/>
          <w:b/>
          <w:sz w:val="24"/>
          <w:szCs w:val="24"/>
        </w:rPr>
        <w:t>Ann. Rev. Microbiol.,</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37, 1983, 189–216.</w:t>
      </w:r>
    </w:p>
    <w:p>
      <w:pPr>
        <w:pStyle w:val="28"/>
        <w:numPr>
          <w:ilvl w:val="0"/>
          <w:numId w:val="8"/>
        </w:numPr>
        <w:tabs>
          <w:tab w:val="left" w:pos="450"/>
          <w:tab w:val="left" w:pos="3240"/>
        </w:tabs>
        <w:spacing w:before="240" w:after="240" w:line="240" w:lineRule="auto"/>
        <w:ind w:left="0" w:firstLine="0"/>
        <w:contextualSpacing w:val="0"/>
        <w:jc w:val="both"/>
        <w:rPr>
          <w:rFonts w:ascii="Times New Roman" w:hAnsi="Times New Roman"/>
          <w:sz w:val="24"/>
          <w:szCs w:val="24"/>
        </w:rPr>
      </w:pPr>
      <w:r>
        <w:rPr>
          <w:rFonts w:ascii="Times New Roman" w:hAnsi="Times New Roman"/>
          <w:sz w:val="24"/>
          <w:szCs w:val="24"/>
        </w:rPr>
        <w:t xml:space="preserve">S. Devanshi, K. R. Shah, S. Arora &amp; S. Saxena, </w:t>
      </w:r>
      <w:r>
        <w:rPr>
          <w:rFonts w:ascii="Times New Roman" w:hAnsi="Times New Roman"/>
          <w:i/>
          <w:sz w:val="24"/>
          <w:szCs w:val="24"/>
        </w:rPr>
        <w:t xml:space="preserve">Actinomycetes as an Environmental </w:t>
      </w:r>
      <w:r>
        <w:rPr>
          <w:rFonts w:ascii="Times New Roman" w:hAnsi="Times New Roman"/>
          <w:i/>
          <w:sz w:val="24"/>
          <w:szCs w:val="24"/>
        </w:rPr>
        <w:tab/>
      </w:r>
      <w:r>
        <w:rPr>
          <w:rFonts w:ascii="Times New Roman" w:hAnsi="Times New Roman"/>
          <w:i/>
          <w:sz w:val="24"/>
          <w:szCs w:val="24"/>
        </w:rPr>
        <w:t>Scrubber</w:t>
      </w:r>
      <w:r>
        <w:rPr>
          <w:rFonts w:ascii="Times New Roman" w:hAnsi="Times New Roman"/>
          <w:sz w:val="24"/>
          <w:szCs w:val="24"/>
        </w:rPr>
        <w:t xml:space="preserve">, </w:t>
      </w:r>
      <w:r>
        <w:rPr>
          <w:rFonts w:ascii="Times New Roman" w:hAnsi="Times New Roman"/>
          <w:b/>
          <w:sz w:val="24"/>
          <w:szCs w:val="24"/>
        </w:rPr>
        <w:t>Intech Open</w:t>
      </w:r>
      <w:r>
        <w:rPr>
          <w:rFonts w:ascii="Times New Roman" w:hAnsi="Times New Roman"/>
          <w:sz w:val="24"/>
          <w:szCs w:val="24"/>
        </w:rPr>
        <w:t xml:space="preserve">, 2021, Chapter 6, </w:t>
      </w:r>
      <w:r>
        <w:rPr>
          <w:rFonts w:ascii="Times New Roman" w:hAnsi="Times New Roman"/>
          <w:sz w:val="24"/>
          <w:szCs w:val="24"/>
          <w:shd w:val="clear" w:color="auto" w:fill="FFFDEA"/>
        </w:rPr>
        <w:t>DOI: 10.5772/intechopen.99187</w:t>
      </w:r>
    </w:p>
    <w:p>
      <w:pPr>
        <w:pStyle w:val="28"/>
        <w:numPr>
          <w:ilvl w:val="0"/>
          <w:numId w:val="8"/>
        </w:numPr>
        <w:rPr>
          <w:rFonts w:ascii="Times New Roman" w:hAnsi="Times New Roman"/>
          <w:bCs/>
          <w:i/>
          <w:sz w:val="24"/>
          <w:szCs w:val="24"/>
        </w:rPr>
      </w:pPr>
      <w:r>
        <w:rPr>
          <w:rFonts w:ascii="Times New Roman" w:hAnsi="Times New Roman"/>
          <w:sz w:val="24"/>
          <w:szCs w:val="24"/>
          <w:shd w:val="clear" w:color="auto" w:fill="FFFFFF"/>
        </w:rPr>
        <w:t>E. Addington</w:t>
      </w:r>
      <w:r>
        <w:rPr>
          <w:rFonts w:ascii="Times New Roman" w:hAnsi="Times New Roman"/>
          <w:color w:val="212121"/>
          <w:sz w:val="24"/>
          <w:szCs w:val="24"/>
          <w:shd w:val="clear" w:color="auto" w:fill="FFFFFF"/>
        </w:rPr>
        <w:t xml:space="preserve">, </w:t>
      </w:r>
      <w:r>
        <w:rPr>
          <w:rFonts w:ascii="Times New Roman" w:hAnsi="Times New Roman"/>
          <w:sz w:val="24"/>
          <w:szCs w:val="24"/>
          <w:shd w:val="clear" w:color="auto" w:fill="FFFFFF"/>
        </w:rPr>
        <w:t>L. C. Espriu, D. R. Mark, L.P. Escobar, A.H. Russell</w:t>
      </w:r>
      <w:r>
        <w:rPr>
          <w:rFonts w:ascii="Times New Roman" w:hAnsi="Times New Roman"/>
          <w:color w:val="212121"/>
          <w:sz w:val="24"/>
          <w:szCs w:val="24"/>
          <w:shd w:val="clear" w:color="auto" w:fill="FFFFFF"/>
        </w:rPr>
        <w:t>, &amp; </w:t>
      </w:r>
      <w:r>
        <w:rPr>
          <w:rFonts w:ascii="Times New Roman" w:hAnsi="Times New Roman"/>
          <w:sz w:val="24"/>
          <w:szCs w:val="24"/>
          <w:shd w:val="clear" w:color="auto" w:fill="FFFFFF"/>
        </w:rPr>
        <w:t xml:space="preserve">T. C. McLean, </w:t>
      </w:r>
      <w:r>
        <w:rPr>
          <w:rFonts w:ascii="Times New Roman" w:hAnsi="Times New Roman"/>
          <w:bCs/>
          <w:i/>
          <w:color w:val="000000"/>
          <w:spacing w:val="-2"/>
          <w:sz w:val="24"/>
          <w:szCs w:val="24"/>
        </w:rPr>
        <w:t xml:space="preserve">Advance in Actinomycete Research: an ActinoBase Review of 2019, </w:t>
      </w:r>
      <w:r>
        <w:rPr>
          <w:rFonts w:ascii="Times New Roman" w:hAnsi="Times New Roman"/>
          <w:b/>
          <w:bCs/>
          <w:sz w:val="24"/>
          <w:szCs w:val="24"/>
        </w:rPr>
        <w:t>Microbiology</w:t>
      </w:r>
      <w:r>
        <w:rPr>
          <w:rFonts w:ascii="Times New Roman" w:hAnsi="Times New Roman"/>
          <w:bCs/>
          <w:i/>
          <w:sz w:val="24"/>
          <w:szCs w:val="24"/>
        </w:rPr>
        <w:t>, 166(8), 2020, 683-694. </w:t>
      </w:r>
    </w:p>
    <w:p>
      <w:pPr>
        <w:spacing w:after="200" w:line="276" w:lineRule="auto"/>
        <w:rPr>
          <w:rFonts w:ascii="Times New Roman" w:hAnsi="Times New Roman" w:eastAsia="Times New Roman"/>
          <w:b/>
          <w:color w:val="000000"/>
          <w:sz w:val="24"/>
          <w:szCs w:val="24"/>
          <w:lang w:val="en-GB" w:eastAsia="en-GB"/>
        </w:rPr>
      </w:pPr>
      <w:r>
        <w:rPr>
          <w:rFonts w:ascii="Times New Roman" w:hAnsi="Times New Roman"/>
          <w:b/>
          <w:color w:val="000000"/>
          <w:sz w:val="24"/>
          <w:szCs w:val="24"/>
        </w:rPr>
        <w:br w:type="page"/>
      </w:r>
    </w:p>
    <w:p>
      <w:pPr>
        <w:pStyle w:val="14"/>
        <w:shd w:val="clear" w:color="auto" w:fill="FFFFFF"/>
        <w:spacing w:before="0" w:beforeAutospacing="0" w:after="120" w:afterAutospacing="0" w:line="480" w:lineRule="auto"/>
        <w:jc w:val="center"/>
        <w:rPr>
          <w:b/>
          <w:color w:val="000000"/>
        </w:rPr>
      </w:pPr>
      <w:r>
        <w:rPr>
          <w:b/>
          <w:color w:val="000000"/>
        </w:rPr>
        <w:t>Chapter Five</w:t>
      </w:r>
    </w:p>
    <w:p>
      <w:pPr>
        <w:pStyle w:val="14"/>
        <w:shd w:val="clear" w:color="auto" w:fill="FFFFFF"/>
        <w:spacing w:before="0" w:beforeAutospacing="0" w:after="120" w:afterAutospacing="0" w:line="480" w:lineRule="auto"/>
        <w:jc w:val="center"/>
        <w:rPr>
          <w:b/>
          <w:color w:val="000000"/>
        </w:rPr>
      </w:pPr>
      <w:r>
        <w:rPr>
          <w:b/>
          <w:color w:val="000000"/>
        </w:rPr>
        <w:t>Conclusion</w:t>
      </w:r>
    </w:p>
    <w:p>
      <w:pPr>
        <w:pStyle w:val="14"/>
        <w:shd w:val="clear" w:color="auto" w:fill="FFFFFF"/>
        <w:spacing w:before="0" w:beforeAutospacing="0" w:after="120" w:afterAutospacing="0" w:line="480" w:lineRule="auto"/>
        <w:jc w:val="both"/>
        <w:rPr>
          <w:b/>
          <w:color w:val="000000"/>
        </w:rPr>
      </w:pPr>
      <w:r>
        <w:rPr>
          <w:b/>
          <w:color w:val="000000"/>
        </w:rPr>
        <w:t>5.1</w:t>
      </w:r>
      <w:r>
        <w:rPr>
          <w:b/>
          <w:color w:val="000000"/>
        </w:rPr>
        <w:tab/>
      </w:r>
      <w:r>
        <w:rPr>
          <w:b/>
          <w:color w:val="000000"/>
        </w:rPr>
        <w:t>Summary of Findings</w:t>
      </w:r>
    </w:p>
    <w:p>
      <w:pPr>
        <w:pStyle w:val="37"/>
        <w:shd w:val="clear" w:color="auto" w:fill="FFFFFF"/>
        <w:spacing w:before="0" w:beforeAutospacing="0" w:after="120" w:afterAutospacing="0" w:line="480" w:lineRule="auto"/>
        <w:jc w:val="both"/>
        <w:rPr>
          <w:color w:val="FF0000"/>
        </w:rPr>
      </w:pPr>
      <w:r>
        <w:rPr>
          <w:color w:val="000000"/>
        </w:rPr>
        <w:t>From this study, it was observed that the value for Ca, Mg, N, C, P, Mn, Al, Cu and Mo for T1 (litter free soil) differ significantly from the litter soils (T2, T3, T4 and T5). Also, the pH value for the litter soil differ significantly from the values recorded for poultry, pig cattle and goat litter soil. The litters affected the soil pH which in turn influenced the nutrient availability. However, in comparing the litter soils with control (litter free soil), one would expect that these elements will be in higher quantity in litter free soil compared to the litter soils, however, the reverse is the case. This could be because the litter free soil is nutrient deficient because litters are not dumped on it.</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The result from this study also revealed that the value of HPC, TFC and CBC for T1 (litter free soil) differ significantly from other treatments. T2 value for PSBC differ significantly from other treatment while T3 value for NFBC and Actinobacteria differ significantly from other treatments.</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Pig and poultry litter had the highest microbial population of nitrogen fixing bacteria and actinobacteria, poultry litter had the highest microbial population of phosphate solubilizing bacteria while the control had the highest microbial population of heterotrophic plate count bacteria, total fungal count and Cellulolytic bacteria. The result for TFC showed that the value obtained for T1 was highest compared to other treatment. </w:t>
      </w:r>
    </w:p>
    <w:p>
      <w:pPr>
        <w:pStyle w:val="14"/>
        <w:shd w:val="clear" w:color="auto" w:fill="FFFFFF"/>
        <w:spacing w:before="0" w:beforeAutospacing="0" w:after="120" w:afterAutospacing="0" w:line="480" w:lineRule="auto"/>
        <w:jc w:val="both"/>
        <w:rPr>
          <w:color w:val="000000"/>
        </w:rPr>
      </w:pPr>
    </w:p>
    <w:p>
      <w:pPr>
        <w:pStyle w:val="14"/>
        <w:shd w:val="clear" w:color="auto" w:fill="FFFFFF"/>
        <w:spacing w:before="0" w:beforeAutospacing="0" w:after="120" w:afterAutospacing="0" w:line="480" w:lineRule="auto"/>
        <w:jc w:val="both"/>
        <w:rPr>
          <w:b/>
          <w:color w:val="000000"/>
        </w:rPr>
      </w:pPr>
    </w:p>
    <w:p>
      <w:pPr>
        <w:pStyle w:val="14"/>
        <w:shd w:val="clear" w:color="auto" w:fill="FFFFFF"/>
        <w:spacing w:before="0" w:beforeAutospacing="0" w:after="120" w:afterAutospacing="0" w:line="480" w:lineRule="auto"/>
        <w:jc w:val="both"/>
        <w:rPr>
          <w:b/>
          <w:color w:val="000000"/>
        </w:rPr>
      </w:pPr>
    </w:p>
    <w:p>
      <w:pPr>
        <w:pStyle w:val="14"/>
        <w:shd w:val="clear" w:color="auto" w:fill="FFFFFF"/>
        <w:spacing w:before="0" w:beforeAutospacing="0" w:after="120" w:afterAutospacing="0" w:line="480" w:lineRule="auto"/>
        <w:jc w:val="both"/>
        <w:rPr>
          <w:b/>
          <w:color w:val="000000"/>
        </w:rPr>
      </w:pPr>
    </w:p>
    <w:p>
      <w:pPr>
        <w:pStyle w:val="14"/>
        <w:shd w:val="clear" w:color="auto" w:fill="FFFFFF"/>
        <w:spacing w:before="0" w:beforeAutospacing="0" w:after="120" w:afterAutospacing="0" w:line="480" w:lineRule="auto"/>
        <w:jc w:val="both"/>
        <w:rPr>
          <w:b/>
          <w:color w:val="000000"/>
        </w:rPr>
      </w:pPr>
      <w:r>
        <w:rPr>
          <w:b/>
          <w:color w:val="000000"/>
        </w:rPr>
        <w:t>5.2</w:t>
      </w:r>
      <w:r>
        <w:rPr>
          <w:b/>
          <w:color w:val="000000"/>
        </w:rPr>
        <w:tab/>
      </w:r>
      <w:r>
        <w:rPr>
          <w:b/>
          <w:color w:val="000000"/>
        </w:rPr>
        <w:t>Conclusion</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This study further established the soil acidification caused by poorly managed litters in livestock farms on soil fertility, microbial population and diversity. Also, there were imbalances in the microbial population and diversity which could be because of the adaptability of the microbes to the acidic condition.</w:t>
      </w:r>
    </w:p>
    <w:p>
      <w:pPr>
        <w:spacing w:after="120" w:line="480" w:lineRule="auto"/>
        <w:jc w:val="both"/>
        <w:rPr>
          <w:rFonts w:ascii="Times New Roman" w:hAnsi="Times New Roman"/>
          <w:b/>
          <w:sz w:val="24"/>
          <w:szCs w:val="24"/>
        </w:rPr>
      </w:pPr>
      <w:r>
        <w:rPr>
          <w:rFonts w:ascii="Times New Roman" w:hAnsi="Times New Roman"/>
          <w:b/>
          <w:sz w:val="24"/>
          <w:szCs w:val="24"/>
        </w:rPr>
        <w:t>5.3</w:t>
      </w:r>
      <w:r>
        <w:rPr>
          <w:rFonts w:ascii="Times New Roman" w:hAnsi="Times New Roman"/>
          <w:b/>
          <w:sz w:val="24"/>
          <w:szCs w:val="24"/>
        </w:rPr>
        <w:tab/>
      </w:r>
      <w:r>
        <w:rPr>
          <w:rFonts w:ascii="Times New Roman" w:hAnsi="Times New Roman"/>
          <w:b/>
          <w:sz w:val="24"/>
          <w:szCs w:val="24"/>
        </w:rPr>
        <w:t>Recommendations</w:t>
      </w:r>
    </w:p>
    <w:p>
      <w:pPr>
        <w:spacing w:after="120" w:line="480" w:lineRule="auto"/>
        <w:ind w:left="540" w:hanging="360"/>
        <w:jc w:val="both"/>
        <w:rPr>
          <w:rFonts w:ascii="Times New Roman" w:hAnsi="Times New Roman"/>
          <w:sz w:val="24"/>
          <w:szCs w:val="24"/>
        </w:rPr>
      </w:pPr>
      <w:r>
        <w:rPr>
          <w:rFonts w:ascii="Times New Roman" w:hAnsi="Times New Roman"/>
          <w:sz w:val="24"/>
          <w:szCs w:val="24"/>
        </w:rPr>
        <w:t>1. This research is a crucial step towards understanding the intricate relationship between agricultural practices and soil health. Therefore, expanding and building upon this knowledge will not only contribute to scientific literature but also aid in developing sustainable agricultural practices that optimize soil fertility and minimize environmental impact.</w:t>
      </w:r>
    </w:p>
    <w:p>
      <w:pPr>
        <w:spacing w:after="120" w:line="480" w:lineRule="auto"/>
        <w:ind w:left="540" w:hanging="360"/>
        <w:jc w:val="both"/>
        <w:rPr>
          <w:rFonts w:ascii="Times New Roman" w:hAnsi="Times New Roman"/>
          <w:sz w:val="24"/>
          <w:szCs w:val="24"/>
        </w:rPr>
      </w:pPr>
      <w:r>
        <w:rPr>
          <w:rFonts w:ascii="Times New Roman" w:hAnsi="Times New Roman"/>
          <w:sz w:val="24"/>
          <w:szCs w:val="24"/>
        </w:rPr>
        <w:t>2. There is need for an effective means of managing livestock wastes and sustaining soil physicochemical properties. This will foster implementation of policies against improper disposal of livestock wastes on soils by farmers.</w:t>
      </w:r>
    </w:p>
    <w:p>
      <w:pPr>
        <w:spacing w:after="120" w:line="480" w:lineRule="auto"/>
        <w:ind w:left="540" w:hanging="360"/>
        <w:jc w:val="both"/>
        <w:rPr>
          <w:rFonts w:ascii="Times New Roman" w:hAnsi="Times New Roman"/>
          <w:sz w:val="24"/>
          <w:szCs w:val="24"/>
        </w:rPr>
      </w:pPr>
      <w:r>
        <w:rPr>
          <w:rFonts w:ascii="Times New Roman" w:hAnsi="Times New Roman"/>
          <w:sz w:val="24"/>
          <w:szCs w:val="24"/>
        </w:rPr>
        <w:t>3.  Regular training for farmers on agricultural wastes management and several bioremediation techniques by the government is encouraged.</w:t>
      </w:r>
    </w:p>
    <w:p>
      <w:pPr>
        <w:tabs>
          <w:tab w:val="left" w:pos="180"/>
        </w:tabs>
        <w:spacing w:after="120" w:line="480" w:lineRule="auto"/>
        <w:jc w:val="both"/>
        <w:rPr>
          <w:rFonts w:ascii="Times New Roman" w:hAnsi="Times New Roman"/>
          <w:b/>
          <w:sz w:val="24"/>
          <w:szCs w:val="24"/>
        </w:rPr>
      </w:pPr>
      <w:r>
        <w:rPr>
          <w:rFonts w:ascii="Times New Roman" w:hAnsi="Times New Roman"/>
          <w:b/>
          <w:sz w:val="24"/>
          <w:szCs w:val="24"/>
        </w:rPr>
        <w:t>5.4</w:t>
      </w:r>
      <w:r>
        <w:rPr>
          <w:rFonts w:ascii="Times New Roman" w:hAnsi="Times New Roman"/>
          <w:b/>
          <w:sz w:val="24"/>
          <w:szCs w:val="24"/>
        </w:rPr>
        <w:tab/>
      </w:r>
      <w:r>
        <w:rPr>
          <w:rFonts w:ascii="Times New Roman" w:hAnsi="Times New Roman"/>
          <w:b/>
          <w:sz w:val="24"/>
          <w:szCs w:val="24"/>
        </w:rPr>
        <w:t>Contribution to Knowledge</w:t>
      </w:r>
    </w:p>
    <w:p>
      <w:pPr>
        <w:tabs>
          <w:tab w:val="left" w:pos="180"/>
          <w:tab w:val="left" w:pos="360"/>
        </w:tabs>
        <w:spacing w:after="120" w:line="480" w:lineRule="auto"/>
        <w:ind w:left="540" w:hanging="360"/>
        <w:jc w:val="both"/>
        <w:rPr>
          <w:rFonts w:ascii="Times New Roman" w:hAnsi="Times New Roman"/>
          <w:sz w:val="24"/>
          <w:szCs w:val="24"/>
        </w:rPr>
      </w:pPr>
      <w:r>
        <w:rPr>
          <w:rFonts w:ascii="Times New Roman" w:hAnsi="Times New Roman"/>
          <w:sz w:val="24"/>
          <w:szCs w:val="24"/>
        </w:rPr>
        <w:t>1. This study provided baseline information on the effect of improperly managed livestock wastes on soil physical and chemical composition; and microbial population and exten</w:t>
      </w:r>
      <w:bookmarkStart w:id="60" w:name="_Toc132200974"/>
      <w:r>
        <w:rPr>
          <w:rFonts w:ascii="Times New Roman" w:hAnsi="Times New Roman"/>
          <w:sz w:val="24"/>
          <w:szCs w:val="24"/>
        </w:rPr>
        <w:t>t of soil microbial activities.</w:t>
      </w:r>
    </w:p>
    <w:p>
      <w:pPr>
        <w:spacing w:after="120" w:line="480" w:lineRule="auto"/>
        <w:ind w:left="540" w:hanging="450"/>
        <w:jc w:val="both"/>
        <w:rPr>
          <w:rFonts w:ascii="Times New Roman" w:hAnsi="Times New Roman"/>
          <w:sz w:val="24"/>
          <w:szCs w:val="24"/>
        </w:rPr>
      </w:pPr>
      <w:r>
        <w:rPr>
          <w:rFonts w:ascii="Times New Roman" w:hAnsi="Times New Roman"/>
          <w:sz w:val="24"/>
          <w:szCs w:val="24"/>
        </w:rPr>
        <w:t xml:space="preserve"> 2.  The results of this study serve as evidences of soil modification techniques to the crop farmers, soil scientists and the agronomists who depend greatly on soil physical and chemical properties for their practices.</w:t>
      </w:r>
    </w:p>
    <w:p>
      <w:pPr>
        <w:spacing w:after="120" w:line="480" w:lineRule="auto"/>
        <w:ind w:left="540" w:hanging="360"/>
        <w:jc w:val="both"/>
        <w:rPr>
          <w:rFonts w:ascii="Times New Roman" w:hAnsi="Times New Roman"/>
          <w:sz w:val="24"/>
          <w:szCs w:val="24"/>
        </w:rPr>
      </w:pPr>
      <w:r>
        <w:rPr>
          <w:rFonts w:ascii="Times New Roman" w:hAnsi="Times New Roman"/>
          <w:sz w:val="24"/>
          <w:szCs w:val="24"/>
        </w:rPr>
        <w:t xml:space="preserve">3.    It also provides basal information for further studies in the area of increasing soil acidity, livestock waste disposal and its effects on soil microbiota. </w:t>
      </w:r>
    </w:p>
    <w:p>
      <w:pPr>
        <w:spacing w:after="120" w:line="480" w:lineRule="auto"/>
        <w:jc w:val="both"/>
        <w:rPr>
          <w:rFonts w:ascii="Times New Roman" w:hAnsi="Times New Roman"/>
          <w:b/>
          <w:sz w:val="24"/>
          <w:szCs w:val="24"/>
        </w:rPr>
      </w:pPr>
    </w:p>
    <w:p>
      <w:pPr>
        <w:spacing w:after="120" w:line="480" w:lineRule="auto"/>
        <w:jc w:val="both"/>
        <w:rPr>
          <w:rFonts w:ascii="Times New Roman" w:hAnsi="Times New Roman"/>
          <w:b/>
          <w:sz w:val="24"/>
          <w:szCs w:val="24"/>
        </w:rPr>
      </w:pPr>
      <w:r>
        <w:rPr>
          <w:rFonts w:ascii="Times New Roman" w:hAnsi="Times New Roman"/>
          <w:b/>
          <w:sz w:val="24"/>
          <w:szCs w:val="24"/>
        </w:rPr>
        <w:t>5.5</w:t>
      </w:r>
      <w:r>
        <w:rPr>
          <w:rFonts w:ascii="Times New Roman" w:hAnsi="Times New Roman"/>
          <w:b/>
          <w:sz w:val="24"/>
          <w:szCs w:val="24"/>
        </w:rPr>
        <w:tab/>
      </w:r>
      <w:r>
        <w:rPr>
          <w:rFonts w:ascii="Times New Roman" w:hAnsi="Times New Roman"/>
          <w:b/>
          <w:sz w:val="24"/>
          <w:szCs w:val="24"/>
        </w:rPr>
        <w:t>Suggested Area for Further Study</w:t>
      </w:r>
    </w:p>
    <w:p>
      <w:pPr>
        <w:spacing w:after="120" w:line="480" w:lineRule="auto"/>
        <w:jc w:val="both"/>
        <w:rPr>
          <w:rFonts w:ascii="Times New Roman" w:hAnsi="Times New Roman"/>
          <w:color w:val="000000"/>
          <w:sz w:val="24"/>
          <w:szCs w:val="24"/>
        </w:rPr>
      </w:pPr>
      <w:r>
        <w:rPr>
          <w:rFonts w:ascii="Times New Roman" w:hAnsi="Times New Roman"/>
          <w:color w:val="000000"/>
          <w:sz w:val="24"/>
          <w:szCs w:val="24"/>
        </w:rPr>
        <w:t xml:space="preserve">The litter from the dumping site can also be evaluated for further studies </w:t>
      </w:r>
    </w:p>
    <w:p>
      <w:pPr>
        <w:spacing w:after="120" w:line="360" w:lineRule="auto"/>
        <w:jc w:val="both"/>
        <w:rPr>
          <w:rFonts w:ascii="Times New Roman" w:hAnsi="Times New Roman"/>
          <w:color w:val="000000"/>
          <w:sz w:val="24"/>
          <w:szCs w:val="24"/>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rPr>
          <w:rFonts w:ascii="Times New Roman" w:hAnsi="Times New Roman"/>
          <w:sz w:val="24"/>
          <w:szCs w:val="24"/>
        </w:rPr>
      </w:pPr>
    </w:p>
    <w:p>
      <w:pPr>
        <w:pStyle w:val="3"/>
        <w:spacing w:before="0" w:line="480" w:lineRule="auto"/>
        <w:rPr>
          <w:rFonts w:ascii="Times New Roman" w:hAnsi="Times New Roman" w:eastAsia="Calibri" w:cs="Times New Roman"/>
          <w:b w:val="0"/>
          <w:bCs w:val="0"/>
          <w:color w:val="auto"/>
          <w:sz w:val="24"/>
          <w:szCs w:val="24"/>
        </w:rPr>
      </w:pPr>
    </w:p>
    <w:p>
      <w:pPr>
        <w:rPr>
          <w:rFonts w:ascii="Times New Roman" w:hAnsi="Times New Roman"/>
          <w:sz w:val="24"/>
          <w:szCs w:val="24"/>
        </w:rPr>
      </w:pPr>
    </w:p>
    <w:p>
      <w:pPr>
        <w:pStyle w:val="3"/>
        <w:spacing w:before="0" w:line="480" w:lineRule="auto"/>
        <w:ind w:left="2880" w:firstLine="720"/>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sz w:val="24"/>
          <w:szCs w:val="24"/>
        </w:rPr>
      </w:pPr>
    </w:p>
    <w:p>
      <w:pPr>
        <w:rPr>
          <w:rFonts w:ascii="Times New Roman" w:hAnsi="Times New Roman"/>
          <w:sz w:val="24"/>
          <w:szCs w:val="24"/>
        </w:rPr>
      </w:pPr>
    </w:p>
    <w:p>
      <w:pPr>
        <w:pStyle w:val="3"/>
        <w:spacing w:before="0" w:line="480" w:lineRule="auto"/>
        <w:ind w:left="2880" w:firstLine="720"/>
        <w:rPr>
          <w:rFonts w:ascii="Times New Roman" w:hAnsi="Times New Roman" w:cs="Times New Roman"/>
          <w:color w:val="000000" w:themeColor="text1"/>
          <w:sz w:val="24"/>
          <w:szCs w:val="24"/>
          <w14:textFill>
            <w14:solidFill>
              <w14:schemeClr w14:val="tx1"/>
            </w14:solidFill>
          </w14:textFill>
        </w:rPr>
      </w:pPr>
    </w:p>
    <w:p>
      <w:pPr>
        <w:rPr>
          <w:rFonts w:ascii="Times New Roman" w:hAnsi="Times New Roman"/>
          <w:sz w:val="24"/>
          <w:szCs w:val="24"/>
        </w:rPr>
      </w:pPr>
    </w:p>
    <w:p>
      <w:pPr>
        <w:pStyle w:val="3"/>
        <w:spacing w:before="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Bibliography</w:t>
      </w:r>
    </w:p>
    <w:p>
      <w:pPr>
        <w:spacing w:line="240" w:lineRule="auto"/>
        <w:jc w:val="both"/>
        <w:rPr>
          <w:rFonts w:ascii="Times New Roman" w:hAnsi="Times New Roman"/>
          <w:b/>
          <w:color w:val="000000"/>
          <w:sz w:val="24"/>
          <w:szCs w:val="24"/>
        </w:rPr>
      </w:pPr>
      <w:r>
        <w:rPr>
          <w:rFonts w:ascii="Times New Roman" w:hAnsi="Times New Roman"/>
          <w:b/>
          <w:color w:val="000000"/>
          <w:sz w:val="24"/>
          <w:szCs w:val="24"/>
        </w:rPr>
        <w:t>Journal</w:t>
      </w:r>
    </w:p>
    <w:p>
      <w:pPr>
        <w:spacing w:after="240" w:line="276" w:lineRule="auto"/>
        <w:ind w:left="567" w:hanging="567"/>
        <w:jc w:val="both"/>
        <w:rPr>
          <w:rFonts w:ascii="Times New Roman" w:hAnsi="Times New Roman"/>
          <w:color w:val="000000"/>
          <w:sz w:val="24"/>
          <w:szCs w:val="24"/>
        </w:rPr>
      </w:pPr>
      <w:r>
        <w:rPr>
          <w:rFonts w:ascii="Times New Roman" w:hAnsi="Times New Roman"/>
          <w:color w:val="000000"/>
          <w:sz w:val="24"/>
          <w:szCs w:val="24"/>
        </w:rPr>
        <w:t xml:space="preserve">Abbasi, S., </w:t>
      </w:r>
      <w:r>
        <w:rPr>
          <w:rFonts w:ascii="Times New Roman" w:hAnsi="Times New Roman"/>
          <w:i/>
          <w:color w:val="000000"/>
          <w:sz w:val="24"/>
          <w:szCs w:val="24"/>
        </w:rPr>
        <w:t>Plant–Microbe Interactions Ameliorate Phosphate-Mediated Responses in the Rhizosphere: a review.</w:t>
      </w:r>
      <w:r>
        <w:rPr>
          <w:rFonts w:ascii="Times New Roman" w:hAnsi="Times New Roman"/>
          <w:color w:val="000000"/>
          <w:sz w:val="24"/>
          <w:szCs w:val="24"/>
        </w:rPr>
        <w:t> </w:t>
      </w:r>
      <w:r>
        <w:rPr>
          <w:rFonts w:ascii="Times New Roman" w:hAnsi="Times New Roman"/>
          <w:b/>
          <w:color w:val="000000"/>
          <w:sz w:val="24"/>
          <w:szCs w:val="24"/>
        </w:rPr>
        <w:t>Front. Plant Sci.</w:t>
      </w:r>
      <w:r>
        <w:rPr>
          <w:rFonts w:ascii="Times New Roman" w:hAnsi="Times New Roman"/>
          <w:color w:val="000000"/>
          <w:sz w:val="24"/>
          <w:szCs w:val="24"/>
        </w:rPr>
        <w:t xml:space="preserve">, 14, 2023, 1074279, doi: 10.3389/fpls.2023.1074279 </w:t>
      </w:r>
    </w:p>
    <w:p>
      <w:pPr>
        <w:spacing w:after="240" w:line="276" w:lineRule="auto"/>
        <w:ind w:left="567" w:hanging="567"/>
        <w:jc w:val="both"/>
        <w:rPr>
          <w:rFonts w:ascii="Times New Roman" w:hAnsi="Times New Roman"/>
          <w:color w:val="000000"/>
          <w:sz w:val="24"/>
          <w:szCs w:val="24"/>
        </w:rPr>
      </w:pPr>
      <w:r>
        <w:rPr>
          <w:rFonts w:ascii="Times New Roman" w:hAnsi="Times New Roman"/>
          <w:color w:val="000000"/>
          <w:sz w:val="24"/>
          <w:szCs w:val="24"/>
        </w:rPr>
        <w:t xml:space="preserve">AbdelRahman, M. A. E., </w:t>
      </w:r>
      <w:r>
        <w:rPr>
          <w:rFonts w:ascii="Times New Roman" w:hAnsi="Times New Roman"/>
          <w:i/>
          <w:color w:val="000000"/>
          <w:sz w:val="24"/>
          <w:szCs w:val="24"/>
        </w:rPr>
        <w:t xml:space="preserve">An overview of land degradation, desertification and sustainable land </w:t>
      </w:r>
      <w:r>
        <w:rPr>
          <w:rFonts w:ascii="Times New Roman" w:hAnsi="Times New Roman"/>
          <w:i/>
          <w:color w:val="000000"/>
          <w:sz w:val="24"/>
          <w:szCs w:val="24"/>
        </w:rPr>
        <w:tab/>
      </w:r>
      <w:r>
        <w:rPr>
          <w:rFonts w:ascii="Times New Roman" w:hAnsi="Times New Roman"/>
          <w:i/>
          <w:color w:val="000000"/>
          <w:sz w:val="24"/>
          <w:szCs w:val="24"/>
        </w:rPr>
        <w:t>management using GIS and remote sensing applications</w:t>
      </w:r>
      <w:r>
        <w:rPr>
          <w:rFonts w:ascii="Times New Roman" w:hAnsi="Times New Roman"/>
          <w:color w:val="000000"/>
          <w:sz w:val="24"/>
          <w:szCs w:val="24"/>
        </w:rPr>
        <w:t>, </w:t>
      </w:r>
      <w:r>
        <w:rPr>
          <w:rFonts w:ascii="Times New Roman" w:hAnsi="Times New Roman"/>
          <w:b/>
          <w:iCs/>
          <w:color w:val="000000"/>
          <w:sz w:val="24"/>
          <w:szCs w:val="24"/>
        </w:rPr>
        <w:t>Rend. Fis. Acc. Lincei</w:t>
      </w:r>
      <w:r>
        <w:rPr>
          <w:rFonts w:ascii="Times New Roman" w:hAnsi="Times New Roman"/>
          <w:color w:val="000000"/>
          <w:sz w:val="24"/>
          <w:szCs w:val="24"/>
        </w:rPr>
        <w:t xml:space="preserve">, </w:t>
      </w:r>
      <w:r>
        <w:rPr>
          <w:rFonts w:ascii="Times New Roman" w:hAnsi="Times New Roman"/>
          <w:bCs/>
          <w:color w:val="000000"/>
          <w:sz w:val="24"/>
          <w:szCs w:val="24"/>
        </w:rPr>
        <w:t>34</w:t>
      </w:r>
      <w:r>
        <w:rPr>
          <w:rFonts w:ascii="Times New Roman" w:hAnsi="Times New Roman"/>
          <w:color w:val="000000"/>
          <w:sz w:val="24"/>
          <w:szCs w:val="24"/>
        </w:rPr>
        <w:t xml:space="preserve">, </w:t>
      </w:r>
      <w:r>
        <w:rPr>
          <w:rFonts w:ascii="Times New Roman" w:hAnsi="Times New Roman"/>
          <w:color w:val="000000"/>
          <w:sz w:val="24"/>
          <w:szCs w:val="24"/>
        </w:rPr>
        <w:tab/>
      </w:r>
      <w:r>
        <w:rPr>
          <w:rFonts w:ascii="Times New Roman" w:hAnsi="Times New Roman"/>
          <w:color w:val="000000"/>
          <w:sz w:val="24"/>
          <w:szCs w:val="24"/>
        </w:rPr>
        <w:t>2023, 767–808, https://doi.org/10.1007/s12210-023-01155-3</w:t>
      </w:r>
    </w:p>
    <w:p>
      <w:pPr>
        <w:tabs>
          <w:tab w:val="left" w:pos="630"/>
        </w:tabs>
        <w:spacing w:after="240" w:line="276" w:lineRule="auto"/>
        <w:ind w:left="567" w:hanging="567"/>
        <w:jc w:val="both"/>
        <w:rPr>
          <w:rFonts w:ascii="Times New Roman" w:hAnsi="Times New Roman"/>
          <w:color w:val="000000"/>
          <w:sz w:val="24"/>
          <w:szCs w:val="24"/>
        </w:rPr>
      </w:pPr>
      <w:r>
        <w:rPr>
          <w:rFonts w:ascii="Times New Roman" w:hAnsi="Times New Roman"/>
          <w:color w:val="000000"/>
          <w:sz w:val="24"/>
          <w:szCs w:val="24"/>
        </w:rPr>
        <w:t xml:space="preserve">AbdelRahman, M. A. E., Mohamed, R., Metwalli, M. G., Francesco, T., Costanza, F., Antonio, S. &amp; Paola, D., </w:t>
      </w:r>
      <w:r>
        <w:rPr>
          <w:rFonts w:ascii="Times New Roman" w:hAnsi="Times New Roman"/>
          <w:i/>
          <w:color w:val="000000"/>
          <w:sz w:val="24"/>
          <w:szCs w:val="24"/>
        </w:rPr>
        <w:t xml:space="preserve">"Determining the Extent of Soil Degradation Processes </w:t>
      </w:r>
      <w:r>
        <w:rPr>
          <w:rFonts w:ascii="Times New Roman" w:hAnsi="Times New Roman"/>
          <w:i/>
          <w:color w:val="000000"/>
          <w:sz w:val="24"/>
          <w:szCs w:val="24"/>
        </w:rPr>
        <w:tab/>
      </w:r>
      <w:r>
        <w:rPr>
          <w:rFonts w:ascii="Times New Roman" w:hAnsi="Times New Roman"/>
          <w:i/>
          <w:color w:val="000000"/>
          <w:sz w:val="24"/>
          <w:szCs w:val="24"/>
        </w:rPr>
        <w:t xml:space="preserve">Using </w:t>
      </w:r>
      <w:r>
        <w:rPr>
          <w:rFonts w:ascii="Times New Roman" w:hAnsi="Times New Roman"/>
          <w:i/>
          <w:color w:val="000000"/>
          <w:sz w:val="24"/>
          <w:szCs w:val="24"/>
        </w:rPr>
        <w:tab/>
      </w:r>
      <w:r>
        <w:rPr>
          <w:rFonts w:ascii="Times New Roman" w:hAnsi="Times New Roman"/>
          <w:i/>
          <w:color w:val="000000"/>
          <w:sz w:val="24"/>
          <w:szCs w:val="24"/>
        </w:rPr>
        <w:t>Trend Analyses at a Regional Multispectral Scale",</w:t>
      </w:r>
      <w:r>
        <w:rPr>
          <w:rFonts w:ascii="Times New Roman" w:hAnsi="Times New Roman"/>
          <w:color w:val="000000"/>
          <w:sz w:val="24"/>
          <w:szCs w:val="24"/>
        </w:rPr>
        <w:t> </w:t>
      </w:r>
      <w:r>
        <w:rPr>
          <w:rFonts w:ascii="Times New Roman" w:hAnsi="Times New Roman"/>
          <w:b/>
          <w:iCs/>
          <w:color w:val="000000"/>
          <w:sz w:val="24"/>
          <w:szCs w:val="24"/>
        </w:rPr>
        <w:t>Land</w:t>
      </w:r>
      <w:r>
        <w:rPr>
          <w:rFonts w:ascii="Times New Roman" w:hAnsi="Times New Roman"/>
          <w:color w:val="000000"/>
          <w:sz w:val="24"/>
          <w:szCs w:val="24"/>
        </w:rPr>
        <w:t xml:space="preserve">, 12(4), 2023, </w:t>
      </w:r>
      <w:r>
        <w:rPr>
          <w:rFonts w:ascii="Times New Roman" w:hAnsi="Times New Roman"/>
          <w:color w:val="000000"/>
          <w:sz w:val="24"/>
          <w:szCs w:val="24"/>
        </w:rPr>
        <w:tab/>
      </w:r>
      <w:r>
        <w:rPr>
          <w:rFonts w:ascii="Times New Roman" w:hAnsi="Times New Roman"/>
          <w:color w:val="000000"/>
          <w:sz w:val="24"/>
          <w:szCs w:val="24"/>
        </w:rPr>
        <w:t xml:space="preserve">855, https://doi.org/10.3390/land12040855 </w:t>
      </w:r>
    </w:p>
    <w:p>
      <w:pPr>
        <w:tabs>
          <w:tab w:val="left" w:pos="630"/>
        </w:tabs>
        <w:spacing w:after="240" w:line="276" w:lineRule="auto"/>
        <w:ind w:left="567" w:hanging="567"/>
        <w:jc w:val="both"/>
        <w:rPr>
          <w:rFonts w:ascii="Times New Roman" w:hAnsi="Times New Roman"/>
          <w:color w:val="000000"/>
          <w:sz w:val="24"/>
          <w:szCs w:val="24"/>
        </w:rPr>
      </w:pPr>
      <w:r>
        <w:rPr>
          <w:rFonts w:ascii="Times New Roman" w:hAnsi="Times New Roman"/>
          <w:color w:val="000000"/>
          <w:sz w:val="24"/>
          <w:szCs w:val="24"/>
        </w:rPr>
        <w:t xml:space="preserve">Achinas, S., Nikolaos, C. &amp; Gerrit, J. W., </w:t>
      </w:r>
      <w:r>
        <w:rPr>
          <w:rFonts w:ascii="Times New Roman" w:hAnsi="Times New Roman"/>
          <w:i/>
          <w:color w:val="000000"/>
          <w:sz w:val="24"/>
          <w:szCs w:val="24"/>
        </w:rPr>
        <w:t xml:space="preserve">"A Brief Recap of Microbial Adhesion and </w:t>
      </w:r>
      <w:r>
        <w:rPr>
          <w:rFonts w:ascii="Times New Roman" w:hAnsi="Times New Roman"/>
          <w:i/>
          <w:color w:val="000000"/>
          <w:sz w:val="24"/>
          <w:szCs w:val="24"/>
        </w:rPr>
        <w:tab/>
      </w:r>
      <w:r>
        <w:rPr>
          <w:rFonts w:ascii="Times New Roman" w:hAnsi="Times New Roman"/>
          <w:i/>
          <w:color w:val="000000"/>
          <w:sz w:val="24"/>
          <w:szCs w:val="24"/>
        </w:rPr>
        <w:t>Biofilms"</w:t>
      </w:r>
      <w:r>
        <w:rPr>
          <w:rFonts w:ascii="Times New Roman" w:hAnsi="Times New Roman"/>
          <w:color w:val="000000"/>
          <w:sz w:val="24"/>
          <w:szCs w:val="24"/>
        </w:rPr>
        <w:t xml:space="preserve">, </w:t>
      </w:r>
      <w:r>
        <w:rPr>
          <w:rFonts w:ascii="Times New Roman" w:hAnsi="Times New Roman"/>
          <w:b/>
          <w:iCs/>
          <w:color w:val="000000"/>
          <w:sz w:val="24"/>
          <w:szCs w:val="24"/>
        </w:rPr>
        <w:t>Applied Sciences</w:t>
      </w:r>
      <w:r>
        <w:rPr>
          <w:rFonts w:ascii="Times New Roman" w:hAnsi="Times New Roman"/>
          <w:i/>
          <w:iCs/>
          <w:color w:val="000000"/>
          <w:sz w:val="24"/>
          <w:szCs w:val="24"/>
        </w:rPr>
        <w:t>,</w:t>
      </w:r>
      <w:r>
        <w:rPr>
          <w:rFonts w:ascii="Times New Roman" w:hAnsi="Times New Roman"/>
          <w:b/>
          <w:color w:val="000000"/>
          <w:sz w:val="24"/>
          <w:szCs w:val="24"/>
        </w:rPr>
        <w:t> </w:t>
      </w:r>
      <w:r>
        <w:rPr>
          <w:rFonts w:ascii="Times New Roman" w:hAnsi="Times New Roman"/>
          <w:color w:val="000000"/>
          <w:sz w:val="24"/>
          <w:szCs w:val="24"/>
        </w:rPr>
        <w:t xml:space="preserve">9(14), 2019, 2801, </w:t>
      </w:r>
      <w:r>
        <w:rPr>
          <w:rFonts w:ascii="Times New Roman" w:hAnsi="Times New Roman"/>
          <w:color w:val="000000"/>
          <w:sz w:val="24"/>
          <w:szCs w:val="24"/>
        </w:rPr>
        <w:tab/>
      </w:r>
      <w:r>
        <w:rPr>
          <w:rFonts w:ascii="Times New Roman" w:hAnsi="Times New Roman"/>
          <w:color w:val="000000"/>
          <w:sz w:val="24"/>
          <w:szCs w:val="24"/>
        </w:rPr>
        <w:t xml:space="preserve">https://doi.org/10.3390/app9142801 </w:t>
      </w:r>
    </w:p>
    <w:p>
      <w:pPr>
        <w:tabs>
          <w:tab w:val="left" w:pos="630"/>
        </w:tabs>
        <w:spacing w:after="240" w:line="276" w:lineRule="auto"/>
        <w:ind w:left="567" w:hanging="567"/>
        <w:jc w:val="both"/>
        <w:rPr>
          <w:rFonts w:ascii="Times New Roman" w:hAnsi="Times New Roman"/>
          <w:bCs/>
          <w:sz w:val="24"/>
          <w:szCs w:val="24"/>
        </w:rPr>
      </w:pPr>
      <w:r>
        <w:rPr>
          <w:rFonts w:ascii="Times New Roman" w:hAnsi="Times New Roman"/>
          <w:bCs/>
          <w:sz w:val="24"/>
          <w:szCs w:val="24"/>
        </w:rPr>
        <w:t>Ademir D, Thiago G., Maurício R. G. Z, Henrique P. F., Antonio M. M. S., Rodrigo H. L., Sérgio K. H., &amp; Elke J.B.N. C.,</w:t>
      </w:r>
      <w:r>
        <w:rPr>
          <w:rFonts w:ascii="Times New Roman" w:hAnsi="Times New Roman"/>
          <w:bCs/>
          <w:i/>
          <w:sz w:val="24"/>
          <w:szCs w:val="24"/>
        </w:rPr>
        <w:t xml:space="preserve"> Organic Farming Practices Change the Soil Bacteria Community, Improving Soil Quality and Maize Crop Yields, </w:t>
      </w:r>
      <w:r>
        <w:fldChar w:fldCharType="begin"/>
      </w:r>
      <w:r>
        <w:instrText xml:space="preserve"> HYPERLINK "https://www.ncbi.nlm.nih.gov/pmc/articles/PMC8465994/" </w:instrText>
      </w:r>
      <w:r>
        <w:fldChar w:fldCharType="separate"/>
      </w:r>
      <w:r>
        <w:rPr>
          <w:rStyle w:val="13"/>
          <w:rFonts w:ascii="Times New Roman" w:hAnsi="Times New Roman"/>
          <w:b/>
          <w:bCs/>
          <w:color w:val="auto"/>
          <w:sz w:val="24"/>
          <w:szCs w:val="24"/>
          <w:u w:val="none"/>
        </w:rPr>
        <w:t>Peer J</w:t>
      </w:r>
      <w:r>
        <w:rPr>
          <w:rStyle w:val="13"/>
          <w:rFonts w:ascii="Times New Roman" w:hAnsi="Times New Roman"/>
          <w:bCs/>
          <w:color w:val="auto"/>
          <w:sz w:val="24"/>
          <w:szCs w:val="24"/>
          <w:u w:val="none"/>
        </w:rPr>
        <w:t>.</w:t>
      </w:r>
      <w:r>
        <w:rPr>
          <w:rStyle w:val="13"/>
          <w:rFonts w:ascii="Times New Roman" w:hAnsi="Times New Roman"/>
          <w:bCs/>
          <w:color w:val="auto"/>
          <w:sz w:val="24"/>
          <w:szCs w:val="24"/>
          <w:u w:val="none"/>
        </w:rPr>
        <w:fldChar w:fldCharType="end"/>
      </w:r>
      <w:r>
        <w:rPr>
          <w:rFonts w:ascii="Times New Roman" w:hAnsi="Times New Roman"/>
          <w:bCs/>
          <w:sz w:val="24"/>
          <w:szCs w:val="24"/>
        </w:rPr>
        <w:t>; 9: 2021, e11985. doi: </w:t>
      </w:r>
      <w:r>
        <w:fldChar w:fldCharType="begin"/>
      </w:r>
      <w:r>
        <w:instrText xml:space="preserve"> HYPERLINK "https://doi.org/10.7717%2Fpeerj.11985" \t "_blank" </w:instrText>
      </w:r>
      <w:r>
        <w:fldChar w:fldCharType="separate"/>
      </w:r>
      <w:r>
        <w:rPr>
          <w:rStyle w:val="13"/>
          <w:rFonts w:ascii="Times New Roman" w:hAnsi="Times New Roman"/>
          <w:bCs/>
          <w:color w:val="auto"/>
          <w:sz w:val="24"/>
          <w:szCs w:val="24"/>
          <w:u w:val="none"/>
        </w:rPr>
        <w:t>10.7717/peerj.11985</w:t>
      </w:r>
      <w:r>
        <w:rPr>
          <w:rStyle w:val="13"/>
          <w:rFonts w:ascii="Times New Roman" w:hAnsi="Times New Roman"/>
          <w:bCs/>
          <w:color w:val="auto"/>
          <w:sz w:val="24"/>
          <w:szCs w:val="24"/>
          <w:u w:val="none"/>
        </w:rPr>
        <w:fldChar w:fldCharType="end"/>
      </w:r>
      <w:r>
        <w:rPr>
          <w:rFonts w:ascii="Times New Roman" w:hAnsi="Times New Roman"/>
          <w:bCs/>
          <w:sz w:val="24"/>
          <w:szCs w:val="24"/>
        </w:rPr>
        <w:t>, PMCID: PMC8465994, PMID: </w:t>
      </w:r>
      <w:r>
        <w:fldChar w:fldCharType="begin"/>
      </w:r>
      <w:r>
        <w:instrText xml:space="preserve"> HYPERLINK "https://pubmed.ncbi.nlm.nih.gov/34631309" </w:instrText>
      </w:r>
      <w:r>
        <w:fldChar w:fldCharType="separate"/>
      </w:r>
      <w:r>
        <w:rPr>
          <w:rStyle w:val="13"/>
          <w:rFonts w:ascii="Times New Roman" w:hAnsi="Times New Roman"/>
          <w:bCs/>
          <w:color w:val="auto"/>
          <w:sz w:val="24"/>
          <w:szCs w:val="24"/>
          <w:u w:val="none"/>
        </w:rPr>
        <w:t>34631309</w:t>
      </w:r>
      <w:r>
        <w:rPr>
          <w:rStyle w:val="13"/>
          <w:rFonts w:ascii="Times New Roman" w:hAnsi="Times New Roman"/>
          <w:bCs/>
          <w:color w:val="auto"/>
          <w:sz w:val="24"/>
          <w:szCs w:val="24"/>
          <w:u w:val="none"/>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Adeyemo A.J, Akingbola O. &amp; Ojeniyi S.O, </w:t>
      </w:r>
      <w:r>
        <w:rPr>
          <w:rFonts w:ascii="Times New Roman" w:hAnsi="Times New Roman"/>
          <w:i/>
          <w:color w:val="000000" w:themeColor="text1"/>
          <w:sz w:val="24"/>
          <w:szCs w:val="24"/>
          <w14:textFill>
            <w14:solidFill>
              <w14:schemeClr w14:val="tx1"/>
            </w14:solidFill>
          </w14:textFill>
        </w:rPr>
        <w:t>Effects of Poultry Manure on Soil Infiltration, Organic Matter Contents and Maize Performance on Two Contrasting Degraded Alfisols in Southwestern Nigeria,</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International Journal Of Recycling of Organic Waste in Agriculture</w:t>
      </w:r>
      <w:r>
        <w:rPr>
          <w:rFonts w:ascii="Times New Roman" w:hAnsi="Times New Roman"/>
          <w:color w:val="000000" w:themeColor="text1"/>
          <w:sz w:val="24"/>
          <w:szCs w:val="24"/>
          <w14:textFill>
            <w14:solidFill>
              <w14:schemeClr w14:val="tx1"/>
            </w14:solidFill>
          </w14:textFill>
        </w:rPr>
        <w:t>, 8(6).2019, DOI: 10.1007/s40093-019-0273-7</w:t>
      </w:r>
      <w:r>
        <w:rPr>
          <w:rFonts w:ascii="Times New Roman" w:hAnsi="Times New Roman"/>
          <w:color w:val="000000" w:themeColor="text1"/>
          <w:sz w:val="24"/>
          <w:szCs w:val="24"/>
          <w14:textFill>
            <w14:solidFill>
              <w14:schemeClr w14:val="tx1"/>
            </w14:solidFill>
          </w14:textFill>
        </w:rPr>
        <w:tab/>
      </w:r>
    </w:p>
    <w:p>
      <w:pPr>
        <w:tabs>
          <w:tab w:val="left" w:pos="630"/>
        </w:tabs>
        <w:spacing w:after="240" w:line="276" w:lineRule="auto"/>
        <w:ind w:left="567" w:hanging="567"/>
        <w:jc w:val="both"/>
        <w:rPr>
          <w:rFonts w:ascii="Times New Roman" w:hAnsi="Times New Roman"/>
          <w:color w:val="000000"/>
          <w:sz w:val="24"/>
          <w:szCs w:val="24"/>
        </w:rPr>
      </w:pPr>
      <w:r>
        <w:rPr>
          <w:rFonts w:ascii="Times New Roman" w:hAnsi="Times New Roman"/>
          <w:color w:val="000000"/>
          <w:sz w:val="24"/>
          <w:szCs w:val="24"/>
        </w:rPr>
        <w:t xml:space="preserve">Alamgir .A.N.M., </w:t>
      </w:r>
      <w:r>
        <w:rPr>
          <w:rFonts w:ascii="Times New Roman" w:hAnsi="Times New Roman"/>
          <w:i/>
          <w:color w:val="000000"/>
          <w:sz w:val="24"/>
          <w:szCs w:val="24"/>
        </w:rPr>
        <w:t>Therapeutic Use of Medicinal Plants and Their Extracts.</w:t>
      </w:r>
      <w:r>
        <w:rPr>
          <w:rFonts w:ascii="Times New Roman" w:hAnsi="Times New Roman"/>
          <w:color w:val="000000"/>
          <w:sz w:val="24"/>
          <w:szCs w:val="24"/>
        </w:rPr>
        <w:t xml:space="preserve"> </w:t>
      </w:r>
      <w:r>
        <w:rPr>
          <w:rFonts w:ascii="Times New Roman" w:hAnsi="Times New Roman"/>
          <w:b/>
          <w:color w:val="000000"/>
          <w:sz w:val="24"/>
          <w:szCs w:val="24"/>
        </w:rPr>
        <w:t>Phytochemistry and Bioactive Compounds</w:t>
      </w:r>
      <w:r>
        <w:rPr>
          <w:rFonts w:ascii="Times New Roman" w:hAnsi="Times New Roman"/>
          <w:color w:val="000000"/>
          <w:sz w:val="24"/>
          <w:szCs w:val="24"/>
        </w:rPr>
        <w:t>, 2, 2018, 826, ISBN: 9783319923871, 3319923870</w:t>
      </w:r>
    </w:p>
    <w:p>
      <w:pPr>
        <w:tabs>
          <w:tab w:val="left" w:pos="630"/>
          <w:tab w:val="left" w:pos="720"/>
        </w:tabs>
        <w:spacing w:after="240" w:line="276" w:lineRule="auto"/>
        <w:ind w:left="630" w:hanging="630"/>
        <w:jc w:val="both"/>
        <w:rPr>
          <w:rStyle w:val="13"/>
          <w:rFonts w:ascii="Times New Roman" w:hAnsi="Times New Roman"/>
          <w:color w:val="000000" w:themeColor="text1"/>
          <w:sz w:val="24"/>
          <w:szCs w:val="24"/>
          <w:u w:val="none"/>
          <w14:textFill>
            <w14:solidFill>
              <w14:schemeClr w14:val="tx1"/>
            </w14:solidFill>
          </w14:textFill>
        </w:rPr>
      </w:pPr>
      <w:r>
        <w:rPr>
          <w:rFonts w:ascii="Times New Roman" w:hAnsi="Times New Roman"/>
          <w:color w:val="000000"/>
          <w:sz w:val="24"/>
          <w:szCs w:val="24"/>
        </w:rPr>
        <w:t xml:space="preserve">Alexandre, C. A., Rui Bajouco, J. D. S., Leal, J. O. P. &amp; António, B. D., </w:t>
      </w:r>
      <w:r>
        <w:rPr>
          <w:rFonts w:ascii="Times New Roman" w:hAnsi="Times New Roman"/>
          <w:i/>
          <w:color w:val="000000"/>
          <w:sz w:val="24"/>
          <w:szCs w:val="24"/>
        </w:rPr>
        <w:t>"Effects on Soil Chemical Properties and Carbon Stock Two Years after Compost Application in a Hedgerow Olive Grove"</w:t>
      </w:r>
      <w:r>
        <w:rPr>
          <w:rFonts w:ascii="Times New Roman" w:hAnsi="Times New Roman"/>
          <w:color w:val="000000"/>
          <w:sz w:val="24"/>
          <w:szCs w:val="24"/>
        </w:rPr>
        <w:t>, </w:t>
      </w:r>
      <w:r>
        <w:rPr>
          <w:rFonts w:ascii="Times New Roman" w:hAnsi="Times New Roman"/>
          <w:b/>
          <w:iCs/>
          <w:color w:val="000000"/>
          <w:sz w:val="24"/>
          <w:szCs w:val="24"/>
        </w:rPr>
        <w:t>Agronomy</w:t>
      </w:r>
      <w:r>
        <w:rPr>
          <w:rFonts w:ascii="Times New Roman" w:hAnsi="Times New Roman"/>
          <w:color w:val="000000"/>
          <w:sz w:val="24"/>
          <w:szCs w:val="24"/>
        </w:rPr>
        <w:t xml:space="preserve">, 13(7), 2023, 1933, </w:t>
      </w:r>
      <w:r>
        <w:fldChar w:fldCharType="begin"/>
      </w:r>
      <w:r>
        <w:instrText xml:space="preserve"> HYPERLINK "https://doi.org/10.3390/agronomy13071933" </w:instrText>
      </w:r>
      <w:r>
        <w:fldChar w:fldCharType="separate"/>
      </w:r>
      <w:r>
        <w:rPr>
          <w:rStyle w:val="13"/>
          <w:rFonts w:ascii="Times New Roman" w:hAnsi="Times New Roman"/>
          <w:color w:val="000000" w:themeColor="text1"/>
          <w:sz w:val="24"/>
          <w:szCs w:val="24"/>
          <w:u w:val="none"/>
          <w14:textFill>
            <w14:solidFill>
              <w14:schemeClr w14:val="tx1"/>
            </w14:solidFill>
          </w14:textFill>
        </w:rPr>
        <w:t>https://doi.org/10.3390/agronomy13071933</w:t>
      </w:r>
      <w:r>
        <w:rPr>
          <w:rStyle w:val="13"/>
          <w:rFonts w:ascii="Times New Roman" w:hAnsi="Times New Roman"/>
          <w:color w:val="000000" w:themeColor="text1"/>
          <w:sz w:val="24"/>
          <w:szCs w:val="24"/>
          <w:u w:val="none"/>
          <w14:textFill>
            <w14:solidFill>
              <w14:schemeClr w14:val="tx1"/>
            </w14:solidFill>
          </w14:textFill>
        </w:rPr>
        <w:fldChar w:fldCharType="end"/>
      </w:r>
    </w:p>
    <w:p>
      <w:pPr>
        <w:tabs>
          <w:tab w:val="left" w:pos="720"/>
        </w:tabs>
        <w:spacing w:after="240" w:line="276" w:lineRule="auto"/>
        <w:ind w:left="630" w:hanging="630"/>
        <w:jc w:val="both"/>
        <w:rPr>
          <w:rFonts w:ascii="Times New Roman" w:hAnsi="Times New Roman"/>
          <w:color w:val="212121"/>
          <w:sz w:val="24"/>
          <w:szCs w:val="24"/>
          <w:shd w:val="clear" w:color="auto" w:fill="FFFFFF"/>
        </w:rPr>
      </w:pPr>
      <w:r>
        <w:rPr>
          <w:rFonts w:ascii="Times New Roman" w:hAnsi="Times New Roman"/>
          <w:color w:val="000000"/>
          <w:sz w:val="24"/>
          <w:szCs w:val="24"/>
          <w:shd w:val="clear" w:color="auto" w:fill="FFFFFF"/>
        </w:rPr>
        <w:t>Alonso, S., Dominguez-Salas, P. &amp; Grace, D.,</w:t>
      </w:r>
      <w:r>
        <w:rPr>
          <w:rFonts w:ascii="Times New Roman" w:hAnsi="Times New Roman"/>
          <w:i/>
          <w:color w:val="000000"/>
          <w:sz w:val="24"/>
          <w:szCs w:val="24"/>
          <w:shd w:val="clear" w:color="auto" w:fill="FFFFFF"/>
        </w:rPr>
        <w:t xml:space="preserve"> The Role of Livestock Products for Nutrition in the First 1,000 Days of Life,</w:t>
      </w:r>
      <w:r>
        <w:rPr>
          <w:rFonts w:ascii="Times New Roman" w:hAnsi="Times New Roman"/>
          <w:color w:val="000000"/>
          <w:sz w:val="24"/>
          <w:szCs w:val="24"/>
          <w:shd w:val="clear" w:color="auto" w:fill="FFFFFF"/>
        </w:rPr>
        <w:t xml:space="preserve"> </w:t>
      </w:r>
      <w:r>
        <w:rPr>
          <w:rFonts w:ascii="Times New Roman" w:hAnsi="Times New Roman"/>
          <w:b/>
          <w:color w:val="000000"/>
          <w:sz w:val="24"/>
          <w:szCs w:val="24"/>
          <w:shd w:val="clear" w:color="auto" w:fill="FFFFFF"/>
        </w:rPr>
        <w:t>Anim Front.</w:t>
      </w:r>
      <w:r>
        <w:rPr>
          <w:rFonts w:ascii="Times New Roman" w:hAnsi="Times New Roman"/>
          <w:color w:val="000000"/>
          <w:sz w:val="24"/>
          <w:szCs w:val="24"/>
          <w:shd w:val="clear" w:color="auto" w:fill="FFFFFF"/>
        </w:rPr>
        <w:t xml:space="preserve">, 9(4), 2019, 24-31, doi: </w:t>
      </w:r>
      <w:r>
        <w:rPr>
          <w:rFonts w:ascii="Times New Roman" w:hAnsi="Times New Roman"/>
          <w:color w:val="000000"/>
          <w:sz w:val="24"/>
          <w:szCs w:val="24"/>
          <w:shd w:val="clear" w:color="auto" w:fill="FFFFFF"/>
        </w:rPr>
        <w:tab/>
      </w:r>
      <w:r>
        <w:rPr>
          <w:rFonts w:ascii="Times New Roman" w:hAnsi="Times New Roman"/>
          <w:color w:val="000000"/>
          <w:sz w:val="24"/>
          <w:szCs w:val="24"/>
          <w:shd w:val="clear" w:color="auto" w:fill="FFFFFF"/>
        </w:rPr>
        <w:t>10.1093/af/vfz033. PMID: 32002271; PMCID: PMC6951902</w:t>
      </w:r>
      <w:r>
        <w:rPr>
          <w:rFonts w:ascii="Times New Roman" w:hAnsi="Times New Roman"/>
          <w:color w:val="212121"/>
          <w:sz w:val="24"/>
          <w:szCs w:val="24"/>
          <w:shd w:val="clear" w:color="auto" w:fill="FFFFFF"/>
        </w:rPr>
        <w:t>.</w:t>
      </w:r>
    </w:p>
    <w:p>
      <w:pPr>
        <w:spacing w:after="240" w:line="276" w:lineRule="auto"/>
        <w:ind w:left="630" w:hanging="630"/>
        <w:jc w:val="both"/>
        <w:rPr>
          <w:rFonts w:ascii="Times New Roman" w:hAnsi="Times New Roman"/>
          <w:color w:val="000000" w:themeColor="text1"/>
          <w:sz w:val="24"/>
          <w:szCs w:val="24"/>
          <w14:textFill>
            <w14:solidFill>
              <w14:schemeClr w14:val="tx1"/>
            </w14:solidFill>
          </w14:textFill>
        </w:rPr>
      </w:pPr>
      <w:r>
        <w:rPr>
          <w:rFonts w:ascii="Times New Roman" w:hAnsi="Times New Roman"/>
          <w:bCs/>
          <w:color w:val="000000" w:themeColor="text1"/>
          <w:sz w:val="24"/>
          <w:szCs w:val="24"/>
          <w14:textFill>
            <w14:solidFill>
              <w14:schemeClr w14:val="tx1"/>
            </w14:solidFill>
          </w14:textFill>
        </w:rPr>
        <w:t>Andrew T.K.</w:t>
      </w:r>
      <w:r>
        <w:rPr>
          <w:rFonts w:ascii="Times New Roman" w:hAnsi="Times New Roman"/>
          <w:b/>
          <w:bCs/>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Taruvinga B., &amp;Alfred O. O.</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i/>
          <w:color w:val="000000" w:themeColor="text1"/>
          <w:sz w:val="24"/>
          <w:szCs w:val="24"/>
          <w14:textFill>
            <w14:solidFill>
              <w14:schemeClr w14:val="tx1"/>
            </w14:solidFill>
          </w14:textFill>
        </w:rPr>
        <w:t>Integrated soil fertility management practices for improved crop production in smallholder farming systems of semi-arid areas</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color w:val="000000" w:themeColor="text1"/>
          <w:sz w:val="24"/>
          <w:szCs w:val="24"/>
          <w14:textFill>
            <w14:solidFill>
              <w14:schemeClr w14:val="tx1"/>
            </w14:solidFill>
          </w14:textFill>
        </w:rPr>
        <w:t xml:space="preserve">A synthetic review, 2023, </w:t>
      </w:r>
      <w:r>
        <w:rPr>
          <w:rFonts w:ascii="Times New Roman" w:hAnsi="Times New Roman"/>
          <w:color w:val="000000" w:themeColor="text1"/>
          <w:sz w:val="24"/>
          <w:szCs w:val="24"/>
          <w14:textFill>
            <w14:solidFill>
              <w14:schemeClr w14:val="tx1"/>
            </w14:solidFill>
          </w14:textFill>
        </w:rPr>
        <w:t>2256137</w:t>
      </w:r>
      <w:r>
        <w:rPr>
          <w:rFonts w:ascii="Times New Roman" w:hAnsi="Times New Roman"/>
          <w:b/>
          <w:bCs/>
          <w:color w:val="000000" w:themeColor="text1"/>
          <w:sz w:val="24"/>
          <w:szCs w:val="24"/>
          <w14:textFill>
            <w14:solidFill>
              <w14:schemeClr w14:val="tx1"/>
            </w14:solidFill>
          </w14:textFill>
        </w:rPr>
        <w:t xml:space="preserve"> </w:t>
      </w:r>
      <w:r>
        <w:fldChar w:fldCharType="begin"/>
      </w:r>
      <w:r>
        <w:instrText xml:space="preserve"> HYPERLINK "https://doi.org/10.1080/23311932.2023.2256137" </w:instrText>
      </w:r>
      <w:r>
        <w:fldChar w:fldCharType="separate"/>
      </w:r>
      <w:r>
        <w:rPr>
          <w:rStyle w:val="13"/>
          <w:rFonts w:ascii="Times New Roman" w:hAnsi="Times New Roman"/>
          <w:color w:val="auto"/>
          <w:sz w:val="24"/>
          <w:szCs w:val="24"/>
          <w:u w:val="none"/>
        </w:rPr>
        <w:t>https://doi.org/10.1080/23311932.2023.2256137</w:t>
      </w:r>
      <w:r>
        <w:rPr>
          <w:rStyle w:val="13"/>
          <w:rFonts w:ascii="Times New Roman" w:hAnsi="Times New Roman"/>
          <w:color w:val="auto"/>
          <w:sz w:val="24"/>
          <w:szCs w:val="24"/>
          <w:u w:val="none"/>
        </w:rPr>
        <w:fldChar w:fldCharType="end"/>
      </w:r>
    </w:p>
    <w:p>
      <w:pPr>
        <w:tabs>
          <w:tab w:val="left" w:pos="720"/>
        </w:tabs>
        <w:spacing w:after="240" w:line="276" w:lineRule="auto"/>
        <w:ind w:left="630" w:hanging="630"/>
        <w:jc w:val="both"/>
        <w:rPr>
          <w:rFonts w:ascii="Times New Roman" w:hAnsi="Times New Roman"/>
          <w:sz w:val="24"/>
          <w:szCs w:val="24"/>
          <w:shd w:val="clear" w:color="auto" w:fill="FFFFFF"/>
        </w:rPr>
      </w:pPr>
      <w:r>
        <w:fldChar w:fldCharType="begin"/>
      </w:r>
      <w:r>
        <w:instrText xml:space="preserve"> HYPERLINK "https://www.emerald.com/insight/search?q=Kelechi%20Johnmary%20Ani" \o "Kelechi Johnmary Ani" </w:instrText>
      </w:r>
      <w:r>
        <w:fldChar w:fldCharType="separate"/>
      </w:r>
      <w:r>
        <w:rPr>
          <w:rStyle w:val="13"/>
          <w:rFonts w:ascii="Times New Roman" w:hAnsi="Times New Roman"/>
          <w:color w:val="auto"/>
          <w:sz w:val="24"/>
          <w:szCs w:val="24"/>
          <w:u w:val="none"/>
          <w:shd w:val="clear" w:color="auto" w:fill="FFFFFF"/>
        </w:rPr>
        <w:t>Ani, K. J.</w:t>
      </w:r>
      <w:r>
        <w:rPr>
          <w:rStyle w:val="13"/>
          <w:rFonts w:ascii="Times New Roman" w:hAnsi="Times New Roman"/>
          <w:color w:val="auto"/>
          <w:sz w:val="24"/>
          <w:szCs w:val="24"/>
          <w:u w:val="none"/>
          <w:shd w:val="clear" w:color="auto" w:fill="FFFFFF"/>
        </w:rPr>
        <w:fldChar w:fldCharType="end"/>
      </w:r>
      <w:r>
        <w:rPr>
          <w:rFonts w:ascii="Times New Roman" w:hAnsi="Times New Roman"/>
          <w:sz w:val="24"/>
          <w:szCs w:val="24"/>
          <w:shd w:val="clear" w:color="auto" w:fill="FFFFFF"/>
        </w:rPr>
        <w:t>, </w:t>
      </w:r>
      <w:r>
        <w:fldChar w:fldCharType="begin"/>
      </w:r>
      <w:r>
        <w:instrText xml:space="preserve"> HYPERLINK "https://www.emerald.com/insight/search?q=Vincent%20Okwudiba%20Anyika" \o "Vincent Okwudiba Anyika" </w:instrText>
      </w:r>
      <w:r>
        <w:fldChar w:fldCharType="separate"/>
      </w:r>
      <w:r>
        <w:rPr>
          <w:rStyle w:val="13"/>
          <w:rFonts w:ascii="Times New Roman" w:hAnsi="Times New Roman"/>
          <w:color w:val="auto"/>
          <w:sz w:val="24"/>
          <w:szCs w:val="24"/>
          <w:u w:val="none"/>
          <w:shd w:val="clear" w:color="auto" w:fill="FFFFFF"/>
        </w:rPr>
        <w:t>Anyika, V. O.</w:t>
      </w:r>
      <w:r>
        <w:rPr>
          <w:rStyle w:val="13"/>
          <w:rFonts w:ascii="Times New Roman" w:hAnsi="Times New Roman"/>
          <w:color w:val="auto"/>
          <w:sz w:val="24"/>
          <w:szCs w:val="24"/>
          <w:u w:val="none"/>
          <w:shd w:val="clear" w:color="auto" w:fill="FFFFFF"/>
        </w:rPr>
        <w:fldChar w:fldCharType="end"/>
      </w:r>
      <w:r>
        <w:rPr>
          <w:rFonts w:ascii="Times New Roman" w:hAnsi="Times New Roman"/>
          <w:sz w:val="24"/>
          <w:szCs w:val="24"/>
          <w:shd w:val="clear" w:color="auto" w:fill="FFFFFF"/>
        </w:rPr>
        <w:t> &amp; </w:t>
      </w:r>
      <w:r>
        <w:fldChar w:fldCharType="begin"/>
      </w:r>
      <w:r>
        <w:instrText xml:space="preserve"> HYPERLINK "https://www.emerald.com/insight/search?q=Emmanuel%20Mutambara" \o "Emmanuel Mutambara" </w:instrText>
      </w:r>
      <w:r>
        <w:fldChar w:fldCharType="separate"/>
      </w:r>
      <w:r>
        <w:rPr>
          <w:rStyle w:val="13"/>
          <w:rFonts w:ascii="Times New Roman" w:hAnsi="Times New Roman"/>
          <w:color w:val="auto"/>
          <w:sz w:val="24"/>
          <w:szCs w:val="24"/>
          <w:u w:val="none"/>
          <w:shd w:val="clear" w:color="auto" w:fill="FFFFFF"/>
        </w:rPr>
        <w:t>Mutambara, E.</w:t>
      </w:r>
      <w:r>
        <w:rPr>
          <w:rStyle w:val="13"/>
          <w:rFonts w:ascii="Times New Roman" w:hAnsi="Times New Roman"/>
          <w:color w:val="auto"/>
          <w:sz w:val="24"/>
          <w:szCs w:val="24"/>
          <w:u w:val="none"/>
          <w:shd w:val="clear" w:color="auto" w:fill="FFFFFF"/>
        </w:rPr>
        <w:fldChar w:fldCharType="end"/>
      </w:r>
      <w:r>
        <w:rPr>
          <w:rFonts w:ascii="Times New Roman" w:hAnsi="Times New Roman"/>
          <w:sz w:val="24"/>
          <w:szCs w:val="24"/>
          <w:shd w:val="clear" w:color="auto" w:fill="FFFFFF"/>
        </w:rPr>
        <w:t xml:space="preserve">, </w:t>
      </w:r>
      <w:r>
        <w:rPr>
          <w:rFonts w:ascii="Times New Roman" w:hAnsi="Times New Roman"/>
          <w:i/>
          <w:sz w:val="24"/>
          <w:szCs w:val="24"/>
          <w:shd w:val="clear" w:color="auto" w:fill="FFFFFF"/>
        </w:rPr>
        <w:t xml:space="preserve">"The Impact of Climate Change on Food and Human </w:t>
      </w:r>
      <w:r>
        <w:rPr>
          <w:rFonts w:ascii="Times New Roman" w:hAnsi="Times New Roman"/>
          <w:i/>
          <w:sz w:val="24"/>
          <w:szCs w:val="24"/>
          <w:shd w:val="clear" w:color="auto" w:fill="FFFFFF"/>
        </w:rPr>
        <w:tab/>
      </w:r>
      <w:r>
        <w:rPr>
          <w:rFonts w:ascii="Times New Roman" w:hAnsi="Times New Roman"/>
          <w:i/>
          <w:sz w:val="24"/>
          <w:szCs w:val="24"/>
          <w:shd w:val="clear" w:color="auto" w:fill="FFFFFF"/>
        </w:rPr>
        <w:t>Security in Nigeria"</w:t>
      </w:r>
      <w:r>
        <w:rPr>
          <w:rFonts w:ascii="Times New Roman" w:hAnsi="Times New Roman"/>
          <w:sz w:val="24"/>
          <w:szCs w:val="24"/>
          <w:shd w:val="clear" w:color="auto" w:fill="FFFFFF"/>
        </w:rPr>
        <w:t>, </w:t>
      </w:r>
      <w:r>
        <w:fldChar w:fldCharType="begin"/>
      </w:r>
      <w:r>
        <w:instrText xml:space="preserve"> HYPERLINK "https://www.emerald.com/insight/publication/issn/1756-8692" </w:instrText>
      </w:r>
      <w:r>
        <w:fldChar w:fldCharType="separate"/>
      </w:r>
      <w:r>
        <w:rPr>
          <w:rStyle w:val="13"/>
          <w:rFonts w:ascii="Times New Roman" w:hAnsi="Times New Roman"/>
          <w:b/>
          <w:color w:val="auto"/>
          <w:sz w:val="24"/>
          <w:szCs w:val="24"/>
          <w:u w:val="none"/>
          <w:shd w:val="clear" w:color="auto" w:fill="FFFFFF"/>
        </w:rPr>
        <w:t>International Journal of Climate Change Strategies and Management</w:t>
      </w:r>
      <w:r>
        <w:rPr>
          <w:rStyle w:val="13"/>
          <w:rFonts w:ascii="Times New Roman" w:hAnsi="Times New Roman"/>
          <w:b/>
          <w:color w:val="auto"/>
          <w:sz w:val="24"/>
          <w:szCs w:val="24"/>
          <w:u w:val="none"/>
          <w:shd w:val="clear" w:color="auto" w:fill="FFFFFF"/>
        </w:rPr>
        <w:fldChar w:fldCharType="end"/>
      </w:r>
      <w:r>
        <w:rPr>
          <w:rFonts w:ascii="Times New Roman" w:hAnsi="Times New Roman"/>
          <w:b/>
          <w:sz w:val="24"/>
          <w:szCs w:val="24"/>
          <w:shd w:val="clear" w:color="auto" w:fill="FFFFFF"/>
        </w:rPr>
        <w:t>,</w:t>
      </w:r>
      <w:r>
        <w:rPr>
          <w:rFonts w:ascii="Times New Roman" w:hAnsi="Times New Roman"/>
          <w:sz w:val="24"/>
          <w:szCs w:val="24"/>
          <w:shd w:val="clear" w:color="auto" w:fill="FFFFFF"/>
        </w:rPr>
        <w:t xml:space="preserve"> 14(2), 2022, 148-167, </w:t>
      </w:r>
      <w:r>
        <w:fldChar w:fldCharType="begin"/>
      </w:r>
      <w:r>
        <w:instrText xml:space="preserve"> HYPERLINK "https://doi.org/10.1108/IJCCSM-11-2020-0119" \o "DOI: https://doi.org/10.1108/IJCCSM-11-2020-0119" </w:instrText>
      </w:r>
      <w:r>
        <w:fldChar w:fldCharType="separate"/>
      </w:r>
      <w:r>
        <w:rPr>
          <w:rStyle w:val="13"/>
          <w:rFonts w:ascii="Times New Roman" w:hAnsi="Times New Roman"/>
          <w:color w:val="auto"/>
          <w:sz w:val="24"/>
          <w:szCs w:val="24"/>
          <w:u w:val="none"/>
          <w:shd w:val="clear" w:color="auto" w:fill="FFFFFF"/>
        </w:rPr>
        <w:t>https://doi.org/10.1108/IJCCSM-11-2020-0119</w:t>
      </w:r>
      <w:r>
        <w:rPr>
          <w:rStyle w:val="13"/>
          <w:rFonts w:ascii="Times New Roman" w:hAnsi="Times New Roman"/>
          <w:color w:val="auto"/>
          <w:sz w:val="24"/>
          <w:szCs w:val="24"/>
          <w:u w:val="none"/>
          <w:shd w:val="clear" w:color="auto" w:fill="FFFFFF"/>
        </w:rPr>
        <w:fldChar w:fldCharType="end"/>
      </w:r>
      <w:r>
        <w:rPr>
          <w:rFonts w:ascii="Times New Roman" w:hAnsi="Times New Roman"/>
          <w:sz w:val="24"/>
          <w:szCs w:val="24"/>
          <w:shd w:val="clear" w:color="auto" w:fill="FFFFFF"/>
        </w:rPr>
        <w:t xml:space="preserve"> </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Archana M., </w:t>
      </w:r>
      <w:r>
        <w:fldChar w:fldCharType="begin"/>
      </w:r>
      <w:r>
        <w:instrText xml:space="preserve"> HYPERLINK "https://ecologicalprocesses.springeropen.com/articles/10.1186/s13717-020-0218-0" \l "auth-M_-Hanief-Aff2" </w:instrText>
      </w:r>
      <w:r>
        <w:fldChar w:fldCharType="separate"/>
      </w:r>
      <w:r>
        <w:rPr>
          <w:rStyle w:val="13"/>
          <w:rFonts w:ascii="Times New Roman" w:hAnsi="Times New Roman"/>
          <w:color w:val="auto"/>
          <w:sz w:val="24"/>
          <w:szCs w:val="24"/>
          <w:u w:val="none"/>
        </w:rPr>
        <w:t>Hanief</w:t>
      </w:r>
      <w:r>
        <w:rPr>
          <w:rStyle w:val="13"/>
          <w:rFonts w:ascii="Times New Roman" w:hAnsi="Times New Roman"/>
          <w:color w:val="auto"/>
          <w:sz w:val="24"/>
          <w:szCs w:val="24"/>
          <w:u w:val="none"/>
        </w:rPr>
        <w:fldChar w:fldCharType="end"/>
      </w:r>
      <w:r>
        <w:rPr>
          <w:rFonts w:ascii="Times New Roman" w:hAnsi="Times New Roman"/>
          <w:sz w:val="24"/>
          <w:szCs w:val="24"/>
        </w:rPr>
        <w:t xml:space="preserve"> M, </w:t>
      </w:r>
      <w:r>
        <w:fldChar w:fldCharType="begin"/>
      </w:r>
      <w:r>
        <w:instrText xml:space="preserve"> HYPERLINK "https://ecologicalprocesses.springeropen.com/articles/10.1186/s13717-020-0218-0" \l "auth-J_-Dinakaran-Aff3" </w:instrText>
      </w:r>
      <w:r>
        <w:fldChar w:fldCharType="separate"/>
      </w:r>
      <w:r>
        <w:rPr>
          <w:rStyle w:val="13"/>
          <w:rFonts w:ascii="Times New Roman" w:hAnsi="Times New Roman"/>
          <w:color w:val="auto"/>
          <w:sz w:val="24"/>
          <w:szCs w:val="24"/>
          <w:u w:val="none"/>
        </w:rPr>
        <w:t>Dinakaran</w:t>
      </w:r>
      <w:r>
        <w:rPr>
          <w:rStyle w:val="13"/>
          <w:rFonts w:ascii="Times New Roman" w:hAnsi="Times New Roman"/>
          <w:color w:val="auto"/>
          <w:sz w:val="24"/>
          <w:szCs w:val="24"/>
          <w:u w:val="none"/>
        </w:rPr>
        <w:fldChar w:fldCharType="end"/>
      </w:r>
      <w:r>
        <w:rPr>
          <w:rFonts w:ascii="Times New Roman" w:hAnsi="Times New Roman"/>
          <w:sz w:val="24"/>
          <w:szCs w:val="24"/>
        </w:rPr>
        <w:t xml:space="preserve"> J. &amp; </w:t>
      </w:r>
      <w:r>
        <w:fldChar w:fldCharType="begin"/>
      </w:r>
      <w:r>
        <w:instrText xml:space="preserve"> HYPERLINK "https://ecologicalprocesses.springeropen.com/articles/10.1186/s13717-020-0218-0" \l "auth-K__S_-Rao-Aff4" </w:instrText>
      </w:r>
      <w:r>
        <w:fldChar w:fldCharType="separate"/>
      </w:r>
      <w:r>
        <w:rPr>
          <w:rStyle w:val="13"/>
          <w:rFonts w:ascii="Times New Roman" w:hAnsi="Times New Roman"/>
          <w:color w:val="auto"/>
          <w:sz w:val="24"/>
          <w:szCs w:val="24"/>
          <w:u w:val="none"/>
        </w:rPr>
        <w:t>Rao</w:t>
      </w:r>
      <w:r>
        <w:rPr>
          <w:rStyle w:val="13"/>
          <w:rFonts w:ascii="Times New Roman" w:hAnsi="Times New Roman"/>
          <w:color w:val="auto"/>
          <w:sz w:val="24"/>
          <w:szCs w:val="24"/>
          <w:u w:val="none"/>
        </w:rPr>
        <w:fldChar w:fldCharType="end"/>
      </w:r>
      <w:r>
        <w:rPr>
          <w:rFonts w:ascii="Times New Roman" w:hAnsi="Times New Roman"/>
          <w:sz w:val="24"/>
          <w:szCs w:val="24"/>
        </w:rPr>
        <w:t xml:space="preserve"> K. S. </w:t>
      </w:r>
      <w:r>
        <w:rPr>
          <w:rFonts w:ascii="Times New Roman" w:hAnsi="Times New Roman"/>
          <w:bCs/>
          <w:i/>
          <w:sz w:val="24"/>
          <w:szCs w:val="24"/>
        </w:rPr>
        <w:t>Soil Moisture Controls the Spatio-temporal Pattern of Soil Respiration under Different Land use Systems in a Semi-arid Ecosystem of Delhi, India</w:t>
      </w:r>
      <w:r>
        <w:rPr>
          <w:rFonts w:ascii="Times New Roman" w:hAnsi="Times New Roman"/>
          <w:bCs/>
          <w:sz w:val="24"/>
          <w:szCs w:val="24"/>
        </w:rPr>
        <w:t>,</w:t>
      </w:r>
      <w:r>
        <w:rPr>
          <w:rFonts w:ascii="Times New Roman" w:hAnsi="Times New Roman"/>
          <w:sz w:val="24"/>
          <w:szCs w:val="24"/>
        </w:rPr>
        <w:t xml:space="preserve"> </w:t>
      </w:r>
      <w:r>
        <w:fldChar w:fldCharType="begin"/>
      </w:r>
      <w:r>
        <w:instrText xml:space="preserve"> HYPERLINK "https://ecologicalprocesses.springeropen.com/" </w:instrText>
      </w:r>
      <w:r>
        <w:fldChar w:fldCharType="separate"/>
      </w:r>
      <w:r>
        <w:rPr>
          <w:rStyle w:val="13"/>
          <w:rFonts w:ascii="Times New Roman" w:hAnsi="Times New Roman"/>
          <w:b/>
          <w:iCs/>
          <w:color w:val="auto"/>
          <w:sz w:val="24"/>
          <w:szCs w:val="24"/>
          <w:u w:val="none"/>
        </w:rPr>
        <w:t>Ecological Processes</w:t>
      </w:r>
      <w:r>
        <w:rPr>
          <w:rStyle w:val="13"/>
          <w:rFonts w:ascii="Times New Roman" w:hAnsi="Times New Roman"/>
          <w:b/>
          <w:iCs/>
          <w:color w:val="auto"/>
          <w:sz w:val="24"/>
          <w:szCs w:val="24"/>
          <w:u w:val="none"/>
        </w:rPr>
        <w:fldChar w:fldCharType="end"/>
      </w:r>
      <w:r>
        <w:rPr>
          <w:rFonts w:ascii="Times New Roman" w:hAnsi="Times New Roman"/>
          <w:b/>
          <w:sz w:val="24"/>
          <w:szCs w:val="24"/>
        </w:rPr>
        <w:t> </w:t>
      </w:r>
      <w:r>
        <w:rPr>
          <w:rFonts w:ascii="Times New Roman" w:hAnsi="Times New Roman"/>
          <w:bCs/>
          <w:sz w:val="24"/>
          <w:szCs w:val="24"/>
        </w:rPr>
        <w:t>,9(15),2020, 3446</w:t>
      </w:r>
    </w:p>
    <w:p>
      <w:pPr>
        <w:spacing w:after="240" w:line="276" w:lineRule="auto"/>
        <w:ind w:left="720" w:hanging="720"/>
        <w:jc w:val="both"/>
        <w:rPr>
          <w:rFonts w:ascii="Times New Roman" w:hAnsi="Times New Roman"/>
          <w:bCs/>
          <w:sz w:val="24"/>
          <w:szCs w:val="24"/>
        </w:rPr>
      </w:pPr>
      <w:r>
        <w:rPr>
          <w:rFonts w:ascii="Times New Roman" w:hAnsi="Times New Roman"/>
          <w:iCs/>
          <w:sz w:val="24"/>
          <w:szCs w:val="24"/>
        </w:rPr>
        <w:t>Arief H.,  Desi N., &amp; Dede S</w:t>
      </w:r>
      <w:r>
        <w:rPr>
          <w:rFonts w:ascii="Times New Roman" w:hAnsi="Times New Roman"/>
          <w:i/>
          <w:iCs/>
          <w:sz w:val="24"/>
          <w:szCs w:val="24"/>
        </w:rPr>
        <w:t>.</w:t>
      </w:r>
      <w:r>
        <w:rPr>
          <w:rFonts w:ascii="Times New Roman" w:hAnsi="Times New Roman"/>
          <w:bCs/>
          <w:sz w:val="24"/>
          <w:szCs w:val="24"/>
        </w:rPr>
        <w:t xml:space="preserve"> </w:t>
      </w:r>
      <w:r>
        <w:rPr>
          <w:rFonts w:ascii="Times New Roman" w:hAnsi="Times New Roman"/>
          <w:bCs/>
          <w:i/>
          <w:sz w:val="24"/>
          <w:szCs w:val="24"/>
        </w:rPr>
        <w:t xml:space="preserve">Development of Quick Test Method for Soil pH, Nitrate, Phosphorus, and Potassium Combining Chemicals and Phone Cellular Application, </w:t>
      </w:r>
      <w:r>
        <w:rPr>
          <w:rFonts w:ascii="Times New Roman" w:hAnsi="Times New Roman"/>
          <w:b/>
          <w:bCs/>
          <w:sz w:val="24"/>
          <w:szCs w:val="24"/>
        </w:rPr>
        <w:t>AGRIVITA</w:t>
      </w:r>
      <w:r>
        <w:rPr>
          <w:rFonts w:ascii="Times New Roman" w:hAnsi="Times New Roman"/>
          <w:bCs/>
          <w:sz w:val="24"/>
          <w:szCs w:val="24"/>
        </w:rPr>
        <w:t xml:space="preserve"> 43(2),2021 </w:t>
      </w:r>
      <w:r>
        <w:fldChar w:fldCharType="begin"/>
      </w:r>
      <w:r>
        <w:instrText xml:space="preserve"> HYPERLINK "http://agrivita.ub.ac.id/" </w:instrText>
      </w:r>
      <w:r>
        <w:fldChar w:fldCharType="separate"/>
      </w:r>
      <w:r>
        <w:rPr>
          <w:rStyle w:val="13"/>
          <w:rFonts w:ascii="Times New Roman" w:hAnsi="Times New Roman"/>
          <w:bCs/>
          <w:color w:val="auto"/>
          <w:sz w:val="24"/>
          <w:szCs w:val="24"/>
          <w:u w:val="none"/>
        </w:rPr>
        <w:t>http://agrivita.ub.ac.id/</w:t>
      </w:r>
      <w:r>
        <w:rPr>
          <w:rStyle w:val="13"/>
          <w:rFonts w:ascii="Times New Roman" w:hAnsi="Times New Roman"/>
          <w:bCs/>
          <w:color w:val="auto"/>
          <w:sz w:val="24"/>
          <w:szCs w:val="24"/>
          <w:u w:val="none"/>
        </w:rPr>
        <w:fldChar w:fldCharType="end"/>
      </w:r>
    </w:p>
    <w:p>
      <w:pPr>
        <w:tabs>
          <w:tab w:val="left" w:pos="540"/>
        </w:tabs>
        <w:spacing w:after="240" w:line="276" w:lineRule="auto"/>
        <w:jc w:val="both"/>
        <w:rPr>
          <w:rFonts w:ascii="Times New Roman" w:hAnsi="Times New Roman"/>
          <w:color w:val="000000"/>
          <w:sz w:val="24"/>
          <w:szCs w:val="24"/>
        </w:rPr>
      </w:pPr>
      <w:r>
        <w:rPr>
          <w:rFonts w:ascii="Times New Roman" w:hAnsi="Times New Roman"/>
          <w:color w:val="000000"/>
          <w:sz w:val="24"/>
          <w:szCs w:val="24"/>
        </w:rPr>
        <w:t xml:space="preserve">Arshad M., Ansari, A. R., Qadir, R., Tahir, M. H., Nadeem, A., Mehmood, T., Alhumade, H. &amp; </w:t>
      </w:r>
      <w:r>
        <w:rPr>
          <w:rFonts w:ascii="Times New Roman" w:hAnsi="Times New Roman"/>
          <w:color w:val="000000"/>
          <w:sz w:val="24"/>
          <w:szCs w:val="24"/>
        </w:rPr>
        <w:tab/>
      </w:r>
      <w:r>
        <w:rPr>
          <w:rFonts w:ascii="Times New Roman" w:hAnsi="Times New Roman"/>
          <w:color w:val="000000"/>
          <w:sz w:val="24"/>
          <w:szCs w:val="24"/>
        </w:rPr>
        <w:t xml:space="preserve">Khan, N., </w:t>
      </w:r>
      <w:r>
        <w:rPr>
          <w:rFonts w:ascii="Times New Roman" w:hAnsi="Times New Roman"/>
          <w:i/>
          <w:color w:val="000000"/>
          <w:sz w:val="24"/>
          <w:szCs w:val="24"/>
        </w:rPr>
        <w:t xml:space="preserve">Green Electricity Generation from Biogas of Cattle Manure:An </w:t>
      </w:r>
      <w:r>
        <w:rPr>
          <w:rFonts w:ascii="Times New Roman" w:hAnsi="Times New Roman"/>
          <w:i/>
          <w:color w:val="000000"/>
          <w:sz w:val="24"/>
          <w:szCs w:val="24"/>
        </w:rPr>
        <w:tab/>
      </w:r>
      <w:r>
        <w:rPr>
          <w:rFonts w:ascii="Times New Roman" w:hAnsi="Times New Roman"/>
          <w:i/>
          <w:color w:val="000000"/>
          <w:sz w:val="24"/>
          <w:szCs w:val="24"/>
        </w:rPr>
        <w:t xml:space="preserve">Assessment of </w:t>
      </w:r>
      <w:r>
        <w:rPr>
          <w:rFonts w:ascii="Times New Roman" w:hAnsi="Times New Roman"/>
          <w:i/>
          <w:color w:val="000000"/>
          <w:sz w:val="24"/>
          <w:szCs w:val="24"/>
        </w:rPr>
        <w:tab/>
      </w:r>
      <w:r>
        <w:rPr>
          <w:rFonts w:ascii="Times New Roman" w:hAnsi="Times New Roman"/>
          <w:i/>
          <w:color w:val="000000"/>
          <w:sz w:val="24"/>
          <w:szCs w:val="24"/>
        </w:rPr>
        <w:t>Potential and Feasibility in Pakistan.</w:t>
      </w:r>
      <w:r>
        <w:rPr>
          <w:rFonts w:ascii="Times New Roman" w:hAnsi="Times New Roman"/>
          <w:color w:val="000000"/>
          <w:sz w:val="24"/>
          <w:szCs w:val="24"/>
        </w:rPr>
        <w:t> </w:t>
      </w:r>
      <w:r>
        <w:rPr>
          <w:rFonts w:ascii="Times New Roman" w:hAnsi="Times New Roman"/>
          <w:b/>
          <w:iCs/>
          <w:color w:val="000000"/>
          <w:sz w:val="24"/>
          <w:szCs w:val="24"/>
        </w:rPr>
        <w:t>Front. Energy Res.</w:t>
      </w:r>
      <w:r>
        <w:rPr>
          <w:rFonts w:ascii="Times New Roman" w:hAnsi="Times New Roman"/>
          <w:iCs/>
          <w:color w:val="000000"/>
          <w:sz w:val="24"/>
          <w:szCs w:val="24"/>
        </w:rPr>
        <w:t>,</w:t>
      </w:r>
      <w:r>
        <w:rPr>
          <w:rFonts w:ascii="Times New Roman" w:hAnsi="Times New Roman"/>
          <w:color w:val="000000"/>
          <w:sz w:val="24"/>
          <w:szCs w:val="24"/>
        </w:rPr>
        <w:t xml:space="preserve"> 10, 2022, 911485. doi: </w:t>
      </w:r>
      <w:r>
        <w:rPr>
          <w:rFonts w:ascii="Times New Roman" w:hAnsi="Times New Roman"/>
          <w:color w:val="000000"/>
          <w:sz w:val="24"/>
          <w:szCs w:val="24"/>
        </w:rPr>
        <w:tab/>
      </w:r>
      <w:r>
        <w:rPr>
          <w:rFonts w:ascii="Times New Roman" w:hAnsi="Times New Roman"/>
          <w:color w:val="000000"/>
          <w:sz w:val="24"/>
          <w:szCs w:val="24"/>
        </w:rPr>
        <w:t>10.3389/fenrg.2022.911485</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Arunrat N.,Kongsurakan  P., Sereenonchai S., &amp; Ryusuke Hatano R., </w:t>
      </w:r>
      <w:r>
        <w:rPr>
          <w:rFonts w:ascii="Times New Roman" w:hAnsi="Times New Roman"/>
          <w:i/>
          <w:color w:val="000000" w:themeColor="text1"/>
          <w:sz w:val="24"/>
          <w:szCs w:val="24"/>
          <w14:textFill>
            <w14:solidFill>
              <w14:schemeClr w14:val="tx1"/>
            </w14:solidFill>
          </w14:textFill>
        </w:rPr>
        <w:t>Soil Organic Carbon in Sandy Paddy Fields of Northeast Thailand: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Agronomy, </w:t>
      </w:r>
      <w:r>
        <w:rPr>
          <w:rFonts w:ascii="Times New Roman" w:hAnsi="Times New Roman"/>
          <w:color w:val="000000" w:themeColor="text1"/>
          <w:sz w:val="24"/>
          <w:szCs w:val="24"/>
          <w14:textFill>
            <w14:solidFill>
              <w14:schemeClr w14:val="tx1"/>
            </w14:solidFill>
          </w14:textFill>
        </w:rPr>
        <w:t>10(8), 2020, 1061 https://doi.org/10.3390/agronomy10081061</w:t>
      </w:r>
    </w:p>
    <w:p>
      <w:pPr>
        <w:spacing w:after="240" w:line="276" w:lineRule="auto"/>
        <w:ind w:left="720" w:hanging="720"/>
        <w:jc w:val="both"/>
        <w:rPr>
          <w:rStyle w:val="13"/>
          <w:rFonts w:ascii="Times New Roman" w:hAnsi="Times New Roman"/>
          <w:color w:val="auto"/>
          <w:sz w:val="24"/>
          <w:szCs w:val="24"/>
          <w:u w:val="none"/>
        </w:rPr>
      </w:pPr>
      <w:r>
        <w:rPr>
          <w:rFonts w:ascii="Times New Roman" w:hAnsi="Times New Roman"/>
          <w:color w:val="000000"/>
          <w:sz w:val="24"/>
          <w:szCs w:val="24"/>
        </w:rPr>
        <w:t xml:space="preserve">Audrey C., </w:t>
      </w:r>
      <w:r>
        <w:rPr>
          <w:rFonts w:ascii="Times New Roman" w:hAnsi="Times New Roman"/>
          <w:i/>
          <w:color w:val="000000"/>
          <w:sz w:val="24"/>
          <w:szCs w:val="24"/>
        </w:rPr>
        <w:t xml:space="preserve">Something Stinks: The Need for Stronger Agricultural Waste Regulations, </w:t>
      </w:r>
      <w:r>
        <w:rPr>
          <w:rFonts w:ascii="Times New Roman" w:hAnsi="Times New Roman"/>
          <w:b/>
          <w:color w:val="000000"/>
          <w:sz w:val="24"/>
          <w:szCs w:val="24"/>
        </w:rPr>
        <w:t>Rev</w:t>
      </w:r>
      <w:r>
        <w:rPr>
          <w:rFonts w:ascii="Times New Roman" w:hAnsi="Times New Roman"/>
          <w:color w:val="000000"/>
          <w:sz w:val="24"/>
          <w:szCs w:val="24"/>
        </w:rPr>
        <w:t xml:space="preserve">.,1541, 2022, Available at: </w:t>
      </w:r>
      <w:r>
        <w:fldChar w:fldCharType="begin"/>
      </w:r>
      <w:r>
        <w:instrText xml:space="preserve"> HYPERLINK "https://scholarlycommons.law.wlu.edu/wlulr/vol79/iss4/6" </w:instrText>
      </w:r>
      <w:r>
        <w:fldChar w:fldCharType="separate"/>
      </w:r>
      <w:r>
        <w:rPr>
          <w:rStyle w:val="13"/>
          <w:rFonts w:ascii="Times New Roman" w:hAnsi="Times New Roman"/>
          <w:color w:val="auto"/>
          <w:sz w:val="24"/>
          <w:szCs w:val="24"/>
          <w:u w:val="none"/>
        </w:rPr>
        <w:t>https://scholarlycommons.law.wlu.edu/wlulr/vol79/iss4/6</w:t>
      </w:r>
      <w:r>
        <w:rPr>
          <w:rStyle w:val="13"/>
          <w:rFonts w:ascii="Times New Roman" w:hAnsi="Times New Roman"/>
          <w:color w:val="auto"/>
          <w:sz w:val="24"/>
          <w:szCs w:val="24"/>
          <w:u w:val="none"/>
        </w:rPr>
        <w:fldChar w:fldCharType="end"/>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Babett, G., Jenő, S., Ágnes, N., Erika, L. &amp; László, V., </w:t>
      </w:r>
      <w:r>
        <w:rPr>
          <w:rFonts w:ascii="Times New Roman" w:hAnsi="Times New Roman"/>
          <w:i/>
          <w:sz w:val="24"/>
          <w:szCs w:val="24"/>
        </w:rPr>
        <w:t>Influence of microbial inoculants on co-composting of lignocellulosic crop residues with farm animal manure: A review</w:t>
      </w:r>
      <w:r>
        <w:rPr>
          <w:rFonts w:ascii="Times New Roman" w:hAnsi="Times New Roman"/>
          <w:sz w:val="24"/>
          <w:szCs w:val="24"/>
        </w:rPr>
        <w:t xml:space="preserve">, </w:t>
      </w:r>
      <w:r>
        <w:rPr>
          <w:rFonts w:ascii="Times New Roman" w:hAnsi="Times New Roman"/>
          <w:b/>
          <w:sz w:val="24"/>
          <w:szCs w:val="24"/>
        </w:rPr>
        <w:t>Journal of Environmental Management</w:t>
      </w:r>
      <w:r>
        <w:rPr>
          <w:rFonts w:ascii="Times New Roman" w:hAnsi="Times New Roman"/>
          <w:sz w:val="24"/>
          <w:szCs w:val="24"/>
        </w:rPr>
        <w:t>, 302, 2022, 114088, ISSN 0301-4797, https://doi.org/10.1016/j.jenvman.2021.114088</w:t>
      </w:r>
    </w:p>
    <w:p>
      <w:pPr>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 xml:space="preserve">Bajagain,R., Guatam P. Le, T. N., Dahal R. H.,, Kim J., &amp; Jeong, S., </w:t>
      </w:r>
      <w:r>
        <w:rPr>
          <w:rFonts w:ascii="Times New Roman" w:hAnsi="Times New Roman"/>
          <w:i/>
          <w:sz w:val="24"/>
          <w:szCs w:val="24"/>
        </w:rPr>
        <w:t xml:space="preserve">Isolation and Screening of Odor-Reducing Ammonia release in Combination with Surfactant Foam, </w:t>
      </w:r>
      <w:r>
        <w:rPr>
          <w:rFonts w:ascii="Times New Roman" w:hAnsi="Times New Roman"/>
          <w:b/>
          <w:sz w:val="24"/>
          <w:szCs w:val="24"/>
        </w:rPr>
        <w:t>Appl. Sci.</w:t>
      </w:r>
      <w:r>
        <w:rPr>
          <w:rFonts w:ascii="Times New Roman" w:hAnsi="Times New Roman"/>
          <w:sz w:val="24"/>
          <w:szCs w:val="24"/>
        </w:rPr>
        <w:t>,</w:t>
      </w:r>
      <w:r>
        <w:rPr>
          <w:rFonts w:ascii="Times New Roman" w:hAnsi="Times New Roman"/>
          <w:b/>
          <w:sz w:val="24"/>
          <w:szCs w:val="24"/>
        </w:rPr>
        <w:t xml:space="preserve"> </w:t>
      </w:r>
      <w:r>
        <w:rPr>
          <w:rFonts w:ascii="Times New Roman" w:hAnsi="Times New Roman"/>
          <w:sz w:val="24"/>
          <w:szCs w:val="24"/>
        </w:rPr>
        <w:t>12, 2022, 1806</w:t>
      </w:r>
      <w:r>
        <w:rPr>
          <w:rFonts w:ascii="Times New Roman" w:hAnsi="Times New Roman"/>
          <w:b/>
          <w:sz w:val="24"/>
          <w:szCs w:val="24"/>
        </w:rPr>
        <w:t xml:space="preserve"> </w:t>
      </w:r>
    </w:p>
    <w:p>
      <w:pPr>
        <w:tabs>
          <w:tab w:val="left" w:pos="630"/>
        </w:tabs>
        <w:spacing w:after="240" w:line="276" w:lineRule="auto"/>
        <w:ind w:left="630" w:hanging="63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Bartlett H.,  Holmes V. S., Petrovan V., Williams V.J., Wood L.N., &amp; Balmford A., </w:t>
      </w:r>
      <w:r>
        <w:rPr>
          <w:rFonts w:ascii="Times New Roman" w:hAnsi="Times New Roman"/>
          <w:i/>
          <w:color w:val="000000" w:themeColor="text1"/>
          <w:sz w:val="24"/>
          <w:szCs w:val="24"/>
          <w14:textFill>
            <w14:solidFill>
              <w14:schemeClr w14:val="tx1"/>
            </w14:solidFill>
          </w14:textFill>
        </w:rPr>
        <w:t>Understanding the Relative Risks of Zoonosis Emergence under Contrasting Approaches to Meeting Livestock Product Demand</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Royal Society Open Science</w:t>
      </w:r>
      <w:r>
        <w:rPr>
          <w:rFonts w:ascii="Times New Roman" w:hAnsi="Times New Roman"/>
          <w:color w:val="000000" w:themeColor="text1"/>
          <w:sz w:val="24"/>
          <w:szCs w:val="24"/>
          <w14:textFill>
            <w14:solidFill>
              <w14:schemeClr w14:val="tx1"/>
            </w14:solidFill>
          </w14:textFill>
        </w:rPr>
        <w:t>, 9, 2022, 211573</w:t>
      </w:r>
    </w:p>
    <w:p>
      <w:pPr>
        <w:spacing w:after="240" w:line="276" w:lineRule="auto"/>
        <w:ind w:left="630" w:hanging="630"/>
        <w:jc w:val="both"/>
        <w:rPr>
          <w:rFonts w:ascii="Times New Roman" w:hAnsi="Times New Roman"/>
          <w:bCs/>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Bergmann, G. T., Bates, S. T.,  Eilers, K. G., Lauber, C. L., Caporaso, J. G. &amp; Walters, W. A.. </w:t>
      </w:r>
      <w:r>
        <w:rPr>
          <w:rFonts w:ascii="Times New Roman" w:hAnsi="Times New Roman"/>
          <w:bCs/>
          <w:color w:val="000000" w:themeColor="text1"/>
          <w:sz w:val="24"/>
          <w:szCs w:val="24"/>
          <w14:textFill>
            <w14:solidFill>
              <w14:schemeClr w14:val="tx1"/>
            </w14:solidFill>
          </w14:textFill>
        </w:rPr>
        <w:t xml:space="preserve">Chiang E, Schmidt ML, Berry MA, Biddanda BA, &amp; Burtner A, </w:t>
      </w:r>
      <w:r>
        <w:rPr>
          <w:rFonts w:ascii="Times New Roman" w:hAnsi="Times New Roman"/>
          <w:bCs/>
          <w:i/>
          <w:color w:val="000000" w:themeColor="text1"/>
          <w:sz w:val="24"/>
          <w:szCs w:val="24"/>
          <w14:textFill>
            <w14:solidFill>
              <w14:schemeClr w14:val="tx1"/>
            </w14:solidFill>
          </w14:textFill>
        </w:rPr>
        <w:t>Correction:</w:t>
      </w:r>
      <w:r>
        <w:rPr>
          <w:rFonts w:ascii="Times New Roman" w:hAnsi="Times New Roman"/>
          <w:bCs/>
          <w:color w:val="000000" w:themeColor="text1"/>
          <w:sz w:val="24"/>
          <w:szCs w:val="24"/>
          <w14:textFill>
            <w14:solidFill>
              <w14:schemeClr w14:val="tx1"/>
            </w14:solidFill>
          </w14:textFill>
        </w:rPr>
        <w:t xml:space="preserve"> </w:t>
      </w:r>
      <w:r>
        <w:rPr>
          <w:rFonts w:ascii="Times New Roman" w:hAnsi="Times New Roman"/>
          <w:bCs/>
          <w:i/>
          <w:color w:val="000000" w:themeColor="text1"/>
          <w:sz w:val="24"/>
          <w:szCs w:val="24"/>
          <w14:textFill>
            <w14:solidFill>
              <w14:schemeClr w14:val="tx1"/>
            </w14:solidFill>
          </w14:textFill>
        </w:rPr>
        <w:t>Verrucomicrobia are Prevalent in North-temperate Freshwater Lakes and Display Class-level Preferences between Lake Habitats</w:t>
      </w:r>
      <w:r>
        <w:rPr>
          <w:rFonts w:ascii="Times New Roman" w:hAnsi="Times New Roman"/>
          <w:bCs/>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PLOS ONE,</w:t>
      </w:r>
      <w:r>
        <w:rPr>
          <w:rFonts w:ascii="Times New Roman" w:hAnsi="Times New Roman"/>
          <w:bCs/>
          <w:color w:val="000000" w:themeColor="text1"/>
          <w:sz w:val="24"/>
          <w:szCs w:val="24"/>
          <w14:textFill>
            <w14:solidFill>
              <w14:schemeClr w14:val="tx1"/>
            </w14:solidFill>
          </w14:textFill>
        </w:rPr>
        <w:t xml:space="preserve"> 13(10): 2018, e0206396</w:t>
      </w:r>
      <w:r>
        <w:rPr>
          <w:rFonts w:ascii="Times New Roman" w:hAnsi="Times New Roman"/>
          <w:bCs/>
          <w:sz w:val="24"/>
          <w:szCs w:val="24"/>
        </w:rPr>
        <w:t>. </w:t>
      </w:r>
      <w:r>
        <w:fldChar w:fldCharType="begin"/>
      </w:r>
      <w:r>
        <w:instrText xml:space="preserve"> HYPERLINK "https://doi.org/10.1371/journal.pone.0206396" </w:instrText>
      </w:r>
      <w:r>
        <w:fldChar w:fldCharType="separate"/>
      </w:r>
      <w:r>
        <w:rPr>
          <w:rStyle w:val="13"/>
          <w:rFonts w:ascii="Times New Roman" w:hAnsi="Times New Roman"/>
          <w:bCs/>
          <w:color w:val="auto"/>
          <w:sz w:val="24"/>
          <w:szCs w:val="24"/>
          <w:u w:val="none"/>
        </w:rPr>
        <w:t>https://doi.org/10.1371/journal.pone.0206396</w:t>
      </w:r>
      <w:r>
        <w:rPr>
          <w:rStyle w:val="13"/>
          <w:rFonts w:ascii="Times New Roman" w:hAnsi="Times New Roman"/>
          <w:bCs/>
          <w:color w:val="auto"/>
          <w:sz w:val="24"/>
          <w:szCs w:val="24"/>
          <w:u w:val="none"/>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Bergmann, G. T., </w:t>
      </w:r>
      <w:r>
        <w:rPr>
          <w:rFonts w:ascii="Times New Roman" w:hAnsi="Times New Roman"/>
          <w:i/>
          <w:color w:val="000000" w:themeColor="text1"/>
          <w:sz w:val="24"/>
          <w:szCs w:val="24"/>
          <w14:textFill>
            <w14:solidFill>
              <w14:schemeClr w14:val="tx1"/>
            </w14:solidFill>
          </w14:textFill>
        </w:rPr>
        <w:t>Microbial Community Composition along the Digestive Tract in Forage-and-</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Grain-fed Bison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BMC Veterinary Research</w:t>
      </w:r>
      <w:r>
        <w:rPr>
          <w:rFonts w:ascii="Times New Roman" w:hAnsi="Times New Roman"/>
          <w:color w:val="000000" w:themeColor="text1"/>
          <w:sz w:val="24"/>
          <w:szCs w:val="24"/>
          <w14:textFill>
            <w14:solidFill>
              <w14:schemeClr w14:val="tx1"/>
            </w14:solidFill>
          </w14:textFill>
        </w:rPr>
        <w:t xml:space="preserve">, 13, 2017, 1-9 </w:t>
      </w:r>
    </w:p>
    <w:p>
      <w:pPr>
        <w:spacing w:after="240" w:line="276" w:lineRule="auto"/>
        <w:ind w:left="630" w:hanging="63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Bruggeman, F. J., Planqué, R., Molenaar, D. &amp; Teusink, B., </w:t>
      </w:r>
      <w:r>
        <w:rPr>
          <w:rFonts w:ascii="Times New Roman" w:hAnsi="Times New Roman"/>
          <w:i/>
          <w:color w:val="000000" w:themeColor="text1"/>
          <w:sz w:val="24"/>
          <w:szCs w:val="24"/>
          <w14:textFill>
            <w14:solidFill>
              <w14:schemeClr w14:val="tx1"/>
            </w14:solidFill>
          </w14:textFill>
        </w:rPr>
        <w:t xml:space="preserve">Searching for Principles of Microbial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Physiology</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FEMS microbiology reviews</w:t>
      </w:r>
      <w:r>
        <w:rPr>
          <w:rFonts w:ascii="Times New Roman" w:hAnsi="Times New Roman"/>
          <w:color w:val="000000" w:themeColor="text1"/>
          <w:sz w:val="24"/>
          <w:szCs w:val="24"/>
          <w14:textFill>
            <w14:solidFill>
              <w14:schemeClr w14:val="tx1"/>
            </w14:solidFill>
          </w14:textFill>
        </w:rPr>
        <w:t xml:space="preserve">, 44(6), 2020, 821–844, https://doi.org/10.1093/femsre/fuaa034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Bruno, P. M. N. &amp; Pingtao, D., </w:t>
      </w:r>
      <w:r>
        <w:rPr>
          <w:rFonts w:ascii="Times New Roman" w:hAnsi="Times New Roman"/>
          <w:i/>
          <w:color w:val="000000" w:themeColor="text1"/>
          <w:sz w:val="24"/>
          <w:szCs w:val="24"/>
          <w14:textFill>
            <w14:solidFill>
              <w14:schemeClr w14:val="tx1"/>
            </w14:solidFill>
          </w14:textFill>
        </w:rPr>
        <w:t>Thirty Years of Resistance: Zig-zag through the Plant Immune System</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The Plant Cell</w:t>
      </w:r>
      <w:r>
        <w:rPr>
          <w:rFonts w:ascii="Times New Roman" w:hAnsi="Times New Roman"/>
          <w:color w:val="000000" w:themeColor="text1"/>
          <w:sz w:val="24"/>
          <w:szCs w:val="24"/>
          <w14:textFill>
            <w14:solidFill>
              <w14:schemeClr w14:val="tx1"/>
            </w14:solidFill>
          </w14:textFill>
        </w:rPr>
        <w:t xml:space="preserve">, 34(5), 2022, 1447–1478, </w:t>
      </w:r>
      <w:r>
        <w:fldChar w:fldCharType="begin"/>
      </w:r>
      <w:r>
        <w:instrText xml:space="preserve"> HYPERLINK "https://doi.org/10.1093/plcell/koac041" </w:instrText>
      </w:r>
      <w:r>
        <w:fldChar w:fldCharType="separate"/>
      </w:r>
      <w:r>
        <w:rPr>
          <w:rFonts w:ascii="Times New Roman" w:hAnsi="Times New Roman"/>
          <w:color w:val="000000" w:themeColor="text1"/>
          <w:sz w:val="24"/>
          <w:szCs w:val="24"/>
          <w14:textFill>
            <w14:solidFill>
              <w14:schemeClr w14:val="tx1"/>
            </w14:solidFill>
          </w14:textFill>
        </w:rPr>
        <w:t>https://doi.org/10.1093/plcell/koac041</w:t>
      </w:r>
      <w:r>
        <w:rPr>
          <w:rFonts w:ascii="Times New Roman" w:hAnsi="Times New Roman"/>
          <w:color w:val="000000" w:themeColor="text1"/>
          <w:sz w:val="24"/>
          <w:szCs w:val="24"/>
          <w14:textFill>
            <w14:solidFill>
              <w14:schemeClr w14:val="tx1"/>
            </w14:solidFill>
          </w14:textFill>
        </w:rPr>
        <w:fldChar w:fldCharType="end"/>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Buivydas E., Kęstutis N., Kęstutis B. Z, Vidmantas Z., &amp; Mantas R., </w:t>
      </w:r>
      <w:r>
        <w:rPr>
          <w:rFonts w:ascii="Times New Roman" w:hAnsi="Times New Roman"/>
          <w:i/>
          <w:color w:val="000000" w:themeColor="text1"/>
          <w:sz w:val="24"/>
          <w:szCs w:val="24"/>
          <w14:textFill>
            <w14:solidFill>
              <w14:schemeClr w14:val="tx1"/>
            </w14:solidFill>
          </w14:textFill>
        </w:rPr>
        <w:t>"Biogas Production  Enhancement through Chicken Manure Co-Digestion with Pig Fat", </w:t>
      </w:r>
      <w:r>
        <w:rPr>
          <w:rFonts w:ascii="Times New Roman" w:hAnsi="Times New Roman"/>
          <w:b/>
          <w:iCs/>
          <w:color w:val="000000" w:themeColor="text1"/>
          <w:sz w:val="24"/>
          <w:szCs w:val="24"/>
          <w14:textFill>
            <w14:solidFill>
              <w14:schemeClr w14:val="tx1"/>
            </w14:solidFill>
          </w14:textFill>
        </w:rPr>
        <w:t>Applied Sciences</w:t>
      </w:r>
      <w:r>
        <w:rPr>
          <w:rFonts w:ascii="Times New Roman" w:hAnsi="Times New Roman"/>
          <w:b/>
          <w:i/>
          <w:color w:val="000000" w:themeColor="text1"/>
          <w:sz w:val="24"/>
          <w:szCs w:val="24"/>
          <w14:textFill>
            <w14:solidFill>
              <w14:schemeClr w14:val="tx1"/>
            </w14:solidFill>
          </w14:textFill>
        </w:rPr>
        <w:t>,</w:t>
      </w:r>
      <w:r>
        <w:rPr>
          <w:rFonts w:ascii="Times New Roman" w:hAnsi="Times New Roman"/>
          <w:i/>
          <w:color w:val="000000" w:themeColor="text1"/>
          <w:sz w:val="24"/>
          <w:szCs w:val="24"/>
          <w14:textFill>
            <w14:solidFill>
              <w14:schemeClr w14:val="tx1"/>
            </w14:solidFill>
          </w14:textFill>
        </w:rPr>
        <w:t> </w:t>
      </w:r>
      <w:r>
        <w:rPr>
          <w:rFonts w:ascii="Times New Roman" w:hAnsi="Times New Roman"/>
          <w:color w:val="000000" w:themeColor="text1"/>
          <w:sz w:val="24"/>
          <w:szCs w:val="24"/>
          <w14:textFill>
            <w14:solidFill>
              <w14:schemeClr w14:val="tx1"/>
            </w14:solidFill>
          </w14:textFill>
        </w:rPr>
        <w:t xml:space="preserve">12(9), 2022, 4652, https://doi.org/10.3390/app12094652 </w:t>
      </w:r>
    </w:p>
    <w:p>
      <w:pPr>
        <w:spacing w:after="240" w:line="276" w:lineRule="auto"/>
        <w:ind w:left="720" w:hanging="720"/>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Busby, P. E., Soman, C., Wagner, M. R., Friesen, M. L., Kremer, J. &amp; Bennett, A., </w:t>
      </w:r>
      <w:r>
        <w:rPr>
          <w:rFonts w:ascii="Times New Roman" w:hAnsi="Times New Roman"/>
          <w:i/>
          <w:iCs/>
          <w:color w:val="000000" w:themeColor="text1"/>
          <w:sz w:val="24"/>
          <w:szCs w:val="24"/>
          <w14:textFill>
            <w14:solidFill>
              <w14:schemeClr w14:val="tx1"/>
            </w14:solidFill>
          </w14:textFill>
        </w:rPr>
        <w:t xml:space="preserve">Research Priorities for Harnessing Plant Microbiomes in Sustainable </w:t>
      </w:r>
      <w:r>
        <w:rPr>
          <w:rFonts w:ascii="Times New Roman" w:hAnsi="Times New Roman"/>
          <w:i/>
          <w:color w:val="000000" w:themeColor="text1"/>
          <w:sz w:val="24"/>
          <w:szCs w:val="24"/>
          <w14:textFill>
            <w14:solidFill>
              <w14:schemeClr w14:val="tx1"/>
            </w14:solidFill>
          </w14:textFill>
        </w:rPr>
        <w:t>Agriculture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PLOS Biol.</w:t>
      </w:r>
      <w:r>
        <w:rPr>
          <w:rFonts w:ascii="Times New Roman" w:hAnsi="Times New Roman"/>
          <w:color w:val="000000" w:themeColor="text1"/>
          <w:sz w:val="24"/>
          <w:szCs w:val="24"/>
          <w14:textFill>
            <w14:solidFill>
              <w14:schemeClr w14:val="tx1"/>
            </w14:solidFill>
          </w14:textFill>
        </w:rPr>
        <w:t>, 15, 2017, e2001793, 10.1371/journal.pbio.2001793</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Campanhol, B. S., Beatriz D. R., Fernando C., Kelly J. D. M,, &amp; Sandra R. P.S., </w:t>
      </w:r>
      <w:r>
        <w:rPr>
          <w:rFonts w:ascii="Times New Roman" w:hAnsi="Times New Roman"/>
          <w:i/>
          <w:sz w:val="24"/>
          <w:szCs w:val="24"/>
        </w:rPr>
        <w:t>"Improvement of DOPA-Melanin Production by Aspergillus nidulans Using Eco-Friendly and Inexpensive Substrates",</w:t>
      </w:r>
      <w:r>
        <w:rPr>
          <w:rFonts w:ascii="Times New Roman" w:hAnsi="Times New Roman"/>
          <w:sz w:val="24"/>
          <w:szCs w:val="24"/>
        </w:rPr>
        <w:t> </w:t>
      </w:r>
      <w:r>
        <w:rPr>
          <w:rFonts w:ascii="Times New Roman" w:hAnsi="Times New Roman"/>
          <w:b/>
          <w:iCs/>
          <w:sz w:val="24"/>
          <w:szCs w:val="24"/>
        </w:rPr>
        <w:t>Journal of Fungi</w:t>
      </w:r>
      <w:r>
        <w:rPr>
          <w:rFonts w:ascii="Times New Roman" w:hAnsi="Times New Roman"/>
          <w:sz w:val="24"/>
          <w:szCs w:val="24"/>
        </w:rPr>
        <w:t xml:space="preserve">,  9(7), 2023, 714, https://doi.org/10.3390/jof9070714 </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Chaudhary, D.K., Khulan, A. &amp; Kim, J.</w:t>
      </w:r>
      <w:r>
        <w:rPr>
          <w:rFonts w:ascii="Times New Roman" w:hAnsi="Times New Roman"/>
          <w:color w:val="000000"/>
          <w:sz w:val="24"/>
          <w:szCs w:val="24"/>
        </w:rPr>
        <w:t xml:space="preserve"> </w:t>
      </w:r>
      <w:r>
        <w:rPr>
          <w:rFonts w:ascii="Times New Roman" w:hAnsi="Times New Roman"/>
          <w:i/>
          <w:sz w:val="24"/>
          <w:szCs w:val="24"/>
        </w:rPr>
        <w:t>Development of a Novel Cultivation Technique for Uncultured Soil Bacteria</w:t>
      </w:r>
      <w:r>
        <w:rPr>
          <w:rFonts w:ascii="Times New Roman" w:hAnsi="Times New Roman"/>
          <w:sz w:val="24"/>
          <w:szCs w:val="24"/>
        </w:rPr>
        <w:t>, </w:t>
      </w:r>
      <w:r>
        <w:rPr>
          <w:rFonts w:ascii="Times New Roman" w:hAnsi="Times New Roman"/>
          <w:b/>
          <w:sz w:val="24"/>
          <w:szCs w:val="24"/>
        </w:rPr>
        <w:t>Sci. Rep.</w:t>
      </w:r>
      <w:r>
        <w:rPr>
          <w:rFonts w:ascii="Times New Roman" w:hAnsi="Times New Roman"/>
          <w:sz w:val="24"/>
          <w:szCs w:val="24"/>
        </w:rPr>
        <w:t xml:space="preserve">, 9, 2019, 6666, https://doi.org/10.1038/s41598-019-43182-x </w:t>
      </w:r>
    </w:p>
    <w:p>
      <w:pPr>
        <w:spacing w:after="240" w:line="276" w:lineRule="auto"/>
        <w:ind w:left="720" w:hanging="720"/>
        <w:jc w:val="both"/>
        <w:rPr>
          <w:rStyle w:val="13"/>
          <w:rFonts w:ascii="Times New Roman" w:hAnsi="Times New Roman"/>
          <w:color w:val="000000" w:themeColor="text1"/>
          <w:sz w:val="24"/>
          <w:szCs w:val="24"/>
          <w:u w:val="none"/>
          <w14:textFill>
            <w14:solidFill>
              <w14:schemeClr w14:val="tx1"/>
            </w14:solidFill>
          </w14:textFill>
        </w:rPr>
      </w:pPr>
      <w:r>
        <w:rPr>
          <w:rFonts w:ascii="Times New Roman" w:hAnsi="Times New Roman"/>
          <w:sz w:val="24"/>
          <w:szCs w:val="24"/>
        </w:rPr>
        <w:t>Chen, J., Sinsabaugh, R.L., &amp; Van, G. K.J.,</w:t>
      </w:r>
      <w:r>
        <w:rPr>
          <w:rFonts w:ascii="Times New Roman" w:hAnsi="Times New Roman"/>
          <w:i/>
          <w:iCs/>
          <w:sz w:val="24"/>
          <w:szCs w:val="24"/>
        </w:rPr>
        <w:t xml:space="preserve"> Soil Extracellular Enzymes for Climate-smart and Resource-efficient Agroecosystems: </w:t>
      </w:r>
      <w:r>
        <w:rPr>
          <w:rFonts w:ascii="Times New Roman" w:hAnsi="Times New Roman"/>
          <w:b/>
          <w:bCs/>
          <w:i/>
          <w:iCs/>
          <w:sz w:val="24"/>
          <w:szCs w:val="24"/>
        </w:rPr>
        <w:t xml:space="preserve">Research priorities, </w:t>
      </w:r>
      <w:r>
        <w:rPr>
          <w:rFonts w:ascii="Times New Roman" w:hAnsi="Times New Roman"/>
          <w:b/>
          <w:bCs/>
          <w:sz w:val="24"/>
          <w:szCs w:val="24"/>
        </w:rPr>
        <w:t xml:space="preserve">PLOS Clim. </w:t>
      </w:r>
      <w:r>
        <w:rPr>
          <w:rFonts w:ascii="Times New Roman" w:hAnsi="Times New Roman"/>
          <w:sz w:val="24"/>
          <w:szCs w:val="24"/>
        </w:rPr>
        <w:t xml:space="preserve">2(5): 2023, e0000210. </w:t>
      </w:r>
      <w:r>
        <w:fldChar w:fldCharType="begin"/>
      </w:r>
      <w:r>
        <w:instrText xml:space="preserve"> HYPERLINK "https://doi.org/10.1371/journal.pclm.0000210" </w:instrText>
      </w:r>
      <w:r>
        <w:fldChar w:fldCharType="separate"/>
      </w:r>
      <w:r>
        <w:rPr>
          <w:rStyle w:val="13"/>
          <w:rFonts w:ascii="Times New Roman" w:hAnsi="Times New Roman"/>
          <w:color w:val="000000" w:themeColor="text1"/>
          <w:sz w:val="24"/>
          <w:szCs w:val="24"/>
          <w:u w:val="none"/>
          <w14:textFill>
            <w14:solidFill>
              <w14:schemeClr w14:val="tx1"/>
            </w14:solidFill>
          </w14:textFill>
        </w:rPr>
        <w:t>https://doi.org/10.1371/journal.pclm.0000210</w:t>
      </w:r>
      <w:r>
        <w:rPr>
          <w:rStyle w:val="13"/>
          <w:rFonts w:ascii="Times New Roman" w:hAnsi="Times New Roman"/>
          <w:color w:val="000000" w:themeColor="text1"/>
          <w:sz w:val="24"/>
          <w:szCs w:val="24"/>
          <w:u w:val="none"/>
          <w14:textFill>
            <w14:solidFill>
              <w14:schemeClr w14:val="tx1"/>
            </w14:solidFill>
          </w14:textFill>
        </w:rPr>
        <w:fldChar w:fldCharType="end"/>
      </w:r>
    </w:p>
    <w:p>
      <w:pPr>
        <w:spacing w:after="240" w:line="276" w:lineRule="auto"/>
        <w:ind w:left="720" w:hanging="720"/>
        <w:jc w:val="both"/>
        <w:rPr>
          <w:rStyle w:val="13"/>
          <w:rFonts w:ascii="Times New Roman" w:hAnsi="Times New Roman"/>
          <w:i/>
          <w:color w:val="000000" w:themeColor="text1"/>
          <w:sz w:val="24"/>
          <w:szCs w:val="24"/>
          <w:u w:val="none"/>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Clara, B., Arthur, G., Niels, T. &amp; Bruno, G., </w:t>
      </w:r>
      <w:r>
        <w:rPr>
          <w:rFonts w:ascii="Times New Roman" w:hAnsi="Times New Roman"/>
          <w:i/>
          <w:color w:val="000000" w:themeColor="text1"/>
          <w:sz w:val="24"/>
          <w:szCs w:val="24"/>
          <w14:textFill>
            <w14:solidFill>
              <w14:schemeClr w14:val="tx1"/>
            </w14:solidFill>
          </w14:textFill>
        </w:rPr>
        <w:t>Effects of Agroforestry on Grain Yield of Maize (Zea mays L.)- A Global Meta-Analysis,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 Sustain. Food Syst.</w:t>
      </w:r>
      <w:r>
        <w:rPr>
          <w:rFonts w:ascii="Times New Roman" w:hAnsi="Times New Roman"/>
          <w:color w:val="000000" w:themeColor="text1"/>
          <w:sz w:val="24"/>
          <w:szCs w:val="24"/>
          <w14:textFill>
            <w14:solidFill>
              <w14:schemeClr w14:val="tx1"/>
            </w14:solidFill>
          </w14:textFill>
        </w:rPr>
        <w:t>, 7, 2023</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Conant, R. T., Klopatek, J. M., Malin, R. C., &amp; Klopatek. C. C., </w:t>
      </w:r>
      <w:r>
        <w:rPr>
          <w:rFonts w:ascii="Times New Roman" w:hAnsi="Times New Roman"/>
          <w:i/>
          <w:iCs/>
          <w:sz w:val="24"/>
          <w:szCs w:val="24"/>
        </w:rPr>
        <w:t xml:space="preserve">Carbon Pools and Fluxes along an Environmental Gradient in Northern Arizona. </w:t>
      </w:r>
      <w:r>
        <w:rPr>
          <w:rFonts w:ascii="Times New Roman" w:hAnsi="Times New Roman"/>
          <w:b/>
          <w:bCs/>
          <w:sz w:val="24"/>
          <w:szCs w:val="24"/>
        </w:rPr>
        <w:t>Biogeochemistry</w:t>
      </w:r>
      <w:r>
        <w:rPr>
          <w:rFonts w:ascii="Times New Roman" w:hAnsi="Times New Roman"/>
          <w:sz w:val="24"/>
          <w:szCs w:val="24"/>
        </w:rPr>
        <w:t>, 43 (1): 2017, 43–61.</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Cui, X., Yue, P., Wu, W., Gong, Y., Li, K., Misselbrook, T., Goulding, K., &amp; Liu, X., </w:t>
      </w:r>
      <w:r>
        <w:rPr>
          <w:rFonts w:ascii="Times New Roman" w:hAnsi="Times New Roman"/>
          <w:i/>
          <w:iCs/>
          <w:sz w:val="24"/>
          <w:szCs w:val="24"/>
        </w:rPr>
        <w:t>The Growth and N Retention of Two Annual Desert Plants Varied Under Different Nitrogen Deposition Rates. </w:t>
      </w:r>
      <w:r>
        <w:rPr>
          <w:rFonts w:ascii="Times New Roman" w:hAnsi="Times New Roman"/>
          <w:bCs/>
          <w:sz w:val="24"/>
          <w:szCs w:val="24"/>
        </w:rPr>
        <w:t>Frontiers in plant science</w:t>
      </w:r>
      <w:r>
        <w:rPr>
          <w:rFonts w:ascii="Times New Roman" w:hAnsi="Times New Roman"/>
          <w:sz w:val="24"/>
          <w:szCs w:val="24"/>
        </w:rPr>
        <w:t xml:space="preserve">, 10, 2019, 356. https://doi.org/10.3389/fpls.2019.00356 </w:t>
      </w:r>
    </w:p>
    <w:p>
      <w:pPr>
        <w:spacing w:after="240" w:line="276" w:lineRule="auto"/>
        <w:ind w:left="567" w:hanging="567"/>
        <w:jc w:val="both"/>
        <w:rPr>
          <w:rFonts w:ascii="Times New Roman" w:hAnsi="Times New Roman"/>
          <w:b/>
          <w:bCs/>
          <w:color w:val="000000" w:themeColor="text1"/>
          <w:sz w:val="24"/>
          <w:szCs w:val="24"/>
          <w14:textFill>
            <w14:solidFill>
              <w14:schemeClr w14:val="tx1"/>
            </w14:solidFill>
          </w14:textFill>
        </w:rPr>
      </w:pPr>
      <w:r>
        <w:rPr>
          <w:rFonts w:ascii="Times New Roman" w:hAnsi="Times New Roman"/>
          <w:bCs/>
          <w:color w:val="000000" w:themeColor="text1"/>
          <w:sz w:val="24"/>
          <w:szCs w:val="24"/>
          <w14:textFill>
            <w14:solidFill>
              <w14:schemeClr w14:val="tx1"/>
            </w14:solidFill>
          </w14:textFill>
        </w:rPr>
        <w:t>Dengke H., Wouter H. H., Benhai X. &amp; Wilbert F. P</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i/>
          <w:color w:val="000000" w:themeColor="text1"/>
          <w:sz w:val="24"/>
          <w:szCs w:val="24"/>
          <w14:textFill>
            <w14:solidFill>
              <w14:schemeClr w14:val="tx1"/>
            </w14:solidFill>
          </w14:textFill>
        </w:rPr>
        <w:t>Starch and Cellulose Degradation in the Rumen and Applications of Metagenomics on Ruminal Microorganisms.,</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iCs/>
          <w:color w:val="000000" w:themeColor="text1"/>
          <w:sz w:val="24"/>
          <w:szCs w:val="24"/>
          <w14:textFill>
            <w14:solidFill>
              <w14:schemeClr w14:val="tx1"/>
            </w14:solidFill>
          </w14:textFill>
        </w:rPr>
        <w:t>Animals</w:t>
      </w:r>
      <w:r>
        <w:rPr>
          <w:rFonts w:ascii="Times New Roman" w:hAnsi="Times New Roman"/>
          <w:bCs/>
          <w:color w:val="000000" w:themeColor="text1"/>
          <w:sz w:val="24"/>
          <w:szCs w:val="24"/>
          <w14:textFill>
            <w14:solidFill>
              <w14:schemeClr w14:val="tx1"/>
            </w14:solidFill>
          </w14:textFill>
        </w:rPr>
        <w:t>, </w:t>
      </w:r>
      <w:r>
        <w:rPr>
          <w:rFonts w:ascii="Times New Roman" w:hAnsi="Times New Roman"/>
          <w:bCs/>
          <w:i/>
          <w:iCs/>
          <w:color w:val="000000" w:themeColor="text1"/>
          <w:sz w:val="24"/>
          <w:szCs w:val="24"/>
          <w14:textFill>
            <w14:solidFill>
              <w14:schemeClr w14:val="tx1"/>
            </w14:solidFill>
          </w14:textFill>
        </w:rPr>
        <w:t>12</w:t>
      </w:r>
      <w:r>
        <w:rPr>
          <w:rFonts w:ascii="Times New Roman" w:hAnsi="Times New Roman"/>
          <w:bCs/>
          <w:color w:val="000000" w:themeColor="text1"/>
          <w:sz w:val="24"/>
          <w:szCs w:val="24"/>
          <w14:textFill>
            <w14:solidFill>
              <w14:schemeClr w14:val="tx1"/>
            </w14:solidFill>
          </w14:textFill>
        </w:rPr>
        <w:t>(21), 2022</w:t>
      </w:r>
      <w:r>
        <w:rPr>
          <w:rFonts w:ascii="Times New Roman" w:hAnsi="Times New Roman"/>
          <w:b/>
          <w:bCs/>
          <w:color w:val="000000" w:themeColor="text1"/>
          <w:sz w:val="24"/>
          <w:szCs w:val="24"/>
          <w14:textFill>
            <w14:solidFill>
              <w14:schemeClr w14:val="tx1"/>
            </w14:solidFill>
          </w14:textFill>
        </w:rPr>
        <w:t>,</w:t>
      </w:r>
      <w:r>
        <w:rPr>
          <w:rFonts w:ascii="Times New Roman" w:hAnsi="Times New Roman"/>
          <w:bCs/>
          <w:color w:val="000000" w:themeColor="text1"/>
          <w:sz w:val="24"/>
          <w:szCs w:val="24"/>
          <w14:textFill>
            <w14:solidFill>
              <w14:schemeClr w14:val="tx1"/>
            </w14:solidFill>
          </w14:textFill>
        </w:rPr>
        <w:t xml:space="preserve"> 3020</w:t>
      </w:r>
      <w:r>
        <w:rPr>
          <w:rFonts w:ascii="Times New Roman" w:hAnsi="Times New Roman"/>
          <w:bCs/>
          <w:sz w:val="24"/>
          <w:szCs w:val="24"/>
        </w:rPr>
        <w:t>; </w:t>
      </w:r>
      <w:r>
        <w:fldChar w:fldCharType="begin"/>
      </w:r>
      <w:r>
        <w:instrText xml:space="preserve"> HYPERLINK "https://doi.org/10.3390/ani12213020" </w:instrText>
      </w:r>
      <w:r>
        <w:fldChar w:fldCharType="separate"/>
      </w:r>
      <w:r>
        <w:rPr>
          <w:rStyle w:val="13"/>
          <w:rFonts w:ascii="Times New Roman" w:hAnsi="Times New Roman"/>
          <w:bCs/>
          <w:color w:val="auto"/>
          <w:sz w:val="24"/>
          <w:szCs w:val="24"/>
          <w:u w:val="none"/>
        </w:rPr>
        <w:t>https://doi.org/10.3390/ani12213020</w:t>
      </w:r>
      <w:r>
        <w:rPr>
          <w:rStyle w:val="13"/>
          <w:rFonts w:ascii="Times New Roman" w:hAnsi="Times New Roman"/>
          <w:bCs/>
          <w:color w:val="auto"/>
          <w:sz w:val="24"/>
          <w:szCs w:val="24"/>
          <w:u w:val="none"/>
        </w:rPr>
        <w:fldChar w:fldCharType="end"/>
      </w:r>
    </w:p>
    <w:p>
      <w:pPr>
        <w:spacing w:after="240" w:line="276" w:lineRule="auto"/>
        <w:ind w:left="720" w:hanging="720"/>
        <w:jc w:val="both"/>
        <w:rPr>
          <w:rFonts w:ascii="Times New Roman" w:hAnsi="Times New Roman"/>
          <w:bCs/>
          <w:sz w:val="24"/>
          <w:szCs w:val="24"/>
        </w:rPr>
      </w:pPr>
      <w:r>
        <w:rPr>
          <w:rFonts w:ascii="Times New Roman" w:hAnsi="Times New Roman"/>
          <w:bCs/>
          <w:sz w:val="24"/>
          <w:szCs w:val="24"/>
        </w:rPr>
        <w:t>Devendran M. M, Rashid S, Mohd H. M. Y, Mark L,&amp; Ahmer A. S</w:t>
      </w:r>
      <w:r>
        <w:rPr>
          <w:rFonts w:ascii="Times New Roman" w:hAnsi="Times New Roman"/>
          <w:bCs/>
          <w:i/>
          <w:sz w:val="24"/>
          <w:szCs w:val="24"/>
        </w:rPr>
        <w:t>.   A Review on Treatment Processes of Chicken Manure,</w:t>
      </w:r>
      <w:r>
        <w:rPr>
          <w:rFonts w:ascii="Times New Roman" w:hAnsi="Times New Roman"/>
          <w:bCs/>
          <w:sz w:val="24"/>
          <w:szCs w:val="24"/>
        </w:rPr>
        <w:t xml:space="preserve"> </w:t>
      </w:r>
      <w:r>
        <w:fldChar w:fldCharType="begin"/>
      </w:r>
      <w:r>
        <w:instrText xml:space="preserve"> HYPERLINK "https://www.sciencedirect.com/journal/cleaner-and-circular-bioeconomy" \o "Go to Cleaner and Circular Bioeconomy on ScienceDirect" </w:instrText>
      </w:r>
      <w:r>
        <w:fldChar w:fldCharType="separate"/>
      </w:r>
      <w:r>
        <w:rPr>
          <w:rStyle w:val="13"/>
          <w:rFonts w:ascii="Times New Roman" w:hAnsi="Times New Roman"/>
          <w:b/>
          <w:bCs/>
          <w:color w:val="auto"/>
          <w:sz w:val="24"/>
          <w:szCs w:val="24"/>
          <w:u w:val="none"/>
        </w:rPr>
        <w:t>Cleaner and Circular Bioeconomy</w:t>
      </w:r>
      <w:r>
        <w:rPr>
          <w:rStyle w:val="13"/>
          <w:rFonts w:ascii="Times New Roman" w:hAnsi="Times New Roman"/>
          <w:b/>
          <w:bCs/>
          <w:color w:val="auto"/>
          <w:sz w:val="24"/>
          <w:szCs w:val="24"/>
          <w:u w:val="none"/>
        </w:rPr>
        <w:fldChar w:fldCharType="end"/>
      </w:r>
      <w:r>
        <w:rPr>
          <w:rFonts w:ascii="Times New Roman" w:hAnsi="Times New Roman"/>
          <w:bCs/>
          <w:sz w:val="24"/>
          <w:szCs w:val="24"/>
        </w:rPr>
        <w:t xml:space="preserve"> </w:t>
      </w:r>
      <w:r>
        <w:fldChar w:fldCharType="begin"/>
      </w:r>
      <w:r>
        <w:instrText xml:space="preserve"> HYPERLINK "https://www.sciencedirect.com/journal/cleaner-and-circular-bioeconomy/vol/2/suppl/C" \o "Go to table of contents for this volume/issue" </w:instrText>
      </w:r>
      <w:r>
        <w:fldChar w:fldCharType="separate"/>
      </w:r>
      <w:r>
        <w:rPr>
          <w:rStyle w:val="13"/>
          <w:rFonts w:ascii="Times New Roman" w:hAnsi="Times New Roman"/>
          <w:bCs/>
          <w:color w:val="auto"/>
          <w:sz w:val="24"/>
          <w:szCs w:val="24"/>
          <w:u w:val="none"/>
        </w:rPr>
        <w:t>2</w:t>
      </w:r>
      <w:r>
        <w:rPr>
          <w:rStyle w:val="13"/>
          <w:rFonts w:ascii="Times New Roman" w:hAnsi="Times New Roman"/>
          <w:bCs/>
          <w:color w:val="auto"/>
          <w:sz w:val="24"/>
          <w:szCs w:val="24"/>
          <w:u w:val="none"/>
        </w:rPr>
        <w:fldChar w:fldCharType="end"/>
      </w:r>
      <w:r>
        <w:rPr>
          <w:rFonts w:ascii="Times New Roman" w:hAnsi="Times New Roman"/>
          <w:bCs/>
          <w:sz w:val="24"/>
          <w:szCs w:val="24"/>
        </w:rPr>
        <w:t xml:space="preserve">, 2022, 100013 </w:t>
      </w:r>
      <w:r>
        <w:fldChar w:fldCharType="begin"/>
      </w:r>
      <w:r>
        <w:instrText xml:space="preserve"> HYPERLINK "https://doi.org/10.1016/j.clcb.2022.100013" \t "_blank" \o "Persistent link using digital object identifier" </w:instrText>
      </w:r>
      <w:r>
        <w:fldChar w:fldCharType="separate"/>
      </w:r>
      <w:r>
        <w:rPr>
          <w:rStyle w:val="13"/>
          <w:rFonts w:ascii="Times New Roman" w:hAnsi="Times New Roman"/>
          <w:bCs/>
          <w:color w:val="auto"/>
          <w:sz w:val="24"/>
          <w:szCs w:val="24"/>
          <w:u w:val="none"/>
        </w:rPr>
        <w:t>https://doi.org/10.1016/j.clcb.2022.100013</w:t>
      </w:r>
      <w:r>
        <w:rPr>
          <w:rStyle w:val="13"/>
          <w:rFonts w:ascii="Times New Roman" w:hAnsi="Times New Roman"/>
          <w:bCs/>
          <w:color w:val="auto"/>
          <w:sz w:val="24"/>
          <w:szCs w:val="24"/>
          <w:u w:val="none"/>
        </w:rPr>
        <w:fldChar w:fldCharType="end"/>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Dlamini, S.P., Akanmu, A.O., &amp; Babalola, O.O., </w:t>
      </w:r>
      <w:r>
        <w:rPr>
          <w:rFonts w:ascii="Times New Roman" w:hAnsi="Times New Roman"/>
          <w:i/>
          <w:iCs/>
          <w:sz w:val="24"/>
          <w:szCs w:val="24"/>
        </w:rPr>
        <w:t>Variations in the Functional Diversity of Rhizosphere Microbiome of Healthy and Northern Corn Leaf Blight Infected Maize (Zea mays L.).</w:t>
      </w:r>
      <w:r>
        <w:rPr>
          <w:rFonts w:ascii="Times New Roman" w:hAnsi="Times New Roman"/>
          <w:sz w:val="24"/>
          <w:szCs w:val="24"/>
        </w:rPr>
        <w:t> </w:t>
      </w:r>
      <w:r>
        <w:rPr>
          <w:rFonts w:ascii="Times New Roman" w:hAnsi="Times New Roman"/>
          <w:b/>
          <w:bCs/>
          <w:sz w:val="24"/>
          <w:szCs w:val="24"/>
        </w:rPr>
        <w:t>Span, J. Soil Sci</w:t>
      </w:r>
      <w:r>
        <w:rPr>
          <w:rFonts w:ascii="Times New Roman" w:hAnsi="Times New Roman"/>
          <w:i/>
          <w:iCs/>
          <w:sz w:val="24"/>
          <w:szCs w:val="24"/>
        </w:rPr>
        <w:t>.</w:t>
      </w:r>
      <w:r>
        <w:rPr>
          <w:rFonts w:ascii="Times New Roman" w:hAnsi="Times New Roman"/>
          <w:sz w:val="24"/>
          <w:szCs w:val="24"/>
        </w:rPr>
        <w:t xml:space="preserve"> 13: 2023, 10964. doi: 10.3389/sjss.2023.10964 </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Dong, L., Katharina, M. K., Sonja, L., Uwe, W., Michael, Z., Stephan, F., Christian, L., Katharina, R. and Sophie, Z.,</w:t>
      </w:r>
      <w:r>
        <w:rPr>
          <w:rFonts w:ascii="Times New Roman" w:hAnsi="Times New Roman"/>
          <w:i/>
          <w:sz w:val="24"/>
          <w:szCs w:val="24"/>
        </w:rPr>
        <w:t xml:space="preserve"> Response of Microbial Communities and their Metabolic Functions to Drying-Rewetting Stress in a Temperate Forest Soil,</w:t>
      </w:r>
      <w:r>
        <w:rPr>
          <w:rFonts w:ascii="Times New Roman" w:hAnsi="Times New Roman"/>
          <w:sz w:val="24"/>
          <w:szCs w:val="24"/>
        </w:rPr>
        <w:t xml:space="preserve"> </w:t>
      </w:r>
      <w:r>
        <w:rPr>
          <w:rFonts w:ascii="Times New Roman" w:hAnsi="Times New Roman"/>
          <w:b/>
          <w:sz w:val="24"/>
          <w:szCs w:val="24"/>
        </w:rPr>
        <w:t>Microorganisms</w:t>
      </w:r>
      <w:r>
        <w:rPr>
          <w:rFonts w:ascii="Times New Roman" w:hAnsi="Times New Roman"/>
          <w:sz w:val="24"/>
          <w:szCs w:val="24"/>
        </w:rPr>
        <w:t>, 7(5), 2019, 129</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Dopelt K,, Radon P., &amp; Davidovitch N.,  </w:t>
      </w:r>
      <w:r>
        <w:rPr>
          <w:rFonts w:ascii="Times New Roman" w:hAnsi="Times New Roman"/>
          <w:i/>
          <w:sz w:val="24"/>
          <w:szCs w:val="24"/>
        </w:rPr>
        <w:t xml:space="preserve">Environmental Effects of the Livestock Industry: The Relationship between Knowledge, Attitudes, and Behavior among Students in Israel, </w:t>
      </w:r>
      <w:r>
        <w:rPr>
          <w:rFonts w:ascii="Times New Roman" w:hAnsi="Times New Roman"/>
          <w:b/>
          <w:sz w:val="24"/>
          <w:szCs w:val="24"/>
        </w:rPr>
        <w:t>Int. J. Environ Res Public Health</w:t>
      </w:r>
      <w:r>
        <w:rPr>
          <w:rFonts w:ascii="Times New Roman" w:hAnsi="Times New Roman"/>
          <w:sz w:val="24"/>
          <w:szCs w:val="24"/>
        </w:rPr>
        <w:t>, 16(8), 2019, 1359</w:t>
      </w:r>
    </w:p>
    <w:p>
      <w:pPr>
        <w:tabs>
          <w:tab w:val="left" w:pos="720"/>
        </w:tabs>
        <w:spacing w:after="240" w:line="276" w:lineRule="auto"/>
        <w:ind w:left="567" w:hanging="567"/>
        <w:jc w:val="both"/>
        <w:rPr>
          <w:rStyle w:val="13"/>
          <w:rFonts w:ascii="Times New Roman" w:hAnsi="Times New Roman"/>
          <w:color w:val="auto"/>
          <w:sz w:val="24"/>
          <w:szCs w:val="24"/>
          <w:u w:val="none"/>
        </w:rPr>
      </w:pPr>
      <w:r>
        <w:rPr>
          <w:rFonts w:ascii="Times New Roman" w:hAnsi="Times New Roman"/>
          <w:color w:val="000000" w:themeColor="text1"/>
          <w:sz w:val="24"/>
          <w:szCs w:val="24"/>
          <w14:textFill>
            <w14:solidFill>
              <w14:schemeClr w14:val="tx1"/>
            </w14:solidFill>
          </w14:textFill>
        </w:rPr>
        <w:t xml:space="preserve">Egli, M, &amp; Mirabella, A., </w:t>
      </w:r>
      <w:r>
        <w:rPr>
          <w:rFonts w:ascii="Times New Roman" w:hAnsi="Times New Roman"/>
          <w:i/>
          <w:color w:val="000000" w:themeColor="text1"/>
          <w:sz w:val="24"/>
          <w:szCs w:val="24"/>
          <w14:textFill>
            <w14:solidFill>
              <w14:schemeClr w14:val="tx1"/>
            </w14:solidFill>
          </w14:textFill>
        </w:rPr>
        <w:t>The Origin and Formation of Clay Minerals in Alpine Soils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Geophysical Monographs Book Series,</w:t>
      </w:r>
      <w:r>
        <w:rPr>
          <w:rFonts w:ascii="Times New Roman" w:hAnsi="Times New Roman"/>
          <w:color w:val="000000" w:themeColor="text1"/>
          <w:sz w:val="24"/>
          <w:szCs w:val="24"/>
          <w14:textFill>
            <w14:solidFill>
              <w14:schemeClr w14:val="tx1"/>
            </w14:solidFill>
          </w14:textFill>
        </w:rPr>
        <w:t xml:space="preserve"> 257: 2021, 121-137. DOI: </w:t>
      </w:r>
      <w:r>
        <w:fldChar w:fldCharType="begin"/>
      </w:r>
      <w:r>
        <w:instrText xml:space="preserve"> HYPERLINK "https://doi.org/10.1002/9781119563952.ch6" </w:instrText>
      </w:r>
      <w:r>
        <w:fldChar w:fldCharType="separate"/>
      </w:r>
      <w:r>
        <w:rPr>
          <w:rStyle w:val="13"/>
          <w:rFonts w:ascii="Times New Roman" w:hAnsi="Times New Roman"/>
          <w:color w:val="auto"/>
          <w:sz w:val="24"/>
          <w:szCs w:val="24"/>
          <w:u w:val="none"/>
        </w:rPr>
        <w:t>https://doi.org/10.1002/9781119563952.ch6</w:t>
      </w:r>
      <w:r>
        <w:rPr>
          <w:rStyle w:val="13"/>
          <w:rFonts w:ascii="Times New Roman" w:hAnsi="Times New Roman"/>
          <w:color w:val="auto"/>
          <w:sz w:val="24"/>
          <w:szCs w:val="24"/>
          <w:u w:val="none"/>
        </w:rPr>
        <w:fldChar w:fldCharType="end"/>
      </w:r>
    </w:p>
    <w:p>
      <w:pPr>
        <w:tabs>
          <w:tab w:val="left" w:pos="72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Ejersa, M. T., </w:t>
      </w:r>
      <w:r>
        <w:rPr>
          <w:rFonts w:ascii="Times New Roman" w:hAnsi="Times New Roman"/>
          <w:i/>
          <w:color w:val="000000" w:themeColor="text1"/>
          <w:sz w:val="24"/>
          <w:szCs w:val="24"/>
          <w14:textFill>
            <w14:solidFill>
              <w14:schemeClr w14:val="tx1"/>
            </w14:solidFill>
          </w14:textFill>
        </w:rPr>
        <w:t>Causes of Soil Acidity and Its Management Mechanisms in Ethiopia: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J Agric Sci Bot.</w:t>
      </w:r>
      <w:r>
        <w:rPr>
          <w:rFonts w:ascii="Times New Roman" w:hAnsi="Times New Roman"/>
          <w:color w:val="000000" w:themeColor="text1"/>
          <w:sz w:val="24"/>
          <w:szCs w:val="24"/>
          <w14:textFill>
            <w14:solidFill>
              <w14:schemeClr w14:val="tx1"/>
            </w14:solidFill>
          </w14:textFill>
        </w:rPr>
        <w:t xml:space="preserve">, 5(4), 2021, 054. </w:t>
      </w:r>
    </w:p>
    <w:p>
      <w:pPr>
        <w:tabs>
          <w:tab w:val="left" w:pos="72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Eliza, P., Karolina, M., Heye, R. B. &amp; Michael, L., </w:t>
      </w:r>
      <w:r>
        <w:rPr>
          <w:rFonts w:ascii="Times New Roman" w:hAnsi="Times New Roman"/>
          <w:i/>
          <w:color w:val="000000" w:themeColor="text1"/>
          <w:sz w:val="24"/>
          <w:szCs w:val="24"/>
          <w14:textFill>
            <w14:solidFill>
              <w14:schemeClr w14:val="tx1"/>
            </w14:solidFill>
          </w14:textFill>
        </w:rPr>
        <w:t>The Impact of Partial Deforestation on Solute Fluxes and Stream Water Ionic Composition in a Headwater Catchment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Water, </w:t>
      </w:r>
      <w:r>
        <w:rPr>
          <w:rFonts w:ascii="Times New Roman" w:hAnsi="Times New Roman"/>
          <w:color w:val="000000" w:themeColor="text1"/>
          <w:sz w:val="24"/>
          <w:szCs w:val="24"/>
          <w14:textFill>
            <w14:solidFill>
              <w14:schemeClr w14:val="tx1"/>
            </w14:solidFill>
          </w14:textFill>
        </w:rPr>
        <w:t>15(1), 2023, 107</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Enesi R. O., Dyck M., Chang S., Thilakarathna M. S., Fan X.,  Strelkov S., &amp; Gorim L. Y </w:t>
      </w:r>
      <w:r>
        <w:rPr>
          <w:rFonts w:ascii="Times New Roman" w:hAnsi="Times New Roman"/>
          <w:i/>
          <w:color w:val="000000" w:themeColor="text1"/>
          <w:sz w:val="24"/>
          <w:szCs w:val="24"/>
          <w14:textFill>
            <w14:solidFill>
              <w14:schemeClr w14:val="tx1"/>
            </w14:solidFill>
          </w14:textFill>
        </w:rPr>
        <w:t>Liming Remediates Soil Acidity and Improves Crop Yield and Profitability - a Meta-analysis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Agron.</w:t>
      </w:r>
      <w:r>
        <w:rPr>
          <w:rFonts w:ascii="Times New Roman" w:hAnsi="Times New Roman"/>
          <w:color w:val="000000" w:themeColor="text1"/>
          <w:sz w:val="24"/>
          <w:szCs w:val="24"/>
          <w14:textFill>
            <w14:solidFill>
              <w14:schemeClr w14:val="tx1"/>
            </w14:solidFill>
          </w14:textFill>
        </w:rPr>
        <w:t>, 5, 2023, https://doi.org/10.3389/fagro.2023.1194896</w:t>
      </w:r>
    </w:p>
    <w:p>
      <w:pPr>
        <w:tabs>
          <w:tab w:val="left" w:pos="720"/>
        </w:tabs>
        <w:spacing w:after="240" w:line="276" w:lineRule="auto"/>
        <w:ind w:left="567" w:hanging="567"/>
        <w:jc w:val="both"/>
        <w:rPr>
          <w:rFonts w:ascii="Times New Roman" w:hAnsi="Times New Roman"/>
          <w:sz w:val="24"/>
          <w:szCs w:val="24"/>
        </w:rPr>
      </w:pPr>
      <w:r>
        <w:rPr>
          <w:rFonts w:ascii="Times New Roman" w:hAnsi="Times New Roman"/>
          <w:color w:val="000000" w:themeColor="text1"/>
          <w:sz w:val="24"/>
          <w:szCs w:val="24"/>
          <w14:textFill>
            <w14:solidFill>
              <w14:schemeClr w14:val="tx1"/>
            </w14:solidFill>
          </w14:textFill>
        </w:rPr>
        <w:t>Erik K. Johan S. Johan I., &amp; Stefan L</w:t>
      </w:r>
      <w:r>
        <w:rPr>
          <w:rFonts w:ascii="Times New Roman" w:hAnsi="Times New Roman"/>
          <w:i/>
          <w:color w:val="000000" w:themeColor="text1"/>
          <w:sz w:val="24"/>
          <w:szCs w:val="24"/>
          <w14:textFill>
            <w14:solidFill>
              <w14:schemeClr w14:val="tx1"/>
            </w14:solidFill>
          </w14:textFill>
        </w:rPr>
        <w:t>. Forest Biomass Accumulation is an Important Source of Acidity to Forest Soils</w:t>
      </w:r>
      <w:r>
        <w:rPr>
          <w:rFonts w:ascii="Times New Roman" w:hAnsi="Times New Roman"/>
          <w:color w:val="000000" w:themeColor="text1"/>
          <w:sz w:val="24"/>
          <w:szCs w:val="24"/>
          <w14:textFill>
            <w14:solidFill>
              <w14:schemeClr w14:val="tx1"/>
            </w14:solidFill>
          </w14:textFill>
        </w:rPr>
        <w:t>: Data from Swedish inventories of forests and soils</w:t>
      </w:r>
      <w:r>
        <w:rPr>
          <w:rFonts w:ascii="Times New Roman" w:hAnsi="Times New Roman"/>
          <w:i/>
          <w:color w:val="000000" w:themeColor="text1"/>
          <w:sz w:val="24"/>
          <w:szCs w:val="24"/>
          <w14:textFill>
            <w14:solidFill>
              <w14:schemeClr w14:val="tx1"/>
            </w14:solidFill>
          </w14:textFill>
        </w:rPr>
        <w:t xml:space="preserve"> 1955 to 2010</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Ambio,</w:t>
      </w:r>
      <w:r>
        <w:rPr>
          <w:rFonts w:ascii="Times New Roman" w:hAnsi="Times New Roman"/>
          <w:color w:val="000000" w:themeColor="text1"/>
          <w:sz w:val="24"/>
          <w:szCs w:val="24"/>
          <w14:textFill>
            <w14:solidFill>
              <w14:schemeClr w14:val="tx1"/>
            </w14:solidFill>
          </w14:textFill>
        </w:rPr>
        <w:t xml:space="preserve"> 51(1): 2021, 199–208 doi: </w:t>
      </w:r>
      <w:r>
        <w:fldChar w:fldCharType="begin"/>
      </w:r>
      <w:r>
        <w:instrText xml:space="preserve"> HYPERLINK "https://doi.org/10.1007%2Fs13280-021-01540-y" \t "_blank" </w:instrText>
      </w:r>
      <w:r>
        <w:fldChar w:fldCharType="separate"/>
      </w:r>
      <w:r>
        <w:rPr>
          <w:rStyle w:val="13"/>
          <w:rFonts w:ascii="Times New Roman" w:hAnsi="Times New Roman"/>
          <w:color w:val="auto"/>
          <w:sz w:val="24"/>
          <w:szCs w:val="24"/>
          <w:u w:val="none"/>
        </w:rPr>
        <w:t>10.1007/s13280-021-01540-y</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PMCID: PMC8651924, PMID: </w:t>
      </w:r>
      <w:r>
        <w:fldChar w:fldCharType="begin"/>
      </w:r>
      <w:r>
        <w:instrText xml:space="preserve"> HYPERLINK "https://pubmed.ncbi.nlm.nih.gov/33782851" </w:instrText>
      </w:r>
      <w:r>
        <w:fldChar w:fldCharType="separate"/>
      </w:r>
      <w:r>
        <w:rPr>
          <w:rStyle w:val="13"/>
          <w:rFonts w:ascii="Times New Roman" w:hAnsi="Times New Roman"/>
          <w:color w:val="auto"/>
          <w:sz w:val="24"/>
          <w:szCs w:val="24"/>
          <w:u w:val="none"/>
        </w:rPr>
        <w:t>33782851</w:t>
      </w:r>
      <w:r>
        <w:rPr>
          <w:rStyle w:val="13"/>
          <w:rFonts w:ascii="Times New Roman" w:hAnsi="Times New Roman"/>
          <w:color w:val="auto"/>
          <w:sz w:val="24"/>
          <w:szCs w:val="24"/>
          <w:u w:val="none"/>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sz w:val="24"/>
          <w:szCs w:val="24"/>
        </w:rPr>
        <w:t>Escudero, M. C., Coulter, M., Alegria T. R., </w:t>
      </w:r>
      <w:r>
        <w:rPr>
          <w:rFonts w:ascii="Times New Roman" w:hAnsi="Times New Roman"/>
          <w:i/>
          <w:iCs/>
          <w:sz w:val="24"/>
          <w:szCs w:val="24"/>
        </w:rPr>
        <w:t xml:space="preserve">Identifying Plant Genes Shaping Microbiota </w:t>
      </w:r>
      <w:r>
        <w:rPr>
          <w:rFonts w:ascii="Times New Roman" w:hAnsi="Times New Roman"/>
          <w:i/>
          <w:iCs/>
          <w:color w:val="000000" w:themeColor="text1"/>
          <w:sz w:val="24"/>
          <w:szCs w:val="24"/>
          <w14:textFill>
            <w14:solidFill>
              <w14:schemeClr w14:val="tx1"/>
            </w14:solidFill>
          </w14:textFill>
        </w:rPr>
        <w:t>Composition in the Barley Rhizosphere.</w:t>
      </w:r>
      <w:r>
        <w:rPr>
          <w:rFonts w:ascii="Times New Roman" w:hAnsi="Times New Roman"/>
          <w:b/>
          <w:color w:val="000000" w:themeColor="text1"/>
          <w:sz w:val="24"/>
          <w:szCs w:val="24"/>
          <w14:textFill>
            <w14:solidFill>
              <w14:schemeClr w14:val="tx1"/>
            </w14:solidFill>
          </w14:textFill>
        </w:rPr>
        <w:t> Nat. Commun.,</w:t>
      </w:r>
      <w:r>
        <w:rPr>
          <w:rFonts w:ascii="Times New Roman" w:hAnsi="Times New Roman"/>
          <w:color w:val="000000" w:themeColor="text1"/>
          <w:sz w:val="24"/>
          <w:szCs w:val="24"/>
          <w14:textFill>
            <w14:solidFill>
              <w14:schemeClr w14:val="tx1"/>
            </w14:solidFill>
          </w14:textFill>
        </w:rPr>
        <w:t xml:space="preserve"> 13, 3443 2022. https://doi.org/10.1038/s41467-022-31022-y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Fall, A.F., Nakabonge, G., Ssekandi, J., Founoune, M. H., Apori, S.O., Ndiaye, A., Badji, A., &amp; Ngom, K., </w:t>
      </w:r>
      <w:r>
        <w:rPr>
          <w:rFonts w:ascii="Times New Roman" w:hAnsi="Times New Roman"/>
          <w:i/>
          <w:iCs/>
          <w:color w:val="000000" w:themeColor="text1"/>
          <w:sz w:val="24"/>
          <w:szCs w:val="24"/>
          <w14:textFill>
            <w14:solidFill>
              <w14:schemeClr w14:val="tx1"/>
            </w14:solidFill>
          </w14:textFill>
        </w:rPr>
        <w:t>Roles of Arbuscular Mycorrhizal Fungi on Soil Fertility: Contribution in the Improvement of Physical, Chemical, and Biological Properties of the Soil.</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Front. Fungal Biol</w:t>
      </w:r>
      <w:r>
        <w:rPr>
          <w:rFonts w:ascii="Times New Roman" w:hAnsi="Times New Roman"/>
          <w:color w:val="000000" w:themeColor="text1"/>
          <w:sz w:val="24"/>
          <w:szCs w:val="24"/>
          <w14:textFill>
            <w14:solidFill>
              <w14:schemeClr w14:val="tx1"/>
            </w14:solidFill>
          </w14:textFill>
        </w:rPr>
        <w:t>. 3: 2022, 723892. doi: 10.3389/ffunb.2022.723892</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Fernando, A. M., João, V. S., Frédéric, B. and Robert, J. H., </w:t>
      </w:r>
      <w:r>
        <w:rPr>
          <w:rFonts w:ascii="Times New Roman" w:hAnsi="Times New Roman"/>
          <w:i/>
          <w:color w:val="000000" w:themeColor="text1"/>
          <w:sz w:val="24"/>
          <w:szCs w:val="24"/>
          <w14:textFill>
            <w14:solidFill>
              <w14:schemeClr w14:val="tx1"/>
            </w14:solidFill>
          </w14:textFill>
        </w:rPr>
        <w:t xml:space="preserve">Estimating lime requirements for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tropical soils: Model comparison and development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Geoderma</w:t>
      </w:r>
      <w:r>
        <w:rPr>
          <w:rFonts w:ascii="Times New Roman" w:hAnsi="Times New Roman"/>
          <w:color w:val="000000" w:themeColor="text1"/>
          <w:sz w:val="24"/>
          <w:szCs w:val="24"/>
          <w14:textFill>
            <w14:solidFill>
              <w14:schemeClr w14:val="tx1"/>
            </w14:solidFill>
          </w14:textFill>
        </w:rPr>
        <w:t xml:space="preserve">, 432, 2023, 116421,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https://doi.org/10.1016/j.geoderma.2023.116421</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Fest, B., Hinko, N. N., Von, F. S., Livesley J. &amp; Arndt, S. K., </w:t>
      </w:r>
      <w:r>
        <w:rPr>
          <w:rFonts w:ascii="Times New Roman" w:hAnsi="Times New Roman"/>
          <w:i/>
          <w:iCs/>
          <w:color w:val="000000" w:themeColor="text1"/>
          <w:sz w:val="24"/>
          <w:szCs w:val="24"/>
          <w14:textFill>
            <w14:solidFill>
              <w14:schemeClr w14:val="tx1"/>
            </w14:solidFill>
          </w14:textFill>
        </w:rPr>
        <w:t xml:space="preserve">Soil </w:t>
      </w:r>
      <w:r>
        <w:rPr>
          <w:rFonts w:ascii="Times New Roman" w:hAnsi="Times New Roman"/>
          <w:i/>
          <w:iCs/>
          <w:color w:val="000000" w:themeColor="text1"/>
          <w:sz w:val="24"/>
          <w:szCs w:val="24"/>
          <w14:textFill>
            <w14:solidFill>
              <w14:schemeClr w14:val="tx1"/>
            </w14:solidFill>
          </w14:textFill>
        </w:rPr>
        <w:tab/>
      </w:r>
      <w:r>
        <w:rPr>
          <w:rFonts w:ascii="Times New Roman" w:hAnsi="Times New Roman"/>
          <w:i/>
          <w:iCs/>
          <w:color w:val="000000" w:themeColor="text1"/>
          <w:sz w:val="24"/>
          <w:szCs w:val="24"/>
          <w14:textFill>
            <w14:solidFill>
              <w14:schemeClr w14:val="tx1"/>
            </w14:solidFill>
          </w14:textFill>
        </w:rPr>
        <w:t>Methane Uptake Increases under Continuous Throughfall Reduction in a Temperate Evergreen, Broadleaved Eucalypt Forest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Ecosystems</w:t>
      </w:r>
      <w:r>
        <w:rPr>
          <w:rFonts w:ascii="Times New Roman" w:hAnsi="Times New Roman"/>
          <w:bCs/>
          <w:color w:val="000000" w:themeColor="text1"/>
          <w:sz w:val="24"/>
          <w:szCs w:val="24"/>
          <w14:textFill>
            <w14:solidFill>
              <w14:schemeClr w14:val="tx1"/>
            </w14:solidFill>
          </w14:textFill>
        </w:rPr>
        <w:t xml:space="preserve">, </w:t>
      </w:r>
      <w:r>
        <w:rPr>
          <w:rFonts w:ascii="Times New Roman" w:hAnsi="Times New Roman"/>
          <w:color w:val="000000" w:themeColor="text1"/>
          <w:sz w:val="24"/>
          <w:szCs w:val="24"/>
          <w14:textFill>
            <w14:solidFill>
              <w14:schemeClr w14:val="tx1"/>
            </w14:solidFill>
          </w14:textFill>
        </w:rPr>
        <w:t>20(2), 2017, 368–379.</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Fischer Z., &amp; Dubis L,.  </w:t>
      </w:r>
      <w:r>
        <w:rPr>
          <w:rFonts w:ascii="Times New Roman" w:hAnsi="Times New Roman"/>
          <w:i/>
          <w:color w:val="000000" w:themeColor="text1"/>
          <w:sz w:val="24"/>
          <w:szCs w:val="24"/>
          <w14:textFill>
            <w14:solidFill>
              <w14:schemeClr w14:val="tx1"/>
            </w14:solidFill>
          </w14:textFill>
        </w:rPr>
        <w:t xml:space="preserve">Soil Respiration in the Profiles of Forest Soils in Inland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Dunes</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Open Journal of Soil Science</w:t>
      </w:r>
      <w:r>
        <w:rPr>
          <w:rFonts w:ascii="Times New Roman" w:hAnsi="Times New Roman"/>
          <w:color w:val="000000" w:themeColor="text1"/>
          <w:sz w:val="24"/>
          <w:szCs w:val="24"/>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9</w:t>
      </w:r>
      <w:r>
        <w:rPr>
          <w:rFonts w:ascii="Times New Roman" w:hAnsi="Times New Roman"/>
          <w:color w:val="000000" w:themeColor="text1"/>
          <w:sz w:val="24"/>
          <w:szCs w:val="24"/>
          <w14:textFill>
            <w14:solidFill>
              <w14:schemeClr w14:val="tx1"/>
            </w14:solidFill>
          </w14:textFill>
        </w:rPr>
        <w:t>, 2019, 75-90</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Fischer, W., Thomas, C. K., Zimov, N. &amp; Gockede, M., </w:t>
      </w:r>
      <w:r>
        <w:rPr>
          <w:rFonts w:ascii="Times New Roman" w:hAnsi="Times New Roman"/>
          <w:i/>
          <w:color w:val="000000" w:themeColor="text1"/>
          <w:sz w:val="24"/>
          <w:szCs w:val="24"/>
          <w14:textFill>
            <w14:solidFill>
              <w14:schemeClr w14:val="tx1"/>
            </w14:solidFill>
          </w14:textFill>
        </w:rPr>
        <w:t xml:space="preserve">Grazing Enhances Carbon Cycling but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 xml:space="preserve">Reduces Methane Emission During Peak Growing Season in the Siberian Pleistocene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Park Tundra Site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Biogeosciences</w:t>
      </w:r>
      <w:r>
        <w:rPr>
          <w:rFonts w:ascii="Times New Roman" w:hAnsi="Times New Roman"/>
          <w:color w:val="000000" w:themeColor="text1"/>
          <w:sz w:val="24"/>
          <w:szCs w:val="24"/>
          <w14:textFill>
            <w14:solidFill>
              <w14:schemeClr w14:val="tx1"/>
            </w14:solidFill>
          </w14:textFill>
        </w:rPr>
        <w:t>, 19, 2022, 1611-1633</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Fokeng, R. M., Fogwe, Z. N., &amp; Yemelong, N. T.. </w:t>
      </w:r>
      <w:r>
        <w:rPr>
          <w:rFonts w:ascii="Times New Roman" w:hAnsi="Times New Roman"/>
          <w:i/>
          <w:iCs/>
          <w:color w:val="000000" w:themeColor="text1"/>
          <w:sz w:val="24"/>
          <w:szCs w:val="24"/>
          <w14:textFill>
            <w14:solidFill>
              <w14:schemeClr w14:val="tx1"/>
            </w14:solidFill>
          </w14:textFill>
        </w:rPr>
        <w:t xml:space="preserve">Modelling Alternatives for Highland Soil Structural Degradation and Erodibility, </w:t>
      </w:r>
      <w:r>
        <w:rPr>
          <w:rFonts w:ascii="Times New Roman" w:hAnsi="Times New Roman"/>
          <w:color w:val="000000" w:themeColor="text1"/>
          <w:sz w:val="24"/>
          <w:szCs w:val="24"/>
          <w14:textFill>
            <w14:solidFill>
              <w14:schemeClr w14:val="tx1"/>
            </w14:solidFill>
          </w14:textFill>
        </w:rPr>
        <w:t>Bui Plateau, Cameroon. </w:t>
      </w:r>
      <w:r>
        <w:rPr>
          <w:rFonts w:ascii="Times New Roman" w:hAnsi="Times New Roman"/>
          <w:b/>
          <w:color w:val="000000" w:themeColor="text1"/>
          <w:sz w:val="24"/>
          <w:szCs w:val="24"/>
          <w14:textFill>
            <w14:solidFill>
              <w14:schemeClr w14:val="tx1"/>
            </w14:solidFill>
          </w14:textFill>
        </w:rPr>
        <w:t>European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Journal of Environment and Earth Sciences,</w:t>
      </w:r>
      <w:r>
        <w:rPr>
          <w:rFonts w:ascii="Times New Roman" w:hAnsi="Times New Roman"/>
          <w:color w:val="000000" w:themeColor="text1"/>
          <w:sz w:val="24"/>
          <w:szCs w:val="24"/>
          <w14:textFill>
            <w14:solidFill>
              <w14:schemeClr w14:val="tx1"/>
            </w14:solidFill>
          </w14:textFill>
        </w:rPr>
        <w:t xml:space="preserve"> 1(6). 2020, </w:t>
      </w:r>
      <w:r>
        <w:fldChar w:fldCharType="begin"/>
      </w:r>
      <w:r>
        <w:instrText xml:space="preserve"> HYPERLINK "https://doi.org/10.24018/ejgeo.2020.1.6.84" </w:instrText>
      </w:r>
      <w:r>
        <w:fldChar w:fldCharType="separate"/>
      </w:r>
      <w:r>
        <w:rPr>
          <w:rStyle w:val="13"/>
          <w:rFonts w:ascii="Times New Roman" w:hAnsi="Times New Roman"/>
          <w:color w:val="000000" w:themeColor="text1"/>
          <w:sz w:val="24"/>
          <w:szCs w:val="24"/>
          <w:u w:val="none"/>
          <w14:textFill>
            <w14:solidFill>
              <w14:schemeClr w14:val="tx1"/>
            </w14:solidFill>
          </w14:textFill>
        </w:rPr>
        <w:t>https://doi.org/10.24018/ejgeo.2020.1.6.84</w:t>
      </w:r>
      <w:r>
        <w:rPr>
          <w:rStyle w:val="13"/>
          <w:rFonts w:ascii="Times New Roman" w:hAnsi="Times New Roman"/>
          <w:color w:val="000000" w:themeColor="text1"/>
          <w:sz w:val="24"/>
          <w:szCs w:val="24"/>
          <w:u w:val="none"/>
          <w14:textFill>
            <w14:solidFill>
              <w14:schemeClr w14:val="tx1"/>
            </w14:solidFill>
          </w14:textFill>
        </w:rPr>
        <w:fldChar w:fldCharType="end"/>
      </w:r>
      <w:r>
        <w:rPr>
          <w:rFonts w:ascii="Times New Roman" w:hAnsi="Times New Roman"/>
          <w:color w:val="000000" w:themeColor="text1"/>
          <w:sz w:val="24"/>
          <w:szCs w:val="24"/>
          <w14:textFill>
            <w14:solidFill>
              <w14:schemeClr w14:val="tx1"/>
            </w14:solidFill>
          </w14:textFill>
        </w:rPr>
        <w:t>.</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Fontoura  S. M. V., de Castro Pias O. H , Tiecher T,  Cherubin M. R., de Moraes  R. P, &amp; Bayer  C.,  </w:t>
      </w:r>
      <w:r>
        <w:rPr>
          <w:rFonts w:ascii="Times New Roman" w:hAnsi="Times New Roman"/>
          <w:i/>
          <w:color w:val="000000" w:themeColor="text1"/>
          <w:sz w:val="24"/>
          <w:szCs w:val="24"/>
          <w14:textFill>
            <w14:solidFill>
              <w14:schemeClr w14:val="tx1"/>
            </w14:solidFill>
          </w14:textFill>
        </w:rPr>
        <w:t>Effect of Gypsum Rates and Lime with Different Reactivity on Soil Acidity and Crop Grain Yields in a Subtropical Oxisol under No-tillage,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Soil and Tillage Research, </w:t>
      </w:r>
      <w:r>
        <w:rPr>
          <w:rFonts w:ascii="Times New Roman" w:hAnsi="Times New Roman"/>
          <w:color w:val="000000" w:themeColor="text1"/>
          <w:sz w:val="24"/>
          <w:szCs w:val="24"/>
          <w14:textFill>
            <w14:solidFill>
              <w14:schemeClr w14:val="tx1"/>
            </w14:solidFill>
          </w14:textFill>
        </w:rPr>
        <w:t>193, 2019, 27-41https://doi.org/10.1016/j.still.2019.05.005</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Fu, L., </w:t>
      </w:r>
      <w:r>
        <w:rPr>
          <w:rFonts w:ascii="Times New Roman" w:hAnsi="Times New Roman"/>
          <w:i/>
          <w:color w:val="000000" w:themeColor="text1"/>
          <w:sz w:val="24"/>
          <w:szCs w:val="24"/>
          <w14:textFill>
            <w14:solidFill>
              <w14:schemeClr w14:val="tx1"/>
            </w14:solidFill>
          </w14:textFill>
        </w:rPr>
        <w:t>Inducing the Rhizosphere Microbiome by Biofertilizer Application to Suppress Banana Fusarium Wilt Disease</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Soil. Biol. Biochem.</w:t>
      </w:r>
      <w:r>
        <w:rPr>
          <w:rFonts w:ascii="Times New Roman" w:hAnsi="Times New Roman"/>
          <w:color w:val="000000" w:themeColor="text1"/>
          <w:sz w:val="24"/>
          <w:szCs w:val="24"/>
          <w14:textFill>
            <w14:solidFill>
              <w14:schemeClr w14:val="tx1"/>
            </w14:solidFill>
          </w14:textFill>
        </w:rPr>
        <w:t>, 104, 2017, 39–48.</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Fujii, K, Funakawa, S. &amp; Kosaki, T., </w:t>
      </w:r>
      <w:r>
        <w:rPr>
          <w:rFonts w:ascii="Times New Roman" w:hAnsi="Times New Roman"/>
          <w:i/>
          <w:color w:val="000000" w:themeColor="text1"/>
          <w:sz w:val="24"/>
          <w:szCs w:val="24"/>
          <w14:textFill>
            <w14:solidFill>
              <w14:schemeClr w14:val="tx1"/>
            </w14:solidFill>
          </w14:textFill>
        </w:rPr>
        <w:t>Soil Acidification: Natural Processes and Human Impact,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Pedologist</w:t>
      </w:r>
      <w:r>
        <w:rPr>
          <w:rFonts w:ascii="Times New Roman" w:hAnsi="Times New Roman"/>
          <w:color w:val="000000" w:themeColor="text1"/>
          <w:sz w:val="24"/>
          <w:szCs w:val="24"/>
          <w14:textFill>
            <w14:solidFill>
              <w14:schemeClr w14:val="tx1"/>
            </w14:solidFill>
          </w14:textFill>
        </w:rPr>
        <w:t>, 2019, 416-425</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Gabriel, O. R., Daniela B. O., Zhixiong, H., Robert, J. G., Chijioke, E., Robert, J. F., WenZhu, Y., Karen, A. B. &amp; Tim, A. M., </w:t>
      </w:r>
      <w:r>
        <w:rPr>
          <w:rFonts w:ascii="Times New Roman" w:hAnsi="Times New Roman"/>
          <w:i/>
          <w:color w:val="000000" w:themeColor="text1"/>
          <w:sz w:val="24"/>
          <w:szCs w:val="24"/>
          <w14:textFill>
            <w14:solidFill>
              <w14:schemeClr w14:val="tx1"/>
            </w14:solidFill>
          </w14:textFill>
        </w:rPr>
        <w:t>Repeated Inoculation of Cattle Rumen with Bison Rumen Contents Alters the Rumen Microbiome and Improves Nitrogen Digestibility in Cattle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Scientific Reports, </w:t>
      </w:r>
      <w:r>
        <w:rPr>
          <w:rFonts w:ascii="Times New Roman" w:hAnsi="Times New Roman"/>
          <w:color w:val="000000" w:themeColor="text1"/>
          <w:sz w:val="24"/>
          <w:szCs w:val="24"/>
          <w14:textFill>
            <w14:solidFill>
              <w14:schemeClr w14:val="tx1"/>
            </w14:solidFill>
          </w14:textFill>
        </w:rPr>
        <w:t>7, 2017, 1276</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Gamalero, E. Elisa B. &amp; Bernard R. G. </w:t>
      </w:r>
      <w:r>
        <w:rPr>
          <w:rFonts w:ascii="Times New Roman" w:hAnsi="Times New Roman"/>
          <w:i/>
          <w:iCs/>
          <w:color w:val="000000" w:themeColor="text1"/>
          <w:sz w:val="24"/>
          <w:szCs w:val="24"/>
          <w14:textFill>
            <w14:solidFill>
              <w14:schemeClr w14:val="tx1"/>
            </w14:solidFill>
          </w14:textFill>
        </w:rPr>
        <w:t>"Current Techniques to Study Beneficial Plant-Microbe Interactions".</w:t>
      </w:r>
      <w:r>
        <w:rPr>
          <w:rFonts w:ascii="Times New Roman" w:hAnsi="Times New Roman"/>
          <w:b/>
          <w:iCs/>
          <w:color w:val="000000" w:themeColor="text1"/>
          <w:sz w:val="24"/>
          <w:szCs w:val="24"/>
          <w14:textFill>
            <w14:solidFill>
              <w14:schemeClr w14:val="tx1"/>
            </w14:solidFill>
          </w14:textFill>
        </w:rPr>
        <w:t>Microorganisms</w:t>
      </w:r>
      <w:r>
        <w:rPr>
          <w:rFonts w:ascii="Times New Roman" w:hAnsi="Times New Roman"/>
          <w:color w:val="000000" w:themeColor="text1"/>
          <w:sz w:val="24"/>
          <w:szCs w:val="24"/>
          <w14:textFill>
            <w14:solidFill>
              <w14:schemeClr w14:val="tx1"/>
            </w14:solidFill>
          </w14:textFill>
        </w:rPr>
        <w:t xml:space="preserve">, 10(7),2022,1380.https://doi.org/10.3390/microorganisms10071380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Getachew, A., Tilahun, A., Teklu, E., Chilot, Y., Carol, H., Robert, T., Matthew,G., Nosworthy, S. B. &amp; Gudeta, W. S., </w:t>
      </w:r>
      <w:r>
        <w:rPr>
          <w:rFonts w:ascii="Times New Roman" w:hAnsi="Times New Roman"/>
          <w:i/>
          <w:color w:val="000000" w:themeColor="text1"/>
          <w:sz w:val="24"/>
          <w:szCs w:val="24"/>
          <w14:textFill>
            <w14:solidFill>
              <w14:schemeClr w14:val="tx1"/>
            </w14:solidFill>
          </w14:textFill>
        </w:rPr>
        <w:t>Extent and Management of Acid Soils for Sustainable Crop Production System in the Tropical Agroecosystems: A Review</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Acta Agriculturae Scandinavica</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Section B - Soil &amp; Plant Science</w:t>
      </w:r>
      <w:r>
        <w:rPr>
          <w:rFonts w:ascii="Times New Roman" w:hAnsi="Times New Roman"/>
          <w:color w:val="000000" w:themeColor="text1"/>
          <w:sz w:val="24"/>
          <w:szCs w:val="24"/>
          <w14:textFill>
            <w14:solidFill>
              <w14:schemeClr w14:val="tx1"/>
            </w14:solidFill>
          </w14:textFill>
        </w:rPr>
        <w:t>, 71:9, 2021, 852-869</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Gong, B., Zhang, S., Liu, X. &amp; Chen, K. Z., </w:t>
      </w:r>
      <w:r>
        <w:rPr>
          <w:rFonts w:ascii="Times New Roman" w:hAnsi="Times New Roman"/>
          <w:i/>
          <w:color w:val="000000" w:themeColor="text1"/>
          <w:sz w:val="24"/>
          <w:szCs w:val="24"/>
          <w14:textFill>
            <w14:solidFill>
              <w14:schemeClr w14:val="tx1"/>
            </w14:solidFill>
          </w14:textFill>
        </w:rPr>
        <w:t xml:space="preserve">The Zoonotic Diseases, Agricultural Production, and Impact Channels: Evidence from China, </w:t>
      </w:r>
      <w:r>
        <w:rPr>
          <w:rFonts w:ascii="Times New Roman" w:hAnsi="Times New Roman"/>
          <w:b/>
          <w:color w:val="000000" w:themeColor="text1"/>
          <w:sz w:val="24"/>
          <w:szCs w:val="24"/>
          <w14:textFill>
            <w14:solidFill>
              <w14:schemeClr w14:val="tx1"/>
            </w14:solidFill>
          </w14:textFill>
        </w:rPr>
        <w:t xml:space="preserve">Glob. Food Sec., </w:t>
      </w:r>
      <w:r>
        <w:rPr>
          <w:rFonts w:ascii="Times New Roman" w:hAnsi="Times New Roman"/>
          <w:color w:val="000000" w:themeColor="text1"/>
          <w:sz w:val="24"/>
          <w:szCs w:val="24"/>
          <w14:textFill>
            <w14:solidFill>
              <w14:schemeClr w14:val="tx1"/>
            </w14:solidFill>
          </w14:textFill>
        </w:rPr>
        <w:t>28, 2021, 100463</w:t>
      </w:r>
    </w:p>
    <w:p>
      <w:pPr>
        <w:tabs>
          <w:tab w:val="left" w:pos="630"/>
        </w:tabs>
        <w:spacing w:after="240" w:line="276" w:lineRule="auto"/>
        <w:ind w:left="567" w:hanging="567"/>
        <w:jc w:val="both"/>
        <w:rPr>
          <w:rStyle w:val="13"/>
          <w:rFonts w:ascii="Times New Roman" w:hAnsi="Times New Roman"/>
          <w:bCs/>
          <w:color w:val="auto"/>
          <w:sz w:val="24"/>
          <w:szCs w:val="24"/>
          <w:u w:val="none"/>
        </w:rPr>
      </w:pPr>
      <w:r>
        <w:fldChar w:fldCharType="begin"/>
      </w:r>
      <w:r>
        <w:instrText xml:space="preserve"> HYPERLINK "https://sciprofiles.com/profile/516413?utm_source=mdpi.com&amp;utm_medium=website&amp;utm_campaign=avatar_name" \t "_blank" </w:instrText>
      </w:r>
      <w:r>
        <w:fldChar w:fldCharType="separate"/>
      </w:r>
      <w:r>
        <w:rPr>
          <w:rStyle w:val="13"/>
          <w:rFonts w:ascii="Times New Roman" w:hAnsi="Times New Roman"/>
          <w:bCs/>
          <w:color w:val="auto"/>
          <w:sz w:val="24"/>
          <w:szCs w:val="24"/>
          <w:u w:val="none"/>
        </w:rPr>
        <w:t xml:space="preserve"> González de André</w:t>
      </w:r>
      <w:r>
        <w:rPr>
          <w:rStyle w:val="13"/>
          <w:rFonts w:ascii="Times New Roman" w:hAnsi="Times New Roman"/>
          <w:bCs/>
          <w:color w:val="auto"/>
          <w:sz w:val="24"/>
          <w:szCs w:val="24"/>
        </w:rPr>
        <w:t>s</w:t>
      </w:r>
      <w:r>
        <w:rPr>
          <w:rStyle w:val="13"/>
          <w:rFonts w:ascii="Times New Roman" w:hAnsi="Times New Roman"/>
          <w:bCs/>
          <w:color w:val="auto"/>
          <w:sz w:val="24"/>
          <w:szCs w:val="24"/>
        </w:rPr>
        <w:fldChar w:fldCharType="end"/>
      </w:r>
      <w:r>
        <w:rPr>
          <w:rFonts w:ascii="Times New Roman" w:hAnsi="Times New Roman"/>
          <w:bCs/>
          <w:color w:val="000000" w:themeColor="text1"/>
          <w:sz w:val="24"/>
          <w:szCs w:val="24"/>
          <w14:textFill>
            <w14:solidFill>
              <w14:schemeClr w14:val="tx1"/>
            </w14:solidFill>
          </w14:textFill>
        </w:rPr>
        <w:t xml:space="preserve"> E., </w:t>
      </w:r>
      <w:r>
        <w:rPr>
          <w:rFonts w:ascii="Times New Roman" w:hAnsi="Times New Roman"/>
          <w:bCs/>
          <w:i/>
          <w:color w:val="000000" w:themeColor="text1"/>
          <w:sz w:val="24"/>
          <w:szCs w:val="24"/>
          <w14:textFill>
            <w14:solidFill>
              <w14:schemeClr w14:val="tx1"/>
            </w14:solidFill>
          </w14:textFill>
        </w:rPr>
        <w:t>Interactions between Climate and Nutrient Cycles on Forest Response to Global Change</w:t>
      </w:r>
      <w:r>
        <w:rPr>
          <w:rFonts w:ascii="Times New Roman" w:hAnsi="Times New Roman"/>
          <w:bCs/>
          <w:color w:val="000000" w:themeColor="text1"/>
          <w:sz w:val="24"/>
          <w:szCs w:val="24"/>
          <w14:textFill>
            <w14:solidFill>
              <w14:schemeClr w14:val="tx1"/>
            </w14:solidFill>
          </w14:textFill>
        </w:rPr>
        <w:t xml:space="preserve">: The Role of Mixed </w:t>
      </w:r>
      <w:r>
        <w:rPr>
          <w:rFonts w:ascii="Times New Roman" w:hAnsi="Times New Roman"/>
          <w:b/>
          <w:bCs/>
          <w:color w:val="000000" w:themeColor="text1"/>
          <w:sz w:val="24"/>
          <w:szCs w:val="24"/>
          <w14:textFill>
            <w14:solidFill>
              <w14:schemeClr w14:val="tx1"/>
            </w14:solidFill>
          </w14:textFill>
        </w:rPr>
        <w:t>Forests,</w:t>
      </w:r>
      <w:r>
        <w:rPr>
          <w:rFonts w:ascii="Times New Roman" w:hAnsi="Times New Roman"/>
          <w:bCs/>
          <w:color w:val="000000" w:themeColor="text1"/>
          <w:sz w:val="24"/>
          <w:szCs w:val="24"/>
          <w14:textFill>
            <w14:solidFill>
              <w14:schemeClr w14:val="tx1"/>
            </w14:solidFill>
          </w14:textFill>
        </w:rPr>
        <w:t xml:space="preserve"> </w:t>
      </w:r>
      <w:r>
        <w:rPr>
          <w:rFonts w:ascii="Times New Roman" w:hAnsi="Times New Roman"/>
          <w:bCs/>
          <w:iCs/>
          <w:color w:val="000000" w:themeColor="text1"/>
          <w:sz w:val="24"/>
          <w:szCs w:val="24"/>
          <w14:textFill>
            <w14:solidFill>
              <w14:schemeClr w14:val="tx1"/>
            </w14:solidFill>
          </w14:textFill>
        </w:rPr>
        <w:t>10</w:t>
      </w:r>
      <w:r>
        <w:rPr>
          <w:rFonts w:ascii="Times New Roman" w:hAnsi="Times New Roman"/>
          <w:bCs/>
          <w:color w:val="000000" w:themeColor="text1"/>
          <w:sz w:val="24"/>
          <w:szCs w:val="24"/>
          <w14:textFill>
            <w14:solidFill>
              <w14:schemeClr w14:val="tx1"/>
            </w14:solidFill>
          </w14:textFill>
        </w:rPr>
        <w:t xml:space="preserve">(8), 2019, 609, </w:t>
      </w:r>
      <w:r>
        <w:fldChar w:fldCharType="begin"/>
      </w:r>
      <w:r>
        <w:instrText xml:space="preserve"> HYPERLINK "https://doi.org/10.3390/f10080609" </w:instrText>
      </w:r>
      <w:r>
        <w:fldChar w:fldCharType="separate"/>
      </w:r>
      <w:r>
        <w:rPr>
          <w:rStyle w:val="13"/>
          <w:rFonts w:ascii="Times New Roman" w:hAnsi="Times New Roman"/>
          <w:bCs/>
          <w:color w:val="auto"/>
          <w:sz w:val="24"/>
          <w:szCs w:val="24"/>
          <w:u w:val="none"/>
        </w:rPr>
        <w:t>https://doi.org/10.3390/f10080609</w:t>
      </w:r>
      <w:r>
        <w:rPr>
          <w:rStyle w:val="13"/>
          <w:rFonts w:ascii="Times New Roman" w:hAnsi="Times New Roman"/>
          <w:bCs/>
          <w:color w:val="auto"/>
          <w:sz w:val="24"/>
          <w:szCs w:val="24"/>
          <w:u w:val="none"/>
        </w:rPr>
        <w:fldChar w:fldCharType="end"/>
      </w:r>
    </w:p>
    <w:p>
      <w:pPr>
        <w:tabs>
          <w:tab w:val="left" w:pos="630"/>
        </w:tabs>
        <w:spacing w:after="240" w:line="276" w:lineRule="auto"/>
        <w:ind w:left="567" w:hanging="567"/>
        <w:jc w:val="both"/>
        <w:rPr>
          <w:rFonts w:ascii="Times New Roman" w:hAnsi="Times New Roman"/>
          <w:sz w:val="24"/>
          <w:szCs w:val="24"/>
        </w:rPr>
      </w:pPr>
      <w:r>
        <w:rPr>
          <w:rFonts w:ascii="Times New Roman" w:hAnsi="Times New Roman"/>
          <w:sz w:val="24"/>
          <w:szCs w:val="24"/>
        </w:rPr>
        <w:t xml:space="preserve">Gorliczay, E., Boczonádi, I., Kiss, N.É., Tóth, F.A., Pabar, S.A., Biró, B., Kovács, L.R. &amp; Tamás, J., </w:t>
      </w:r>
      <w:r>
        <w:rPr>
          <w:rFonts w:ascii="Times New Roman" w:hAnsi="Times New Roman"/>
          <w:i/>
          <w:sz w:val="24"/>
          <w:szCs w:val="24"/>
        </w:rPr>
        <w:t>Microbiological Effectivity Evaluation of New Poultry Farming Organic Waste Recycling</w:t>
      </w:r>
      <w:r>
        <w:rPr>
          <w:rFonts w:ascii="Times New Roman" w:hAnsi="Times New Roman"/>
          <w:sz w:val="24"/>
          <w:szCs w:val="24"/>
        </w:rPr>
        <w:t xml:space="preserve">, </w:t>
      </w:r>
      <w:r>
        <w:rPr>
          <w:rFonts w:ascii="Times New Roman" w:hAnsi="Times New Roman"/>
          <w:b/>
          <w:sz w:val="24"/>
          <w:szCs w:val="24"/>
        </w:rPr>
        <w:t>Agriculture</w:t>
      </w:r>
      <w:r>
        <w:rPr>
          <w:rFonts w:ascii="Times New Roman" w:hAnsi="Times New Roman"/>
          <w:sz w:val="24"/>
          <w:szCs w:val="24"/>
        </w:rPr>
        <w:t>, 11, 2021, 683. https://doi.org/ 10.3390/agriculture11070683</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Goulding, K. W. T., </w:t>
      </w:r>
      <w:r>
        <w:rPr>
          <w:rFonts w:ascii="Times New Roman" w:hAnsi="Times New Roman"/>
          <w:i/>
          <w:color w:val="000000" w:themeColor="text1"/>
          <w:sz w:val="24"/>
          <w:szCs w:val="24"/>
          <w14:textFill>
            <w14:solidFill>
              <w14:schemeClr w14:val="tx1"/>
            </w14:solidFill>
          </w14:textFill>
        </w:rPr>
        <w:t xml:space="preserve">Soil Acidification and the Importance of Liming Agricultural Soils with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Particular Reference to the United Kingdom</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iCs/>
          <w:color w:val="000000" w:themeColor="text1"/>
          <w:sz w:val="24"/>
          <w:szCs w:val="24"/>
          <w14:textFill>
            <w14:solidFill>
              <w14:schemeClr w14:val="tx1"/>
            </w14:solidFill>
          </w14:textFill>
        </w:rPr>
        <w:t>Soil</w:t>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b/>
          <w:iCs/>
          <w:color w:val="000000" w:themeColor="text1"/>
          <w:sz w:val="24"/>
          <w:szCs w:val="24"/>
          <w14:textFill>
            <w14:solidFill>
              <w14:schemeClr w14:val="tx1"/>
            </w14:solidFill>
          </w14:textFill>
        </w:rPr>
        <w:t>use and management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i/>
          <w:iCs/>
          <w:color w:val="000000" w:themeColor="text1"/>
          <w:sz w:val="24"/>
          <w:szCs w:val="24"/>
          <w14:textFill>
            <w14:solidFill>
              <w14:schemeClr w14:val="tx1"/>
            </w14:solidFill>
          </w14:textFill>
        </w:rPr>
        <w:t>32</w:t>
      </w:r>
      <w:r>
        <w:rPr>
          <w:rFonts w:ascii="Times New Roman" w:hAnsi="Times New Roman"/>
          <w:color w:val="000000" w:themeColor="text1"/>
          <w:sz w:val="24"/>
          <w:szCs w:val="24"/>
          <w14:textFill>
            <w14:solidFill>
              <w14:schemeClr w14:val="tx1"/>
            </w14:solidFill>
          </w14:textFill>
        </w:rPr>
        <w:t xml:space="preserve">(3), 2016,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390-399.</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Gu, C., Kim, G.B., Kim, W. J., </w:t>
      </w:r>
      <w:r>
        <w:rPr>
          <w:rFonts w:ascii="Times New Roman" w:hAnsi="Times New Roman"/>
          <w:i/>
          <w:iCs/>
          <w:color w:val="000000" w:themeColor="text1"/>
          <w:sz w:val="24"/>
          <w:szCs w:val="24"/>
          <w14:textFill>
            <w14:solidFill>
              <w14:schemeClr w14:val="tx1"/>
            </w14:solidFill>
          </w14:textFill>
        </w:rPr>
        <w:t>Current Status and Applications of Genome-scale Metabolic Models</w:t>
      </w:r>
      <w:r>
        <w:rPr>
          <w:rFonts w:ascii="Times New Roman" w:hAnsi="Times New Roman"/>
          <w:b/>
          <w:bCs/>
          <w:i/>
          <w:iCs/>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 xml:space="preserve">Genome Biol., </w:t>
      </w:r>
      <w:r>
        <w:rPr>
          <w:rFonts w:ascii="Times New Roman" w:hAnsi="Times New Roman"/>
          <w:color w:val="000000" w:themeColor="text1"/>
          <w:sz w:val="24"/>
          <w:szCs w:val="24"/>
          <w14:textFill>
            <w14:solidFill>
              <w14:schemeClr w14:val="tx1"/>
            </w14:solidFill>
          </w14:textFill>
        </w:rPr>
        <w:t xml:space="preserve">20, 2019, 121 </w:t>
      </w:r>
      <w:r>
        <w:fldChar w:fldCharType="begin"/>
      </w:r>
      <w:r>
        <w:instrText xml:space="preserve"> HYPERLINK "https://doi.org/10.1186/s13059-019-1730-3" </w:instrText>
      </w:r>
      <w:r>
        <w:fldChar w:fldCharType="separate"/>
      </w:r>
      <w:r>
        <w:rPr>
          <w:rFonts w:ascii="Times New Roman" w:hAnsi="Times New Roman"/>
          <w:color w:val="000000" w:themeColor="text1"/>
          <w:sz w:val="24"/>
          <w:szCs w:val="24"/>
          <w14:textFill>
            <w14:solidFill>
              <w14:schemeClr w14:val="tx1"/>
            </w14:solidFill>
          </w14:textFill>
        </w:rPr>
        <w:t>https://doi.org/10.1186/s13059-019-1730-3</w:t>
      </w:r>
      <w:r>
        <w:rPr>
          <w:rFonts w:ascii="Times New Roman" w:hAnsi="Times New Roman"/>
          <w:color w:val="000000" w:themeColor="text1"/>
          <w:sz w:val="24"/>
          <w:szCs w:val="24"/>
          <w14:textFill>
            <w14:solidFill>
              <w14:schemeClr w14:val="tx1"/>
            </w14:solidFill>
          </w14:textFill>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Gurmu, G., </w:t>
      </w:r>
      <w:r>
        <w:rPr>
          <w:rFonts w:ascii="Times New Roman" w:hAnsi="Times New Roman"/>
          <w:i/>
          <w:color w:val="000000" w:themeColor="text1"/>
          <w:sz w:val="24"/>
          <w:szCs w:val="24"/>
          <w14:textFill>
            <w14:solidFill>
              <w14:schemeClr w14:val="tx1"/>
            </w14:solidFill>
          </w14:textFill>
        </w:rPr>
        <w:t>Soil Organic Matter and its Role in Soil Health and Crop Productivity Improvement,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Journal of Agricultural Science and Research</w:t>
      </w:r>
      <w:r>
        <w:rPr>
          <w:rFonts w:ascii="Times New Roman" w:hAnsi="Times New Roman"/>
          <w:color w:val="000000" w:themeColor="text1"/>
          <w:sz w:val="24"/>
          <w:szCs w:val="24"/>
          <w14:textFill>
            <w14:solidFill>
              <w14:schemeClr w14:val="tx1"/>
            </w14:solidFill>
          </w14:textFill>
        </w:rPr>
        <w:t>, 7(7), 2019, 475-483</w:t>
      </w:r>
    </w:p>
    <w:p>
      <w:pPr>
        <w:tabs>
          <w:tab w:val="left" w:pos="810"/>
        </w:tabs>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Heuermann, D. Döll, S. Schweneker, D. Feuerstein, U. Gentsch, N. &amp; Von, W. N., </w:t>
      </w:r>
      <w:r>
        <w:rPr>
          <w:rFonts w:ascii="Times New Roman" w:hAnsi="Times New Roman"/>
          <w:i/>
          <w:iCs/>
          <w:color w:val="000000" w:themeColor="text1"/>
          <w:sz w:val="24"/>
          <w:szCs w:val="24"/>
          <w14:textFill>
            <w14:solidFill>
              <w14:schemeClr w14:val="tx1"/>
            </w14:solidFill>
          </w14:textFill>
        </w:rPr>
        <w:t>Distinct Metabolite Classes in Root Exudates are Indicative for Field- or Hydroponically-grown Cover Crops.</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Front. Plant Sci.</w:t>
      </w:r>
      <w:r>
        <w:rPr>
          <w:rFonts w:ascii="Times New Roman" w:hAnsi="Times New Roman"/>
          <w:color w:val="000000" w:themeColor="text1"/>
          <w:sz w:val="24"/>
          <w:szCs w:val="24"/>
          <w14:textFill>
            <w14:solidFill>
              <w14:schemeClr w14:val="tx1"/>
            </w14:solidFill>
          </w14:textFill>
        </w:rPr>
        <w:t> 14: 2023, 1122285. doi: 10.3389/fpls.2023.1122285</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Homyak, P. M. Blankinship J. C Slessarev E. W., Schaeffer S. M, Manzoni  S., &amp;</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 xml:space="preserve">Schimel J. P., </w:t>
      </w:r>
      <w:r>
        <w:rPr>
          <w:rFonts w:ascii="Times New Roman" w:hAnsi="Times New Roman"/>
          <w:i/>
          <w:color w:val="000000" w:themeColor="text1"/>
          <w:sz w:val="24"/>
          <w:szCs w:val="24"/>
          <w14:textFill>
            <w14:solidFill>
              <w14:schemeClr w14:val="tx1"/>
            </w14:solidFill>
          </w14:textFill>
        </w:rPr>
        <w:t>Effects of Altered Dry-season Length and Plant Inputs on Soluble Soil Carbon,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Ecology</w:t>
      </w:r>
      <w:r>
        <w:rPr>
          <w:rFonts w:ascii="Times New Roman" w:hAnsi="Times New Roman"/>
          <w:color w:val="000000" w:themeColor="text1"/>
          <w:sz w:val="24"/>
          <w:szCs w:val="24"/>
          <w14:textFill>
            <w14:solidFill>
              <w14:schemeClr w14:val="tx1"/>
            </w14:solidFill>
          </w14:textFill>
        </w:rPr>
        <w:t>, 99(10), 2018, 2348-2362</w:t>
      </w:r>
    </w:p>
    <w:p>
      <w:pPr>
        <w:spacing w:after="240" w:line="276" w:lineRule="auto"/>
        <w:ind w:left="720" w:hanging="720"/>
        <w:jc w:val="both"/>
        <w:rPr>
          <w:rFonts w:ascii="Times New Roman" w:hAnsi="Times New Roman"/>
          <w:sz w:val="24"/>
          <w:szCs w:val="24"/>
        </w:rPr>
      </w:pPr>
      <w:r>
        <w:rPr>
          <w:rFonts w:ascii="Times New Roman" w:hAnsi="Times New Roman"/>
          <w:color w:val="000000" w:themeColor="text1"/>
          <w:sz w:val="24"/>
          <w:szCs w:val="24"/>
          <w14:textFill>
            <w14:solidFill>
              <w14:schemeClr w14:val="tx1"/>
            </w14:solidFill>
          </w14:textFill>
        </w:rPr>
        <w:t>Hu, X</w:t>
      </w:r>
      <w:r>
        <w:rPr>
          <w:rFonts w:ascii="Times New Roman" w:hAnsi="Times New Roman"/>
          <w:sz w:val="24"/>
          <w:szCs w:val="24"/>
        </w:rPr>
        <w:t xml:space="preserve">. Yuanxun, Z. Dong, W. Jian, Ma. Kaibing, X. Zhaobo, A. Wenxing, L. &amp; Yizhi, S., </w:t>
      </w:r>
      <w:r>
        <w:rPr>
          <w:rFonts w:ascii="Times New Roman" w:hAnsi="Times New Roman"/>
          <w:i/>
          <w:iCs/>
          <w:sz w:val="24"/>
          <w:szCs w:val="24"/>
        </w:rPr>
        <w:t>"Effects of Temperature and Humidity on Soil Gross Nitrogen Transformation in a Typical Shrub Ecosystem in Yanshan Mountain and Hilly Region"</w:t>
      </w:r>
      <w:r>
        <w:rPr>
          <w:rFonts w:ascii="Times New Roman" w:hAnsi="Times New Roman"/>
          <w:sz w:val="24"/>
          <w:szCs w:val="24"/>
        </w:rPr>
        <w:t> </w:t>
      </w:r>
      <w:r>
        <w:rPr>
          <w:rFonts w:ascii="Times New Roman" w:hAnsi="Times New Roman"/>
          <w:b/>
          <w:iCs/>
          <w:sz w:val="24"/>
          <w:szCs w:val="24"/>
        </w:rPr>
        <w:t>Life</w:t>
      </w:r>
      <w:r>
        <w:rPr>
          <w:rFonts w:ascii="Times New Roman" w:hAnsi="Times New Roman"/>
          <w:iCs/>
          <w:sz w:val="24"/>
          <w:szCs w:val="24"/>
        </w:rPr>
        <w:t>,</w:t>
      </w:r>
      <w:r>
        <w:rPr>
          <w:rFonts w:ascii="Times New Roman" w:hAnsi="Times New Roman"/>
          <w:sz w:val="24"/>
          <w:szCs w:val="24"/>
        </w:rPr>
        <w:t xml:space="preserve"> 13(3), 2023, 643, </w:t>
      </w:r>
      <w:r>
        <w:fldChar w:fldCharType="begin"/>
      </w:r>
      <w:r>
        <w:instrText xml:space="preserve"> HYPERLINK "https://doi.org/10.3390/life13030643" </w:instrText>
      </w:r>
      <w:r>
        <w:fldChar w:fldCharType="separate"/>
      </w:r>
      <w:r>
        <w:rPr>
          <w:rFonts w:ascii="Times New Roman" w:hAnsi="Times New Roman"/>
          <w:sz w:val="24"/>
          <w:szCs w:val="24"/>
        </w:rPr>
        <w:t>https://doi.org/10.3390/life13030643</w:t>
      </w:r>
      <w:r>
        <w:rPr>
          <w:rFonts w:ascii="Times New Roman" w:hAnsi="Times New Roman"/>
          <w:sz w:val="24"/>
          <w:szCs w:val="24"/>
        </w:rPr>
        <w:fldChar w:fldCharType="end"/>
      </w:r>
    </w:p>
    <w:p>
      <w:pPr>
        <w:tabs>
          <w:tab w:val="left" w:pos="630"/>
        </w:tabs>
        <w:spacing w:after="240" w:line="276" w:lineRule="auto"/>
        <w:ind w:left="630" w:hanging="630"/>
        <w:jc w:val="both"/>
        <w:rPr>
          <w:rFonts w:ascii="Times New Roman" w:hAnsi="Times New Roman"/>
          <w:bCs/>
          <w:color w:val="000000" w:themeColor="text1"/>
          <w:sz w:val="24"/>
          <w:szCs w:val="24"/>
          <w14:textFill>
            <w14:solidFill>
              <w14:schemeClr w14:val="tx1"/>
            </w14:solidFill>
          </w14:textFill>
        </w:rPr>
      </w:pPr>
      <w:r>
        <w:rPr>
          <w:rFonts w:ascii="Times New Roman" w:hAnsi="Times New Roman"/>
          <w:bCs/>
          <w:color w:val="000000" w:themeColor="text1"/>
          <w:sz w:val="24"/>
          <w:szCs w:val="24"/>
          <w14:textFill>
            <w14:solidFill>
              <w14:schemeClr w14:val="tx1"/>
            </w14:solidFill>
          </w14:textFill>
        </w:rPr>
        <w:t>Huabin L.,</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Rong Z.,</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Kai S.,</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Weixiang L.,</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Song W.,</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&amp; Chengliang W</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i/>
          <w:color w:val="000000" w:themeColor="text1"/>
          <w:sz w:val="24"/>
          <w:szCs w:val="24"/>
          <w14:textFill>
            <w14:solidFill>
              <w14:schemeClr w14:val="tx1"/>
            </w14:solidFill>
          </w14:textFill>
        </w:rPr>
        <w:t>Aluminum Stress Signaling, Response, and Adaptive Mechanisms in Plants.</w:t>
      </w:r>
      <w:r>
        <w:rPr>
          <w:rFonts w:ascii="Times New Roman" w:hAnsi="Times New Roman"/>
          <w:b/>
          <w:bCs/>
          <w:color w:val="000000" w:themeColor="text1"/>
          <w:sz w:val="24"/>
          <w:szCs w:val="24"/>
          <w14:textFill>
            <w14:solidFill>
              <w14:schemeClr w14:val="tx1"/>
            </w14:solidFill>
          </w14:textFill>
        </w:rPr>
        <w:t xml:space="preserve"> Plant Signalling &amp; Behaviour</w:t>
      </w:r>
      <w:r>
        <w:rPr>
          <w:rFonts w:ascii="Times New Roman" w:hAnsi="Times New Roman"/>
          <w:bCs/>
          <w:i/>
          <w:color w:val="000000" w:themeColor="text1"/>
          <w:sz w:val="24"/>
          <w:szCs w:val="24"/>
          <w14:textFill>
            <w14:solidFill>
              <w14:schemeClr w14:val="tx1"/>
            </w14:solidFill>
          </w14:textFill>
        </w:rPr>
        <w:t xml:space="preserve"> </w:t>
      </w:r>
      <w:r>
        <w:rPr>
          <w:rFonts w:ascii="Times New Roman" w:hAnsi="Times New Roman"/>
          <w:bCs/>
          <w:color w:val="000000" w:themeColor="text1"/>
          <w:sz w:val="24"/>
          <w:szCs w:val="24"/>
          <w14:textFill>
            <w14:solidFill>
              <w14:schemeClr w14:val="tx1"/>
            </w14:solidFill>
          </w14:textFill>
        </w:rPr>
        <w:t>17(1); 2022,</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Cs/>
          <w:color w:val="000000" w:themeColor="text1"/>
          <w:sz w:val="24"/>
          <w:szCs w:val="24"/>
          <w14:textFill>
            <w14:solidFill>
              <w14:schemeClr w14:val="tx1"/>
            </w14:solidFill>
          </w14:textFill>
        </w:rPr>
        <w:t>2057060, PMCID: PMC9045826</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Iannucci, A. Fragasso, M. Beleggia, R. Nigro, F. &amp; Papa, R., </w:t>
      </w:r>
      <w:r>
        <w:rPr>
          <w:rFonts w:ascii="Times New Roman" w:hAnsi="Times New Roman"/>
          <w:i/>
          <w:iCs/>
          <w:sz w:val="24"/>
          <w:szCs w:val="24"/>
        </w:rPr>
        <w:t>Evolution of the Crop Rhizosphere: Impact of Domestication on Root Exudates in Tetraploid Wheat (Triticum turgidum L.). </w:t>
      </w:r>
      <w:r>
        <w:rPr>
          <w:rFonts w:ascii="Times New Roman" w:hAnsi="Times New Roman"/>
          <w:b/>
          <w:bCs/>
          <w:sz w:val="24"/>
          <w:szCs w:val="24"/>
        </w:rPr>
        <w:t>Front. Plant Sci.</w:t>
      </w:r>
      <w:r>
        <w:rPr>
          <w:rFonts w:ascii="Times New Roman" w:hAnsi="Times New Roman"/>
          <w:sz w:val="24"/>
          <w:szCs w:val="24"/>
        </w:rPr>
        <w:t xml:space="preserve"> 8: 2018, 2124. doi: 10.3389/fpls.2017.02124 </w:t>
      </w:r>
    </w:p>
    <w:p>
      <w:pPr>
        <w:spacing w:after="240" w:line="276" w:lineRule="auto"/>
        <w:ind w:left="720" w:hanging="720"/>
        <w:jc w:val="both"/>
        <w:rPr>
          <w:rFonts w:ascii="Times New Roman" w:hAnsi="Times New Roman"/>
          <w:bCs/>
          <w:sz w:val="24"/>
          <w:szCs w:val="24"/>
        </w:rPr>
      </w:pPr>
      <w:r>
        <w:rPr>
          <w:rFonts w:ascii="Times New Roman" w:hAnsi="Times New Roman"/>
          <w:sz w:val="24"/>
          <w:szCs w:val="24"/>
        </w:rPr>
        <w:t xml:space="preserve">Jackson T., &amp; Meetei, T. T., </w:t>
      </w:r>
      <w:r>
        <w:rPr>
          <w:rFonts w:ascii="Times New Roman" w:hAnsi="Times New Roman"/>
          <w:i/>
          <w:sz w:val="24"/>
          <w:szCs w:val="24"/>
        </w:rPr>
        <w:t xml:space="preserve">Influence of Soil </w:t>
      </w:r>
      <w:r>
        <w:rPr>
          <w:rFonts w:ascii="Times New Roman" w:hAnsi="Times New Roman"/>
          <w:i/>
          <w:sz w:val="24"/>
          <w:szCs w:val="24"/>
          <w:vertAlign w:val="subscript"/>
        </w:rPr>
        <w:t>p</w:t>
      </w:r>
      <w:r>
        <w:rPr>
          <w:rFonts w:ascii="Times New Roman" w:hAnsi="Times New Roman"/>
          <w:i/>
          <w:sz w:val="24"/>
          <w:szCs w:val="24"/>
        </w:rPr>
        <w:t>H on Nutrient Availability: A Review,</w:t>
      </w:r>
      <w:r>
        <w:rPr>
          <w:rFonts w:ascii="Times New Roman" w:hAnsi="Times New Roman"/>
          <w:sz w:val="24"/>
          <w:szCs w:val="24"/>
        </w:rPr>
        <w:t xml:space="preserve"> </w:t>
      </w:r>
      <w:r>
        <w:rPr>
          <w:rFonts w:ascii="Times New Roman" w:hAnsi="Times New Roman"/>
          <w:b/>
          <w:bCs/>
          <w:sz w:val="24"/>
          <w:szCs w:val="24"/>
        </w:rPr>
        <w:t>Journal of Emerging Technologies and Innovative Research,</w:t>
      </w:r>
      <w:r>
        <w:rPr>
          <w:rFonts w:ascii="Times New Roman" w:hAnsi="Times New Roman"/>
          <w:bCs/>
          <w:sz w:val="24"/>
          <w:szCs w:val="24"/>
        </w:rPr>
        <w:t xml:space="preserve"> 5(12), 2018, 707-713</w:t>
      </w:r>
    </w:p>
    <w:p>
      <w:pPr>
        <w:spacing w:after="240" w:line="276" w:lineRule="auto"/>
        <w:ind w:left="720" w:hanging="720"/>
        <w:jc w:val="both"/>
        <w:rPr>
          <w:rFonts w:ascii="Times New Roman" w:hAnsi="Times New Roman"/>
          <w:color w:val="000000"/>
          <w:sz w:val="24"/>
          <w:szCs w:val="24"/>
        </w:rPr>
      </w:pPr>
      <w:r>
        <w:rPr>
          <w:rFonts w:ascii="Times New Roman" w:hAnsi="Times New Roman"/>
          <w:color w:val="000000"/>
          <w:sz w:val="24"/>
          <w:szCs w:val="24"/>
        </w:rPr>
        <w:t xml:space="preserve">James, J., Elisabeth, G. P., Stefano, C., Guia, C., Nicholas, C., Nathalie, C., Karin, H., Henning, M., Gunilla, P., Hugues, T., Elena, V., Arne, V., Lars, V., Peter, W. and Mathieu, J., </w:t>
      </w:r>
      <w:r>
        <w:rPr>
          <w:rFonts w:ascii="Times New Roman" w:hAnsi="Times New Roman"/>
          <w:i/>
          <w:color w:val="000000"/>
          <w:sz w:val="24"/>
          <w:szCs w:val="24"/>
        </w:rPr>
        <w:t>The Response of Soil Solution Chemistry in European Forests to Decreasing Acid Deposition</w:t>
      </w:r>
      <w:r>
        <w:rPr>
          <w:rFonts w:ascii="Times New Roman" w:hAnsi="Times New Roman"/>
          <w:color w:val="000000"/>
          <w:sz w:val="24"/>
          <w:szCs w:val="24"/>
        </w:rPr>
        <w:t xml:space="preserve">, </w:t>
      </w:r>
      <w:r>
        <w:rPr>
          <w:rFonts w:ascii="Times New Roman" w:hAnsi="Times New Roman"/>
          <w:b/>
          <w:color w:val="000000"/>
          <w:sz w:val="24"/>
          <w:szCs w:val="24"/>
        </w:rPr>
        <w:t>Global Change Biology</w:t>
      </w:r>
      <w:r>
        <w:rPr>
          <w:rFonts w:ascii="Times New Roman" w:hAnsi="Times New Roman"/>
          <w:color w:val="000000"/>
          <w:sz w:val="24"/>
          <w:szCs w:val="24"/>
        </w:rPr>
        <w:t>, 24(8), 2018, 3603-3619</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Jiang, L. Z. S., Su, J., Peck, S.C., &amp; Luo, L., </w:t>
      </w:r>
      <w:r>
        <w:rPr>
          <w:rFonts w:ascii="Times New Roman" w:hAnsi="Times New Roman"/>
          <w:i/>
          <w:iCs/>
          <w:sz w:val="24"/>
          <w:szCs w:val="24"/>
        </w:rPr>
        <w:t>Protein Kinase Signaling Pathways in Plant-Colletotrichum Interaction</w:t>
      </w:r>
      <w:r>
        <w:rPr>
          <w:rFonts w:ascii="Times New Roman" w:hAnsi="Times New Roman"/>
          <w:bCs/>
          <w:iCs/>
          <w:sz w:val="24"/>
          <w:szCs w:val="24"/>
        </w:rPr>
        <w:t>,</w:t>
      </w:r>
      <w:r>
        <w:rPr>
          <w:rFonts w:ascii="Times New Roman" w:hAnsi="Times New Roman"/>
          <w:b/>
          <w:bCs/>
          <w:i/>
          <w:iCs/>
          <w:sz w:val="24"/>
          <w:szCs w:val="24"/>
        </w:rPr>
        <w:t> </w:t>
      </w:r>
      <w:r>
        <w:rPr>
          <w:rFonts w:ascii="Times New Roman" w:hAnsi="Times New Roman"/>
          <w:b/>
          <w:bCs/>
          <w:sz w:val="24"/>
          <w:szCs w:val="24"/>
        </w:rPr>
        <w:t>Front. Plant Sci</w:t>
      </w:r>
      <w:r>
        <w:rPr>
          <w:rFonts w:ascii="Times New Roman" w:hAnsi="Times New Roman"/>
          <w:sz w:val="24"/>
          <w:szCs w:val="24"/>
        </w:rPr>
        <w:t>., 12, 2022, 829645. doi: 10.3389/fpls.2021.829645</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Jiao, R., Cai, Y., He, P., Munir, S., Li, X., Wu, Y., Wang, J., Xia, M., He, P., Wang, G., Yang, H., Karunarathna, S. C., Xie, Y., &amp; He, Y.,  </w:t>
      </w:r>
      <w:r>
        <w:rPr>
          <w:rFonts w:ascii="Times New Roman" w:hAnsi="Times New Roman"/>
          <w:i/>
          <w:iCs/>
          <w:sz w:val="24"/>
          <w:szCs w:val="24"/>
        </w:rPr>
        <w:t>Bacillus amyloliquefaciens YN201732 Produces Lipopeptides With Promising Biocontrol Activity Against Fungal Pathogen Erysiphe cichoracearum.</w:t>
      </w:r>
      <w:r>
        <w:rPr>
          <w:rFonts w:ascii="Times New Roman" w:hAnsi="Times New Roman"/>
          <w:sz w:val="24"/>
          <w:szCs w:val="24"/>
        </w:rPr>
        <w:t> </w:t>
      </w:r>
      <w:r>
        <w:rPr>
          <w:rFonts w:ascii="Times New Roman" w:hAnsi="Times New Roman"/>
          <w:b/>
          <w:sz w:val="24"/>
          <w:szCs w:val="24"/>
        </w:rPr>
        <w:t>Frontiers in cellular and infection microbiology</w:t>
      </w:r>
      <w:r>
        <w:rPr>
          <w:rFonts w:ascii="Times New Roman" w:hAnsi="Times New Roman"/>
          <w:sz w:val="24"/>
          <w:szCs w:val="24"/>
        </w:rPr>
        <w:t xml:space="preserve">, 11, 2021, 598999. </w:t>
      </w:r>
      <w:r>
        <w:fldChar w:fldCharType="begin"/>
      </w:r>
      <w:r>
        <w:instrText xml:space="preserve"> HYPERLINK "https://doi.org/10.3389/fcimb.2021.598999" </w:instrText>
      </w:r>
      <w:r>
        <w:fldChar w:fldCharType="separate"/>
      </w:r>
      <w:r>
        <w:rPr>
          <w:rFonts w:ascii="Times New Roman" w:hAnsi="Times New Roman"/>
          <w:sz w:val="24"/>
          <w:szCs w:val="24"/>
        </w:rPr>
        <w:t>https://doi.org/10.3389/fcimb.2021.598999</w:t>
      </w:r>
      <w:r>
        <w:rPr>
          <w:rFonts w:ascii="Times New Roman" w:hAnsi="Times New Roman"/>
          <w:sz w:val="24"/>
          <w:szCs w:val="24"/>
        </w:rPr>
        <w:fldChar w:fldCharType="end"/>
      </w:r>
    </w:p>
    <w:p>
      <w:pPr>
        <w:spacing w:after="240" w:line="276" w:lineRule="auto"/>
        <w:ind w:left="720" w:hanging="720"/>
        <w:jc w:val="both"/>
        <w:rPr>
          <w:rFonts w:ascii="Times New Roman" w:hAnsi="Times New Roman"/>
          <w:sz w:val="24"/>
          <w:szCs w:val="24"/>
        </w:rPr>
      </w:pPr>
      <w:r>
        <w:rPr>
          <w:rFonts w:ascii="Times New Roman" w:hAnsi="Times New Roman"/>
          <w:color w:val="000000"/>
          <w:sz w:val="24"/>
          <w:szCs w:val="24"/>
        </w:rPr>
        <w:t xml:space="preserve">Johanna B. H., Michael S. H., Courtney K. R. Matthew L. S., Sandra O., Li F., &amp; Hongqiu Y., </w:t>
      </w:r>
      <w:r>
        <w:fldChar w:fldCharType="begin"/>
      </w:r>
      <w:r>
        <w:instrText xml:space="preserve"> HYPERLINK "https://journals.asm.org/doi/10.1128/msystems.00029-19" </w:instrText>
      </w:r>
      <w:r>
        <w:fldChar w:fldCharType="separate"/>
      </w:r>
      <w:r>
        <w:rPr>
          <w:rStyle w:val="13"/>
          <w:rFonts w:ascii="Times New Roman" w:hAnsi="Times New Roman"/>
          <w:i/>
          <w:color w:val="auto"/>
          <w:sz w:val="24"/>
          <w:szCs w:val="24"/>
          <w:u w:val="none"/>
        </w:rPr>
        <w:t>Ultrahigh-Throughput Multiplexing and Sequencing of &gt;500-Base-Pair Amplicon Regions on the Illumina HiSeq 2500 Platform</w:t>
      </w:r>
      <w:r>
        <w:rPr>
          <w:rStyle w:val="13"/>
          <w:rFonts w:ascii="Times New Roman" w:hAnsi="Times New Roman"/>
          <w:i/>
          <w:color w:val="auto"/>
          <w:sz w:val="24"/>
          <w:szCs w:val="24"/>
          <w:u w:val="none"/>
        </w:rPr>
        <w:fldChar w:fldCharType="end"/>
      </w:r>
      <w:r>
        <w:rPr>
          <w:rFonts w:ascii="Times New Roman" w:hAnsi="Times New Roman"/>
          <w:i/>
          <w:sz w:val="24"/>
          <w:szCs w:val="24"/>
        </w:rPr>
        <w:t xml:space="preserve">, </w:t>
      </w:r>
      <w:r>
        <w:rPr>
          <w:rFonts w:ascii="Times New Roman" w:hAnsi="Times New Roman"/>
          <w:sz w:val="24"/>
          <w:szCs w:val="24"/>
        </w:rPr>
        <w:t>4(1),2019</w:t>
      </w:r>
      <w:r>
        <w:rPr>
          <w:rFonts w:ascii="Times New Roman" w:hAnsi="Times New Roman"/>
          <w:i/>
          <w:sz w:val="24"/>
          <w:szCs w:val="24"/>
        </w:rPr>
        <w:t xml:space="preserve">, </w:t>
      </w:r>
      <w:r>
        <w:fldChar w:fldCharType="begin"/>
      </w:r>
      <w:r>
        <w:instrText xml:space="preserve"> HYPERLINK "https://journals.asm.org/" </w:instrText>
      </w:r>
      <w:r>
        <w:fldChar w:fldCharType="separate"/>
      </w:r>
      <w:r>
        <w:rPr>
          <w:rStyle w:val="13"/>
          <w:rFonts w:ascii="Times New Roman" w:hAnsi="Times New Roman"/>
          <w:b/>
          <w:color w:val="auto"/>
          <w:sz w:val="24"/>
          <w:szCs w:val="24"/>
          <w:u w:val="none"/>
        </w:rPr>
        <w:t>ASM Journals</w:t>
      </w:r>
      <w:r>
        <w:rPr>
          <w:rStyle w:val="13"/>
          <w:rFonts w:ascii="Times New Roman" w:hAnsi="Times New Roman"/>
          <w:b/>
          <w:color w:val="auto"/>
          <w:sz w:val="24"/>
          <w:szCs w:val="24"/>
          <w:u w:val="none"/>
        </w:rPr>
        <w:fldChar w:fldCharType="end"/>
      </w:r>
      <w:r>
        <w:rPr>
          <w:rFonts w:ascii="Times New Roman" w:hAnsi="Times New Roman"/>
          <w:b/>
          <w:sz w:val="24"/>
          <w:szCs w:val="24"/>
        </w:rPr>
        <w:t xml:space="preserve"> </w:t>
      </w:r>
      <w:r>
        <w:rPr>
          <w:rFonts w:ascii="Times New Roman" w:hAnsi="Times New Roman"/>
          <w:bCs/>
          <w:sz w:val="24"/>
          <w:szCs w:val="24"/>
        </w:rPr>
        <w:t>DOI: </w:t>
      </w:r>
      <w:r>
        <w:fldChar w:fldCharType="begin"/>
      </w:r>
      <w:r>
        <w:instrText xml:space="preserve"> HYPERLINK "https://doi.org/10.1128/msystems.00029-19" </w:instrText>
      </w:r>
      <w:r>
        <w:fldChar w:fldCharType="separate"/>
      </w:r>
      <w:r>
        <w:rPr>
          <w:rStyle w:val="13"/>
          <w:rFonts w:ascii="Times New Roman" w:hAnsi="Times New Roman"/>
          <w:color w:val="auto"/>
          <w:sz w:val="24"/>
          <w:szCs w:val="24"/>
          <w:u w:val="none"/>
        </w:rPr>
        <w:t>https://doi.org/10.1128/msystems.00029-19</w:t>
      </w:r>
      <w:r>
        <w:rPr>
          <w:rStyle w:val="13"/>
          <w:rFonts w:ascii="Times New Roman" w:hAnsi="Times New Roman"/>
          <w:color w:val="auto"/>
          <w:sz w:val="24"/>
          <w:szCs w:val="24"/>
          <w:u w:val="none"/>
        </w:rPr>
        <w:fldChar w:fldCharType="end"/>
      </w:r>
    </w:p>
    <w:p>
      <w:pPr>
        <w:tabs>
          <w:tab w:val="left" w:pos="630"/>
        </w:tabs>
        <w:spacing w:after="240" w:line="276" w:lineRule="auto"/>
        <w:ind w:left="630" w:hanging="630"/>
        <w:jc w:val="both"/>
        <w:rPr>
          <w:rFonts w:ascii="Times New Roman" w:hAnsi="Times New Roman"/>
          <w:bCs/>
          <w:color w:val="000000" w:themeColor="text1"/>
          <w:sz w:val="24"/>
          <w:szCs w:val="24"/>
          <w:shd w:val="clear" w:color="auto" w:fill="FFFFFF"/>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Junhua, Z., Cong, S., Tian, H. S. &amp; Ji, L. L., </w:t>
      </w:r>
      <w:r>
        <w:rPr>
          <w:rFonts w:ascii="Times New Roman" w:hAnsi="Times New Roman"/>
          <w:bCs/>
          <w:i/>
          <w:color w:val="000000" w:themeColor="text1"/>
          <w:sz w:val="24"/>
          <w:szCs w:val="24"/>
          <w:shd w:val="clear" w:color="auto" w:fill="FFFFFF"/>
          <w14:textFill>
            <w14:solidFill>
              <w14:schemeClr w14:val="tx1"/>
            </w14:solidFill>
          </w14:textFill>
        </w:rPr>
        <w:t xml:space="preserve">Difference Responses of Soil Fungal </w:t>
      </w:r>
      <w:r>
        <w:rPr>
          <w:rFonts w:ascii="Times New Roman" w:hAnsi="Times New Roman"/>
          <w:bCs/>
          <w:i/>
          <w:color w:val="000000" w:themeColor="text1"/>
          <w:sz w:val="24"/>
          <w:szCs w:val="24"/>
          <w:shd w:val="clear" w:color="auto" w:fill="FFFFFF"/>
          <w14:textFill>
            <w14:solidFill>
              <w14:schemeClr w14:val="tx1"/>
            </w14:solidFill>
          </w14:textFill>
        </w:rPr>
        <w:tab/>
      </w:r>
      <w:r>
        <w:rPr>
          <w:rFonts w:ascii="Times New Roman" w:hAnsi="Times New Roman"/>
          <w:bCs/>
          <w:i/>
          <w:color w:val="000000" w:themeColor="text1"/>
          <w:sz w:val="24"/>
          <w:szCs w:val="24"/>
          <w:shd w:val="clear" w:color="auto" w:fill="FFFFFF"/>
          <w14:textFill>
            <w14:solidFill>
              <w14:schemeClr w14:val="tx1"/>
            </w14:solidFill>
          </w14:textFill>
        </w:rPr>
        <w:t xml:space="preserve">Communities </w:t>
      </w:r>
      <w:r>
        <w:rPr>
          <w:rFonts w:ascii="Times New Roman" w:hAnsi="Times New Roman"/>
          <w:bCs/>
          <w:i/>
          <w:color w:val="000000" w:themeColor="text1"/>
          <w:sz w:val="24"/>
          <w:szCs w:val="24"/>
          <w:shd w:val="clear" w:color="auto" w:fill="FFFFFF"/>
          <w14:textFill>
            <w14:solidFill>
              <w14:schemeClr w14:val="tx1"/>
            </w14:solidFill>
          </w14:textFill>
        </w:rPr>
        <w:tab/>
      </w:r>
      <w:r>
        <w:rPr>
          <w:rFonts w:ascii="Times New Roman" w:hAnsi="Times New Roman"/>
          <w:bCs/>
          <w:i/>
          <w:color w:val="000000" w:themeColor="text1"/>
          <w:sz w:val="24"/>
          <w:szCs w:val="24"/>
          <w:shd w:val="clear" w:color="auto" w:fill="FFFFFF"/>
          <w14:textFill>
            <w14:solidFill>
              <w14:schemeClr w14:val="tx1"/>
            </w14:solidFill>
          </w14:textFill>
        </w:rPr>
        <w:t>to Cattle and Chicken Manure Composting Application</w:t>
      </w:r>
      <w:r>
        <w:rPr>
          <w:rFonts w:ascii="Times New Roman" w:hAnsi="Times New Roman"/>
          <w:bCs/>
          <w:color w:val="000000" w:themeColor="text1"/>
          <w:sz w:val="24"/>
          <w:szCs w:val="24"/>
          <w:shd w:val="clear" w:color="auto" w:fill="FFFFFF"/>
          <w14:textFill>
            <w14:solidFill>
              <w14:schemeClr w14:val="tx1"/>
            </w14:solidFill>
          </w14:textFill>
        </w:rPr>
        <w:t xml:space="preserve">, </w:t>
      </w:r>
      <w:r>
        <w:rPr>
          <w:rFonts w:ascii="Times New Roman" w:hAnsi="Times New Roman"/>
          <w:b/>
          <w:bCs/>
          <w:color w:val="000000" w:themeColor="text1"/>
          <w:sz w:val="24"/>
          <w:szCs w:val="24"/>
          <w:shd w:val="clear" w:color="auto" w:fill="FFFFFF"/>
          <w14:textFill>
            <w14:solidFill>
              <w14:schemeClr w14:val="tx1"/>
            </w14:solidFill>
          </w14:textFill>
        </w:rPr>
        <w:t xml:space="preserve">Journal of Applied </w:t>
      </w:r>
      <w:r>
        <w:rPr>
          <w:rFonts w:ascii="Times New Roman" w:hAnsi="Times New Roman"/>
          <w:b/>
          <w:bCs/>
          <w:color w:val="000000" w:themeColor="text1"/>
          <w:sz w:val="24"/>
          <w:szCs w:val="24"/>
          <w:shd w:val="clear" w:color="auto" w:fill="FFFFFF"/>
          <w14:textFill>
            <w14:solidFill>
              <w14:schemeClr w14:val="tx1"/>
            </w14:solidFill>
          </w14:textFill>
        </w:rPr>
        <w:tab/>
      </w:r>
      <w:r>
        <w:rPr>
          <w:rFonts w:ascii="Times New Roman" w:hAnsi="Times New Roman"/>
          <w:b/>
          <w:bCs/>
          <w:color w:val="000000" w:themeColor="text1"/>
          <w:sz w:val="24"/>
          <w:szCs w:val="24"/>
          <w:shd w:val="clear" w:color="auto" w:fill="FFFFFF"/>
          <w14:textFill>
            <w14:solidFill>
              <w14:schemeClr w14:val="tx1"/>
            </w14:solidFill>
          </w14:textFill>
        </w:rPr>
        <w:t>Microbiology</w:t>
      </w:r>
      <w:r>
        <w:rPr>
          <w:rFonts w:ascii="Times New Roman" w:hAnsi="Times New Roman"/>
          <w:bCs/>
          <w:i/>
          <w:color w:val="000000" w:themeColor="text1"/>
          <w:sz w:val="24"/>
          <w:szCs w:val="24"/>
          <w:shd w:val="clear" w:color="auto" w:fill="FFFFFF"/>
          <w14:textFill>
            <w14:solidFill>
              <w14:schemeClr w14:val="tx1"/>
            </w14:solidFill>
          </w14:textFill>
        </w:rPr>
        <w:t xml:space="preserve">, </w:t>
      </w:r>
      <w:r>
        <w:rPr>
          <w:rFonts w:ascii="Times New Roman" w:hAnsi="Times New Roman"/>
          <w:bCs/>
          <w:color w:val="000000" w:themeColor="text1"/>
          <w:sz w:val="24"/>
          <w:szCs w:val="24"/>
          <w:shd w:val="clear" w:color="auto" w:fill="FFFFFF"/>
          <w14:textFill>
            <w14:solidFill>
              <w14:schemeClr w14:val="tx1"/>
            </w14:solidFill>
          </w14:textFill>
        </w:rPr>
        <w:t xml:space="preserve">133(2), </w:t>
      </w:r>
      <w:r>
        <w:rPr>
          <w:rFonts w:ascii="Times New Roman" w:hAnsi="Times New Roman"/>
          <w:color w:val="000000" w:themeColor="text1"/>
          <w:sz w:val="24"/>
          <w:szCs w:val="24"/>
          <w14:textFill>
            <w14:solidFill>
              <w14:schemeClr w14:val="tx1"/>
            </w14:solidFill>
          </w14:textFill>
        </w:rPr>
        <w:t>2022,</w:t>
      </w:r>
      <w:r>
        <w:rPr>
          <w:rFonts w:ascii="Times New Roman" w:hAnsi="Times New Roman"/>
          <w:bCs/>
          <w:color w:val="000000" w:themeColor="text1"/>
          <w:sz w:val="24"/>
          <w:szCs w:val="24"/>
          <w:shd w:val="clear" w:color="auto" w:fill="FFFFFF"/>
          <w14:textFill>
            <w14:solidFill>
              <w14:schemeClr w14:val="tx1"/>
            </w14:solidFill>
          </w14:textFill>
        </w:rPr>
        <w:t xml:space="preserve"> 323-333</w:t>
      </w:r>
    </w:p>
    <w:p>
      <w:pPr>
        <w:spacing w:after="240" w:line="276" w:lineRule="auto"/>
        <w:ind w:left="720" w:hanging="720"/>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Jurado, G. P., Saucedo, T. R., Morales, N. C., Juárez, M. M., Sosa, P. G. &amp; Álvarez, H. A., </w:t>
      </w:r>
      <w:r>
        <w:rPr>
          <w:rFonts w:ascii="Times New Roman" w:hAnsi="Times New Roman"/>
          <w:i/>
          <w:iCs/>
          <w:color w:val="000000" w:themeColor="text1"/>
          <w:sz w:val="24"/>
          <w:szCs w:val="24"/>
          <w14:textFill>
            <w14:solidFill>
              <w14:schemeClr w14:val="tx1"/>
            </w14:solidFill>
          </w14:textFill>
        </w:rPr>
        <w:t xml:space="preserve">Soil </w:t>
      </w:r>
      <w:r>
        <w:rPr>
          <w:rFonts w:ascii="Times New Roman" w:hAnsi="Times New Roman"/>
          <w:i/>
          <w:iCs/>
          <w:sz w:val="24"/>
          <w:szCs w:val="24"/>
        </w:rPr>
        <w:t>Carbon Stocks of Semi-arid Grasslands in Northern Mexico. </w:t>
      </w:r>
      <w:r>
        <w:rPr>
          <w:rFonts w:ascii="Times New Roman" w:hAnsi="Times New Roman"/>
          <w:b/>
          <w:bCs/>
          <w:sz w:val="24"/>
          <w:szCs w:val="24"/>
        </w:rPr>
        <w:t>The Rangeland Journal</w:t>
      </w:r>
      <w:r>
        <w:rPr>
          <w:rFonts w:ascii="Times New Roman" w:hAnsi="Times New Roman"/>
          <w:sz w:val="24"/>
          <w:szCs w:val="24"/>
        </w:rPr>
        <w:t> </w:t>
      </w:r>
      <w:r>
        <w:rPr>
          <w:rFonts w:ascii="Times New Roman" w:hAnsi="Times New Roman"/>
          <w:b/>
          <w:bCs/>
          <w:sz w:val="24"/>
          <w:szCs w:val="24"/>
        </w:rPr>
        <w:t>43</w:t>
      </w:r>
      <w:r>
        <w:rPr>
          <w:rFonts w:ascii="Times New Roman" w:hAnsi="Times New Roman"/>
          <w:sz w:val="24"/>
          <w:szCs w:val="24"/>
        </w:rPr>
        <w:t xml:space="preserve">, 2021, 247-255. </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Kakumanu, M. L., Ma, L., &amp; Williams, M. A., </w:t>
      </w:r>
      <w:r>
        <w:rPr>
          <w:rFonts w:ascii="Times New Roman" w:hAnsi="Times New Roman"/>
          <w:i/>
          <w:iCs/>
          <w:sz w:val="24"/>
          <w:szCs w:val="24"/>
        </w:rPr>
        <w:t>Drought-induced Soil Microbial Amino Acid and Polysaccharide Change and their Implications for C-N Cycles in a Climate Change World</w:t>
      </w:r>
      <w:r>
        <w:rPr>
          <w:rFonts w:ascii="Times New Roman" w:hAnsi="Times New Roman"/>
          <w:sz w:val="24"/>
          <w:szCs w:val="24"/>
        </w:rPr>
        <w:t>. </w:t>
      </w:r>
      <w:r>
        <w:rPr>
          <w:rFonts w:ascii="Times New Roman" w:hAnsi="Times New Roman"/>
          <w:b/>
          <w:sz w:val="24"/>
          <w:szCs w:val="24"/>
        </w:rPr>
        <w:t>Scientific reports</w:t>
      </w:r>
      <w:r>
        <w:rPr>
          <w:rFonts w:ascii="Times New Roman" w:hAnsi="Times New Roman"/>
          <w:sz w:val="24"/>
          <w:szCs w:val="24"/>
        </w:rPr>
        <w:t xml:space="preserve">, 9(1), 2019, 10968 https://doi.org/10.1038/s41598-019-46984-1 </w:t>
      </w:r>
    </w:p>
    <w:p>
      <w:pPr>
        <w:spacing w:after="240" w:line="276" w:lineRule="auto"/>
        <w:ind w:left="720" w:hanging="720"/>
        <w:jc w:val="both"/>
        <w:rPr>
          <w:rStyle w:val="13"/>
          <w:rFonts w:ascii="Times New Roman" w:hAnsi="Times New Roman"/>
          <w:color w:val="000000"/>
          <w:sz w:val="24"/>
          <w:szCs w:val="24"/>
          <w:u w:val="none"/>
        </w:rPr>
      </w:pPr>
      <w:r>
        <w:rPr>
          <w:rFonts w:ascii="Times New Roman" w:hAnsi="Times New Roman"/>
          <w:sz w:val="24"/>
          <w:szCs w:val="24"/>
        </w:rPr>
        <w:t xml:space="preserve">Kamble, P. N. &amp; Baath, E., </w:t>
      </w:r>
      <w:r>
        <w:rPr>
          <w:rFonts w:ascii="Times New Roman" w:hAnsi="Times New Roman"/>
          <w:i/>
          <w:sz w:val="24"/>
          <w:szCs w:val="24"/>
        </w:rPr>
        <w:t>Carbon and Nitrogen Amendments Lead to Differential Growth of Bacterial and Fungal Communities in a High-pH Soil</w:t>
      </w:r>
      <w:r>
        <w:rPr>
          <w:rFonts w:ascii="Times New Roman" w:hAnsi="Times New Roman"/>
          <w:sz w:val="24"/>
          <w:szCs w:val="24"/>
        </w:rPr>
        <w:t xml:space="preserve">, </w:t>
      </w:r>
      <w:r>
        <w:rPr>
          <w:rFonts w:ascii="Times New Roman" w:hAnsi="Times New Roman"/>
          <w:b/>
          <w:sz w:val="24"/>
          <w:szCs w:val="24"/>
        </w:rPr>
        <w:t>Pedosphere</w:t>
      </w:r>
      <w:r>
        <w:rPr>
          <w:rFonts w:ascii="Times New Roman" w:hAnsi="Times New Roman"/>
          <w:sz w:val="24"/>
          <w:szCs w:val="24"/>
        </w:rPr>
        <w:t>, 28(2), 2018, 255-260</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Khan, S. U. ,. Hooda, P. S,. Blackwell M. S. A &amp;. Busquets, R, </w:t>
      </w:r>
      <w:r>
        <w:rPr>
          <w:rFonts w:ascii="Times New Roman" w:hAnsi="Times New Roman"/>
          <w:i/>
          <w:sz w:val="24"/>
          <w:szCs w:val="24"/>
        </w:rPr>
        <w:t xml:space="preserve">Microbial Biomass Responses to Soil Drying-Rewetting and Phosphorus Leaching, </w:t>
      </w:r>
      <w:r>
        <w:rPr>
          <w:rFonts w:ascii="Times New Roman" w:hAnsi="Times New Roman"/>
          <w:b/>
          <w:sz w:val="24"/>
          <w:szCs w:val="24"/>
        </w:rPr>
        <w:t>Front. Environ. Sci.</w:t>
      </w:r>
      <w:r>
        <w:rPr>
          <w:rFonts w:ascii="Times New Roman" w:hAnsi="Times New Roman"/>
          <w:sz w:val="24"/>
          <w:szCs w:val="24"/>
        </w:rPr>
        <w:t>, 7, 2019, 1-9, doi: 10.3389/fenvs.2019.00133</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Kokina, K., Linda, M., Kamila, G., Romans, N., Ksenija, G., &amp; Talis, J., "</w:t>
      </w:r>
      <w:r>
        <w:rPr>
          <w:rFonts w:ascii="Times New Roman" w:hAnsi="Times New Roman"/>
          <w:i/>
          <w:iCs/>
          <w:color w:val="000000" w:themeColor="text1"/>
          <w:sz w:val="24"/>
          <w:szCs w:val="24"/>
          <w14:textFill>
            <w14:solidFill>
              <w14:schemeClr w14:val="tx1"/>
            </w14:solidFill>
          </w14:textFill>
        </w:rPr>
        <w:t>Impact of Rapid pH Changes on Activated Sludge Process", </w:t>
      </w:r>
      <w:r>
        <w:rPr>
          <w:rFonts w:ascii="Times New Roman" w:hAnsi="Times New Roman"/>
          <w:b/>
          <w:iCs/>
          <w:color w:val="000000" w:themeColor="text1"/>
          <w:sz w:val="24"/>
          <w:szCs w:val="24"/>
          <w14:textFill>
            <w14:solidFill>
              <w14:schemeClr w14:val="tx1"/>
            </w14:solidFill>
          </w14:textFill>
        </w:rPr>
        <w:t>Applied Sciences</w:t>
      </w:r>
      <w:r>
        <w:rPr>
          <w:rFonts w:ascii="Times New Roman" w:hAnsi="Times New Roman"/>
          <w:color w:val="000000" w:themeColor="text1"/>
          <w:sz w:val="24"/>
          <w:szCs w:val="24"/>
          <w14:textFill>
            <w14:solidFill>
              <w14:schemeClr w14:val="tx1"/>
            </w14:solidFill>
          </w14:textFill>
        </w:rPr>
        <w:t xml:space="preserve">, 12(11), 2022, 5754. </w:t>
      </w:r>
      <w:r>
        <w:fldChar w:fldCharType="begin"/>
      </w:r>
      <w:r>
        <w:instrText xml:space="preserve"> HYPERLINK "https://doi.org/10.3390/app12115754" </w:instrText>
      </w:r>
      <w:r>
        <w:fldChar w:fldCharType="separate"/>
      </w:r>
      <w:r>
        <w:rPr>
          <w:rStyle w:val="13"/>
          <w:rFonts w:ascii="Times New Roman" w:hAnsi="Times New Roman"/>
          <w:color w:val="000000" w:themeColor="text1"/>
          <w:sz w:val="24"/>
          <w:szCs w:val="24"/>
          <w:u w:val="none"/>
          <w14:textFill>
            <w14:solidFill>
              <w14:schemeClr w14:val="tx1"/>
            </w14:solidFill>
          </w14:textFill>
        </w:rPr>
        <w:t>https://doi.org/10.3390/app12115754</w:t>
      </w:r>
      <w:r>
        <w:rPr>
          <w:rStyle w:val="13"/>
          <w:rFonts w:ascii="Times New Roman" w:hAnsi="Times New Roman"/>
          <w:color w:val="000000" w:themeColor="text1"/>
          <w:sz w:val="24"/>
          <w:szCs w:val="24"/>
          <w:u w:val="none"/>
          <w14:textFill>
            <w14:solidFill>
              <w14:schemeClr w14:val="tx1"/>
            </w14:solidFill>
          </w14:textFill>
        </w:rPr>
        <w:fldChar w:fldCharType="end"/>
      </w:r>
      <w:r>
        <w:rPr>
          <w:rFonts w:ascii="Times New Roman" w:hAnsi="Times New Roman"/>
          <w:color w:val="000000" w:themeColor="text1"/>
          <w:sz w:val="24"/>
          <w:szCs w:val="24"/>
          <w14:textFill>
            <w14:solidFill>
              <w14:schemeClr w14:val="tx1"/>
            </w14:solidFill>
          </w14:textFill>
        </w:rPr>
        <w:t>.</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Kong, B., Qicong, W., Yongqiang, L.,  Taochuan, Z., Yufei, M., Chuanfu, L., Chuanrong, L., Fenghua, W., Shuying, J. M., &amp; Lianhui. S. </w:t>
      </w:r>
      <w:r>
        <w:rPr>
          <w:rFonts w:ascii="Times New Roman" w:hAnsi="Times New Roman"/>
          <w:i/>
          <w:iCs/>
          <w:color w:val="000000" w:themeColor="text1"/>
          <w:sz w:val="24"/>
          <w:szCs w:val="24"/>
          <w14:textFill>
            <w14:solidFill>
              <w14:schemeClr w14:val="tx1"/>
            </w14:solidFill>
          </w14:textFill>
        </w:rPr>
        <w:t>"The Application of Humic Acid Urea Improves Nitrogen Use Efficiency and Crop Yield by Reducing the Nitrogen Loss Compared with Urea" </w:t>
      </w:r>
      <w:r>
        <w:rPr>
          <w:rFonts w:ascii="Times New Roman" w:hAnsi="Times New Roman"/>
          <w:b/>
          <w:iCs/>
          <w:color w:val="000000" w:themeColor="text1"/>
          <w:sz w:val="24"/>
          <w:szCs w:val="24"/>
          <w14:textFill>
            <w14:solidFill>
              <w14:schemeClr w14:val="tx1"/>
            </w14:solidFill>
          </w14:textFill>
        </w:rPr>
        <w:t>Agriculture</w:t>
      </w:r>
      <w:r>
        <w:rPr>
          <w:rFonts w:ascii="Times New Roman" w:hAnsi="Times New Roman"/>
          <w:color w:val="000000" w:themeColor="text1"/>
          <w:sz w:val="24"/>
          <w:szCs w:val="24"/>
          <w14:textFill>
            <w14:solidFill>
              <w14:schemeClr w14:val="tx1"/>
            </w14:solidFill>
          </w14:textFill>
        </w:rPr>
        <w:t xml:space="preserve">, 12(12), 2022, 1996. https://doi.org/10.3390/agriculture12121996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Kraamwinkel, C. T., Beaulieu, A., Dias, T., </w:t>
      </w:r>
      <w:r>
        <w:rPr>
          <w:rFonts w:ascii="Times New Roman" w:hAnsi="Times New Roman"/>
          <w:i/>
          <w:iCs/>
          <w:color w:val="000000" w:themeColor="text1"/>
          <w:sz w:val="24"/>
          <w:szCs w:val="24"/>
          <w14:textFill>
            <w14:solidFill>
              <w14:schemeClr w14:val="tx1"/>
            </w14:solidFill>
          </w14:textFill>
        </w:rPr>
        <w:t>Planetary Limits to Soil Degradation. </w:t>
      </w:r>
      <w:r>
        <w:rPr>
          <w:rFonts w:ascii="Times New Roman" w:hAnsi="Times New Roman"/>
          <w:b/>
          <w:color w:val="000000" w:themeColor="text1"/>
          <w:sz w:val="24"/>
          <w:szCs w:val="24"/>
          <w14:textFill>
            <w14:solidFill>
              <w14:schemeClr w14:val="tx1"/>
            </w14:solidFill>
          </w14:textFill>
        </w:rPr>
        <w:t>Commun Earth Environ</w:t>
      </w:r>
      <w:r>
        <w:rPr>
          <w:rFonts w:ascii="Times New Roman" w:hAnsi="Times New Roman"/>
          <w:color w:val="000000" w:themeColor="text1"/>
          <w:sz w:val="24"/>
          <w:szCs w:val="24"/>
          <w14:textFill>
            <w14:solidFill>
              <w14:schemeClr w14:val="tx1"/>
            </w14:solidFill>
          </w14:textFill>
        </w:rPr>
        <w:t xml:space="preserve">, 2, 2021, 249, </w:t>
      </w:r>
      <w:r>
        <w:fldChar w:fldCharType="begin"/>
      </w:r>
      <w:r>
        <w:instrText xml:space="preserve"> HYPERLINK "https://doi.org/10.1038/s43247-021-00323-3" </w:instrText>
      </w:r>
      <w:r>
        <w:fldChar w:fldCharType="separate"/>
      </w:r>
      <w:r>
        <w:rPr>
          <w:rFonts w:ascii="Times New Roman" w:hAnsi="Times New Roman"/>
          <w:color w:val="000000" w:themeColor="text1"/>
          <w:sz w:val="24"/>
          <w:szCs w:val="24"/>
          <w14:textFill>
            <w14:solidFill>
              <w14:schemeClr w14:val="tx1"/>
            </w14:solidFill>
          </w14:textFill>
        </w:rPr>
        <w:t>https://doi.org/10.1038/s43247-021-00323-3</w:t>
      </w:r>
      <w:r>
        <w:rPr>
          <w:rFonts w:ascii="Times New Roman" w:hAnsi="Times New Roman"/>
          <w:color w:val="000000" w:themeColor="text1"/>
          <w:sz w:val="24"/>
          <w:szCs w:val="24"/>
          <w14:textFill>
            <w14:solidFill>
              <w14:schemeClr w14:val="tx1"/>
            </w14:solidFill>
          </w14:textFill>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Kreve, S. &amp; Dos Reis, A. C., </w:t>
      </w:r>
      <w:r>
        <w:rPr>
          <w:rFonts w:ascii="Times New Roman" w:hAnsi="Times New Roman"/>
          <w:i/>
          <w:color w:val="000000" w:themeColor="text1"/>
          <w:sz w:val="24"/>
          <w:szCs w:val="24"/>
          <w14:textFill>
            <w14:solidFill>
              <w14:schemeClr w14:val="tx1"/>
            </w14:solidFill>
          </w14:textFill>
        </w:rPr>
        <w:t xml:space="preserve">Bacterial Adhesion to Biomaterials: What Regulates this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Attachment?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Jpn. Dent. Sci. Rev.</w:t>
      </w:r>
      <w:r>
        <w:rPr>
          <w:rFonts w:ascii="Times New Roman" w:hAnsi="Times New Roman"/>
          <w:color w:val="000000" w:themeColor="text1"/>
          <w:sz w:val="24"/>
          <w:szCs w:val="24"/>
          <w14:textFill>
            <w14:solidFill>
              <w14:schemeClr w14:val="tx1"/>
            </w14:solidFill>
          </w14:textFill>
        </w:rPr>
        <w:t>, 57, 2021, 85-96</w:t>
      </w:r>
    </w:p>
    <w:p>
      <w:pPr>
        <w:spacing w:after="240" w:line="276" w:lineRule="auto"/>
        <w:ind w:left="567" w:hanging="567"/>
        <w:jc w:val="both"/>
        <w:rPr>
          <w:rFonts w:ascii="Times New Roman" w:hAnsi="Times New Roman"/>
          <w:sz w:val="24"/>
          <w:szCs w:val="24"/>
        </w:rPr>
      </w:pPr>
      <w:r>
        <w:rPr>
          <w:rFonts w:ascii="Times New Roman" w:hAnsi="Times New Roman"/>
          <w:sz w:val="24"/>
          <w:szCs w:val="24"/>
        </w:rPr>
        <w:t xml:space="preserve">Kumar, P., &amp; Sharma, P. K. </w:t>
      </w:r>
      <w:r>
        <w:rPr>
          <w:rFonts w:ascii="Times New Roman" w:hAnsi="Times New Roman"/>
          <w:i/>
          <w:iCs/>
          <w:sz w:val="24"/>
          <w:szCs w:val="24"/>
        </w:rPr>
        <w:t>Soil Salinity and Food Security in India. </w:t>
      </w:r>
      <w:r>
        <w:rPr>
          <w:rFonts w:ascii="Times New Roman" w:hAnsi="Times New Roman"/>
          <w:b/>
          <w:bCs/>
          <w:sz w:val="24"/>
          <w:szCs w:val="24"/>
        </w:rPr>
        <w:t>Front. Sustain. Food Syst.</w:t>
      </w:r>
      <w:r>
        <w:rPr>
          <w:rFonts w:ascii="Times New Roman" w:hAnsi="Times New Roman"/>
          <w:sz w:val="24"/>
          <w:szCs w:val="24"/>
        </w:rPr>
        <w:t xml:space="preserve"> 4: 2020, 533781. doi: 10.3389/fsufs.2020.533781 </w:t>
      </w:r>
    </w:p>
    <w:p>
      <w:pPr>
        <w:spacing w:after="240" w:line="276" w:lineRule="auto"/>
        <w:ind w:left="567" w:hanging="567"/>
        <w:jc w:val="both"/>
        <w:rPr>
          <w:rFonts w:ascii="Times New Roman" w:hAnsi="Times New Roman"/>
          <w:sz w:val="24"/>
          <w:szCs w:val="24"/>
        </w:rPr>
      </w:pPr>
      <w:r>
        <w:rPr>
          <w:rFonts w:ascii="Times New Roman" w:hAnsi="Times New Roman"/>
          <w:sz w:val="24"/>
          <w:szCs w:val="24"/>
        </w:rPr>
        <w:t xml:space="preserve">Kunt, F. &amp; Özkan, A., </w:t>
      </w:r>
      <w:r>
        <w:rPr>
          <w:rFonts w:ascii="Times New Roman" w:hAnsi="Times New Roman"/>
          <w:i/>
          <w:sz w:val="24"/>
          <w:szCs w:val="24"/>
        </w:rPr>
        <w:t>Negative effects of acid rains on agricultural areas</w:t>
      </w:r>
      <w:r>
        <w:rPr>
          <w:rFonts w:ascii="Times New Roman" w:hAnsi="Times New Roman"/>
          <w:sz w:val="24"/>
          <w:szCs w:val="24"/>
        </w:rPr>
        <w:t xml:space="preserve">, </w:t>
      </w:r>
      <w:r>
        <w:rPr>
          <w:rFonts w:ascii="Times New Roman" w:hAnsi="Times New Roman"/>
          <w:b/>
          <w:sz w:val="24"/>
          <w:szCs w:val="24"/>
        </w:rPr>
        <w:t>Ann. Environ. Sci. Toxicol.</w:t>
      </w:r>
      <w:r>
        <w:rPr>
          <w:rFonts w:ascii="Times New Roman" w:hAnsi="Times New Roman"/>
          <w:sz w:val="24"/>
          <w:szCs w:val="24"/>
        </w:rPr>
        <w:t>, 7(1), 2023, 013-016, https://dx.doi.org/10.17352/aest.000065</w:t>
      </w:r>
    </w:p>
    <w:p>
      <w:pPr>
        <w:spacing w:after="240" w:line="276" w:lineRule="auto"/>
        <w:ind w:left="567" w:hanging="567"/>
        <w:jc w:val="both"/>
        <w:rPr>
          <w:rFonts w:ascii="Times New Roman" w:hAnsi="Times New Roman"/>
          <w:sz w:val="24"/>
          <w:szCs w:val="24"/>
        </w:rPr>
      </w:pPr>
      <w:r>
        <w:rPr>
          <w:rFonts w:ascii="Times New Roman" w:hAnsi="Times New Roman"/>
          <w:sz w:val="24"/>
          <w:szCs w:val="24"/>
        </w:rPr>
        <w:t xml:space="preserve">Kuppa, B. D. K., Umale, S., &amp; Zhou, Z. </w:t>
      </w:r>
      <w:r>
        <w:rPr>
          <w:rFonts w:ascii="Times New Roman" w:hAnsi="Times New Roman"/>
          <w:i/>
          <w:iCs/>
          <w:sz w:val="24"/>
          <w:szCs w:val="24"/>
        </w:rPr>
        <w:t>Metagenome-based Metabolic Modelling Predicts Unique Microbial Interactions in Deep-sea Hydrothermal Plume Microbiomes.</w:t>
      </w:r>
      <w:r>
        <w:rPr>
          <w:rFonts w:ascii="Times New Roman" w:hAnsi="Times New Roman"/>
          <w:b/>
          <w:i/>
          <w:iCs/>
          <w:sz w:val="24"/>
          <w:szCs w:val="24"/>
        </w:rPr>
        <w:t> </w:t>
      </w:r>
      <w:r>
        <w:rPr>
          <w:rFonts w:ascii="Times New Roman" w:hAnsi="Times New Roman"/>
          <w:b/>
          <w:sz w:val="24"/>
          <w:szCs w:val="24"/>
        </w:rPr>
        <w:t>ISME COMMUN.</w:t>
      </w:r>
      <w:r>
        <w:rPr>
          <w:rFonts w:ascii="Times New Roman" w:hAnsi="Times New Roman"/>
          <w:sz w:val="24"/>
          <w:szCs w:val="24"/>
        </w:rPr>
        <w:t xml:space="preserve">, 3, 2023, 42, https://doi.org/10.1038/s43705-023-00242-8 </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Kurniawan S, Corre M. D, Utami S.R, &amp; Veldkamp E.  </w:t>
      </w:r>
      <w:r>
        <w:rPr>
          <w:rFonts w:ascii="Times New Roman" w:hAnsi="Times New Roman"/>
          <w:i/>
          <w:color w:val="000000" w:themeColor="text1"/>
          <w:sz w:val="24"/>
          <w:szCs w:val="24"/>
          <w14:textFill>
            <w14:solidFill>
              <w14:schemeClr w14:val="tx1"/>
            </w14:solidFill>
          </w14:textFill>
        </w:rPr>
        <w:t>Soil Biochemical Properties and Nutrient Leaching from Smallholder Oil Palm Plantations, Sumatra-Indonesia,</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AGRIVITA Journal of Agricultural Science</w:t>
      </w:r>
      <w:r>
        <w:rPr>
          <w:rFonts w:ascii="Times New Roman" w:hAnsi="Times New Roman"/>
          <w:color w:val="000000" w:themeColor="text1"/>
          <w:sz w:val="24"/>
          <w:szCs w:val="24"/>
          <w14:textFill>
            <w14:solidFill>
              <w14:schemeClr w14:val="tx1"/>
            </w14:solidFill>
          </w14:textFill>
        </w:rPr>
        <w:t xml:space="preserve"> 40(2), 2018, </w:t>
      </w:r>
      <w:r>
        <w:fldChar w:fldCharType="begin"/>
      </w:r>
      <w:r>
        <w:instrText xml:space="preserve"> HYPERLINK "http://doi.org/10.17503/agrivita.v40i2.1723" </w:instrText>
      </w:r>
      <w:r>
        <w:fldChar w:fldCharType="separate"/>
      </w:r>
      <w:r>
        <w:rPr>
          <w:rStyle w:val="13"/>
          <w:rFonts w:ascii="Times New Roman" w:hAnsi="Times New Roman"/>
          <w:color w:val="auto"/>
          <w:sz w:val="24"/>
          <w:szCs w:val="24"/>
          <w:u w:val="none"/>
        </w:rPr>
        <w:t>http://doi.org/10.17503/agrivita.v40i2.1723</w:t>
      </w:r>
      <w:r>
        <w:rPr>
          <w:rStyle w:val="13"/>
          <w:rFonts w:ascii="Times New Roman" w:hAnsi="Times New Roman"/>
          <w:color w:val="auto"/>
          <w:sz w:val="24"/>
          <w:szCs w:val="24"/>
          <w:u w:val="none"/>
        </w:rPr>
        <w:fldChar w:fldCharType="end"/>
      </w:r>
    </w:p>
    <w:p>
      <w:pPr>
        <w:spacing w:after="240" w:line="276" w:lineRule="auto"/>
        <w:ind w:left="567" w:hanging="567"/>
        <w:jc w:val="both"/>
        <w:rPr>
          <w:rStyle w:val="13"/>
          <w:rFonts w:ascii="Times New Roman" w:hAnsi="Times New Roman"/>
          <w:color w:val="auto"/>
          <w:sz w:val="24"/>
          <w:szCs w:val="24"/>
          <w:u w:val="none"/>
        </w:rPr>
      </w:pPr>
      <w:r>
        <w:rPr>
          <w:rFonts w:ascii="Times New Roman" w:hAnsi="Times New Roman"/>
          <w:color w:val="000000"/>
          <w:sz w:val="24"/>
          <w:szCs w:val="24"/>
        </w:rPr>
        <w:t xml:space="preserve">Kwenama B., &amp; Nkosinomusa B.D., </w:t>
      </w:r>
      <w:r>
        <w:rPr>
          <w:rFonts w:ascii="Times New Roman" w:hAnsi="Times New Roman"/>
          <w:i/>
          <w:color w:val="000000"/>
          <w:sz w:val="24"/>
          <w:szCs w:val="24"/>
        </w:rPr>
        <w:t xml:space="preserve">Effects of Long-term (70 years) Nitrogen Fertilization and Liming on Carbon Storage in Water-stable Aggregates of a Semi-arid Grassland Soil., </w:t>
      </w:r>
      <w:r>
        <w:rPr>
          <w:rFonts w:ascii="Times New Roman" w:hAnsi="Times New Roman"/>
          <w:color w:val="000000"/>
          <w:sz w:val="24"/>
          <w:szCs w:val="24"/>
        </w:rPr>
        <w:t>2021, doi:</w:t>
      </w:r>
      <w:r>
        <w:fldChar w:fldCharType="begin"/>
      </w:r>
      <w:r>
        <w:instrText xml:space="preserve"> HYPERLINK "https://doi.org/10.1016%2Fj.heliyon.2021.e08690" \t "_blank" </w:instrText>
      </w:r>
      <w:r>
        <w:fldChar w:fldCharType="separate"/>
      </w:r>
      <w:r>
        <w:rPr>
          <w:rStyle w:val="13"/>
          <w:rFonts w:ascii="Times New Roman" w:hAnsi="Times New Roman"/>
          <w:color w:val="auto"/>
          <w:sz w:val="24"/>
          <w:szCs w:val="24"/>
          <w:u w:val="none"/>
        </w:rPr>
        <w:t>10.1016/j.heliyon.2021.e08690</w:t>
      </w:r>
      <w:r>
        <w:rPr>
          <w:rStyle w:val="13"/>
          <w:rFonts w:ascii="Times New Roman" w:hAnsi="Times New Roman"/>
          <w:color w:val="auto"/>
          <w:sz w:val="24"/>
          <w:szCs w:val="24"/>
          <w:u w:val="none"/>
        </w:rPr>
        <w:fldChar w:fldCharType="end"/>
      </w:r>
      <w:r>
        <w:rPr>
          <w:rFonts w:ascii="Times New Roman" w:hAnsi="Times New Roman"/>
          <w:sz w:val="24"/>
          <w:szCs w:val="24"/>
        </w:rPr>
        <w:t>, PMCID: PMC8741513, PMID: </w:t>
      </w:r>
      <w:r>
        <w:fldChar w:fldCharType="begin"/>
      </w:r>
      <w:r>
        <w:instrText xml:space="preserve"> HYPERLINK "https://pubmed.ncbi.nlm.nih.gov/35028467" </w:instrText>
      </w:r>
      <w:r>
        <w:fldChar w:fldCharType="separate"/>
      </w:r>
      <w:r>
        <w:rPr>
          <w:rStyle w:val="13"/>
          <w:rFonts w:ascii="Times New Roman" w:hAnsi="Times New Roman"/>
          <w:color w:val="auto"/>
          <w:sz w:val="24"/>
          <w:szCs w:val="24"/>
          <w:u w:val="none"/>
        </w:rPr>
        <w:t>35028467</w:t>
      </w:r>
      <w:r>
        <w:rPr>
          <w:rStyle w:val="13"/>
          <w:rFonts w:ascii="Times New Roman" w:hAnsi="Times New Roman"/>
          <w:color w:val="auto"/>
          <w:sz w:val="24"/>
          <w:szCs w:val="24"/>
          <w:u w:val="none"/>
        </w:rPr>
        <w:fldChar w:fldCharType="end"/>
      </w:r>
    </w:p>
    <w:p>
      <w:pPr>
        <w:spacing w:after="240" w:line="276" w:lineRule="auto"/>
        <w:ind w:left="567" w:hanging="567"/>
        <w:jc w:val="both"/>
        <w:rPr>
          <w:rFonts w:ascii="Times New Roman" w:hAnsi="Times New Roman"/>
          <w:bCs/>
          <w:i/>
          <w:sz w:val="24"/>
          <w:szCs w:val="24"/>
        </w:rPr>
      </w:pPr>
      <w:r>
        <w:rPr>
          <w:rFonts w:ascii="Times New Roman" w:hAnsi="Times New Roman"/>
          <w:bCs/>
          <w:i/>
          <w:sz w:val="24"/>
          <w:szCs w:val="24"/>
        </w:rPr>
        <w:t xml:space="preserve">Kyaw K. W., Sonoko D. B.K., &amp; Aung Z. O., &amp; Debjani S., Influence of Rice Varieties, Organic Manure and Water Management on Greenhouse Gas Emissions from Paddy Rice Soils, </w:t>
      </w:r>
      <w:r>
        <w:fldChar w:fldCharType="begin"/>
      </w:r>
      <w:r>
        <w:instrText xml:space="preserve"> HYPERLINK "https://www.ncbi.nlm.nih.gov/pmc/articles/PMC8244889/" </w:instrText>
      </w:r>
      <w:r>
        <w:fldChar w:fldCharType="separate"/>
      </w:r>
      <w:r>
        <w:rPr>
          <w:rStyle w:val="13"/>
          <w:rFonts w:ascii="Times New Roman" w:hAnsi="Times New Roman"/>
          <w:b/>
          <w:bCs/>
          <w:color w:val="auto"/>
          <w:sz w:val="24"/>
          <w:szCs w:val="24"/>
          <w:u w:val="none"/>
        </w:rPr>
        <w:t>PLoS One.</w:t>
      </w:r>
      <w:r>
        <w:rPr>
          <w:rStyle w:val="13"/>
          <w:rFonts w:ascii="Times New Roman" w:hAnsi="Times New Roman"/>
          <w:b/>
          <w:bCs/>
          <w:color w:val="auto"/>
          <w:sz w:val="24"/>
          <w:szCs w:val="24"/>
          <w:u w:val="none"/>
        </w:rPr>
        <w:fldChar w:fldCharType="end"/>
      </w:r>
      <w:r>
        <w:rPr>
          <w:rFonts w:ascii="Times New Roman" w:hAnsi="Times New Roman"/>
          <w:b/>
          <w:bCs/>
          <w:sz w:val="24"/>
          <w:szCs w:val="24"/>
        </w:rPr>
        <w:t>,</w:t>
      </w:r>
      <w:r>
        <w:rPr>
          <w:rFonts w:ascii="Times New Roman" w:hAnsi="Times New Roman"/>
          <w:bCs/>
          <w:sz w:val="24"/>
          <w:szCs w:val="24"/>
        </w:rPr>
        <w:t xml:space="preserve"> 16(6): 2021, e0253755. doi: </w:t>
      </w:r>
      <w:r>
        <w:fldChar w:fldCharType="begin"/>
      </w:r>
      <w:r>
        <w:instrText xml:space="preserve"> HYPERLINK "https://doi.org/10.1371%2Fjournal.pone.0253755" \t "_blank" </w:instrText>
      </w:r>
      <w:r>
        <w:fldChar w:fldCharType="separate"/>
      </w:r>
      <w:r>
        <w:rPr>
          <w:rStyle w:val="13"/>
          <w:rFonts w:ascii="Times New Roman" w:hAnsi="Times New Roman"/>
          <w:bCs/>
          <w:color w:val="auto"/>
          <w:sz w:val="24"/>
          <w:szCs w:val="24"/>
          <w:u w:val="none"/>
        </w:rPr>
        <w:t>10.1371/journal.pone.0253755</w:t>
      </w:r>
      <w:r>
        <w:rPr>
          <w:rStyle w:val="13"/>
          <w:rFonts w:ascii="Times New Roman" w:hAnsi="Times New Roman"/>
          <w:bCs/>
          <w:color w:val="auto"/>
          <w:sz w:val="24"/>
          <w:szCs w:val="24"/>
          <w:u w:val="none"/>
        </w:rPr>
        <w:fldChar w:fldCharType="end"/>
      </w:r>
      <w:r>
        <w:rPr>
          <w:rFonts w:ascii="Times New Roman" w:hAnsi="Times New Roman"/>
          <w:bCs/>
          <w:sz w:val="24"/>
          <w:szCs w:val="24"/>
        </w:rPr>
        <w:t>, PMCID: PMC824488 PMID: </w:t>
      </w:r>
      <w:r>
        <w:fldChar w:fldCharType="begin"/>
      </w:r>
      <w:r>
        <w:instrText xml:space="preserve"> HYPERLINK "https://pubmed.ncbi.nlm.nih.gov/34191848" </w:instrText>
      </w:r>
      <w:r>
        <w:fldChar w:fldCharType="separate"/>
      </w:r>
      <w:r>
        <w:rPr>
          <w:rStyle w:val="13"/>
          <w:rFonts w:ascii="Times New Roman" w:hAnsi="Times New Roman"/>
          <w:bCs/>
          <w:color w:val="auto"/>
          <w:sz w:val="24"/>
          <w:szCs w:val="24"/>
          <w:u w:val="none"/>
        </w:rPr>
        <w:t>34191848</w:t>
      </w:r>
      <w:r>
        <w:rPr>
          <w:rStyle w:val="13"/>
          <w:rFonts w:ascii="Times New Roman" w:hAnsi="Times New Roman"/>
          <w:bCs/>
          <w:color w:val="auto"/>
          <w:sz w:val="24"/>
          <w:szCs w:val="24"/>
          <w:u w:val="none"/>
        </w:rPr>
        <w:fldChar w:fldCharType="end"/>
      </w:r>
    </w:p>
    <w:p>
      <w:pPr>
        <w:spacing w:after="240" w:line="276" w:lineRule="auto"/>
        <w:ind w:left="720" w:hanging="720"/>
        <w:jc w:val="both"/>
        <w:rPr>
          <w:rFonts w:ascii="Times New Roman" w:hAnsi="Times New Roman"/>
          <w:bCs/>
          <w:sz w:val="24"/>
          <w:szCs w:val="24"/>
        </w:rPr>
      </w:pPr>
      <w:r>
        <w:rPr>
          <w:rFonts w:ascii="Times New Roman" w:hAnsi="Times New Roman"/>
          <w:bCs/>
          <w:sz w:val="24"/>
          <w:szCs w:val="24"/>
        </w:rPr>
        <w:t xml:space="preserve">Leila, M., Mohammad, M. and Amir, L., </w:t>
      </w:r>
      <w:r>
        <w:rPr>
          <w:rFonts w:ascii="Times New Roman" w:hAnsi="Times New Roman"/>
          <w:bCs/>
          <w:i/>
          <w:sz w:val="24"/>
          <w:szCs w:val="24"/>
        </w:rPr>
        <w:t>Amelioration of soil properties, growth and leaf mineral elements of summer savory under salt stress and biochar application in alkaline soil</w:t>
      </w:r>
      <w:r>
        <w:rPr>
          <w:rFonts w:ascii="Times New Roman" w:hAnsi="Times New Roman"/>
          <w:bCs/>
          <w:sz w:val="24"/>
          <w:szCs w:val="24"/>
        </w:rPr>
        <w:t xml:space="preserve">, </w:t>
      </w:r>
      <w:r>
        <w:rPr>
          <w:rFonts w:ascii="Times New Roman" w:hAnsi="Times New Roman"/>
          <w:b/>
          <w:bCs/>
          <w:sz w:val="24"/>
          <w:szCs w:val="24"/>
        </w:rPr>
        <w:t>Scientia Horticulturae</w:t>
      </w:r>
      <w:r>
        <w:rPr>
          <w:rFonts w:ascii="Times New Roman" w:hAnsi="Times New Roman"/>
          <w:bCs/>
          <w:sz w:val="24"/>
          <w:szCs w:val="24"/>
        </w:rPr>
        <w:t>, 267, 2020, 109319, https://doi.org/10.1016/j.scienta.2020.109319.</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Leitner, S., Homyak P. M., Blankinship J. C., Eberwein, J., &amp; Jenerette  G. D., </w:t>
      </w:r>
      <w:r>
        <w:rPr>
          <w:rFonts w:ascii="Times New Roman" w:hAnsi="Times New Roman"/>
          <w:i/>
          <w:iCs/>
          <w:color w:val="000000" w:themeColor="text1"/>
          <w:sz w:val="24"/>
          <w:szCs w:val="24"/>
          <w14:textFill>
            <w14:solidFill>
              <w14:schemeClr w14:val="tx1"/>
            </w14:solidFill>
          </w14:textFill>
        </w:rPr>
        <w:t>Linking NO and N2O Emission Pulses with the Mobilization of Mineral and Organic N Upon Rewetting Dry Soils.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Soil Biol. Biochem</w:t>
      </w:r>
      <w:r>
        <w:rPr>
          <w:rFonts w:ascii="Times New Roman" w:hAnsi="Times New Roman"/>
          <w:color w:val="000000" w:themeColor="text1"/>
          <w:sz w:val="24"/>
          <w:szCs w:val="24"/>
          <w14:textFill>
            <w14:solidFill>
              <w14:schemeClr w14:val="tx1"/>
            </w14:solidFill>
          </w14:textFill>
        </w:rPr>
        <w:t>. 115: 2017, 461–466.</w:t>
      </w:r>
    </w:p>
    <w:p>
      <w:pPr>
        <w:spacing w:after="240" w:line="276" w:lineRule="auto"/>
        <w:ind w:left="630" w:hanging="567"/>
        <w:jc w:val="both"/>
        <w:rPr>
          <w:rFonts w:ascii="Times New Roman" w:hAnsi="Times New Roman"/>
          <w:color w:val="000000"/>
          <w:sz w:val="24"/>
          <w:szCs w:val="24"/>
        </w:rPr>
      </w:pPr>
      <w:r>
        <w:rPr>
          <w:rFonts w:ascii="Times New Roman" w:hAnsi="Times New Roman"/>
          <w:sz w:val="24"/>
          <w:szCs w:val="24"/>
        </w:rPr>
        <w:t xml:space="preserve">Li, X., Yan, Y., Lu, X.,, Fu, L., &amp; Liu, Y., </w:t>
      </w:r>
      <w:r>
        <w:rPr>
          <w:rFonts w:ascii="Times New Roman" w:hAnsi="Times New Roman"/>
          <w:i/>
          <w:iCs/>
          <w:sz w:val="24"/>
          <w:szCs w:val="24"/>
        </w:rPr>
        <w:t>Responses of Soil Bacterial Communities to Precipitation Change in the Semi-arid Alpine Grassland of Northern Tibet. </w:t>
      </w:r>
      <w:r>
        <w:rPr>
          <w:rFonts w:ascii="Times New Roman" w:hAnsi="Times New Roman"/>
          <w:sz w:val="24"/>
          <w:szCs w:val="24"/>
        </w:rPr>
        <w:t xml:space="preserve">Front. </w:t>
      </w:r>
      <w:r>
        <w:rPr>
          <w:rFonts w:ascii="Times New Roman" w:hAnsi="Times New Roman"/>
          <w:b/>
          <w:sz w:val="24"/>
          <w:szCs w:val="24"/>
        </w:rPr>
        <w:t>Plant Sci</w:t>
      </w:r>
      <w:r>
        <w:rPr>
          <w:rFonts w:ascii="Times New Roman" w:hAnsi="Times New Roman"/>
          <w:sz w:val="24"/>
          <w:szCs w:val="24"/>
        </w:rPr>
        <w:t xml:space="preserve">., 13, 2022, 1036369. doi: 10.3389/fpls.2022.1036369 </w:t>
      </w:r>
    </w:p>
    <w:p>
      <w:pPr>
        <w:tabs>
          <w:tab w:val="left" w:pos="720"/>
        </w:tabs>
        <w:spacing w:after="240" w:line="276" w:lineRule="auto"/>
        <w:ind w:left="630" w:hanging="63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Liana E. P., &amp; Damien J. F. </w:t>
      </w:r>
      <w:r>
        <w:rPr>
          <w:rFonts w:ascii="Times New Roman" w:hAnsi="Times New Roman"/>
          <w:bCs/>
          <w:i/>
          <w:sz w:val="24"/>
          <w:szCs w:val="24"/>
          <w:shd w:val="clear" w:color="auto" w:fill="FFFFFF"/>
        </w:rPr>
        <w:t>The Science of Soil Security and Food Security</w:t>
      </w:r>
      <w:r>
        <w:rPr>
          <w:rFonts w:ascii="Times New Roman" w:hAnsi="Times New Roman"/>
          <w:bCs/>
          <w:sz w:val="24"/>
          <w:szCs w:val="24"/>
          <w:shd w:val="clear" w:color="auto" w:fill="FFFFFF"/>
        </w:rPr>
        <w:t xml:space="preserve">, </w:t>
      </w:r>
      <w:r>
        <w:fldChar w:fldCharType="begin"/>
      </w:r>
      <w:r>
        <w:instrText xml:space="preserve"> HYPERLINK "https://www.sciencedirect.com/journal/soil-security" \o "Go to Soil Security on ScienceDirect" </w:instrText>
      </w:r>
      <w:r>
        <w:fldChar w:fldCharType="separate"/>
      </w:r>
      <w:r>
        <w:rPr>
          <w:rStyle w:val="13"/>
          <w:rFonts w:ascii="Times New Roman" w:hAnsi="Times New Roman"/>
          <w:color w:val="auto"/>
          <w:sz w:val="24"/>
          <w:szCs w:val="24"/>
          <w:u w:val="none"/>
          <w:shd w:val="clear" w:color="auto" w:fill="FFFFFF"/>
        </w:rPr>
        <w:t>Soil Security</w:t>
      </w:r>
      <w:r>
        <w:rPr>
          <w:rStyle w:val="13"/>
          <w:rFonts w:ascii="Times New Roman" w:hAnsi="Times New Roman"/>
          <w:color w:val="auto"/>
          <w:sz w:val="24"/>
          <w:szCs w:val="24"/>
          <w:u w:val="none"/>
          <w:shd w:val="clear" w:color="auto" w:fill="FFFFFF"/>
        </w:rPr>
        <w:fldChar w:fldCharType="end"/>
      </w:r>
      <w:r>
        <w:rPr>
          <w:rFonts w:ascii="Times New Roman" w:hAnsi="Times New Roman"/>
          <w:sz w:val="24"/>
          <w:szCs w:val="24"/>
          <w:shd w:val="clear" w:color="auto" w:fill="FFFFFF"/>
        </w:rPr>
        <w:t xml:space="preserve">: 1, 2020, 100002, </w:t>
      </w:r>
      <w:r>
        <w:fldChar w:fldCharType="begin"/>
      </w:r>
      <w:r>
        <w:instrText xml:space="preserve"> HYPERLINK "https://doi.org/10.1016/j.soisec.2020.100002" \t "_blank" \o "Persistent link using digital object identifier" </w:instrText>
      </w:r>
      <w:r>
        <w:fldChar w:fldCharType="separate"/>
      </w:r>
      <w:r>
        <w:rPr>
          <w:rStyle w:val="13"/>
          <w:rFonts w:ascii="Times New Roman" w:hAnsi="Times New Roman"/>
          <w:color w:val="auto"/>
          <w:sz w:val="24"/>
          <w:szCs w:val="24"/>
          <w:u w:val="none"/>
          <w:shd w:val="clear" w:color="auto" w:fill="FFFFFF"/>
        </w:rPr>
        <w:t>https://doi.org/10.1016/j.soisec.2020.100002</w:t>
      </w:r>
      <w:r>
        <w:rPr>
          <w:rStyle w:val="13"/>
          <w:rFonts w:ascii="Times New Roman" w:hAnsi="Times New Roman"/>
          <w:color w:val="auto"/>
          <w:sz w:val="24"/>
          <w:szCs w:val="24"/>
          <w:u w:val="none"/>
          <w:shd w:val="clear" w:color="auto" w:fill="FFFFFF"/>
        </w:rPr>
        <w:fldChar w:fldCharType="end"/>
      </w:r>
    </w:p>
    <w:p>
      <w:pPr>
        <w:spacing w:after="240" w:line="276" w:lineRule="auto"/>
        <w:ind w:left="630" w:hanging="630"/>
        <w:jc w:val="both"/>
        <w:rPr>
          <w:rFonts w:ascii="Times New Roman" w:hAnsi="Times New Roman"/>
          <w:bCs/>
          <w:sz w:val="24"/>
          <w:szCs w:val="24"/>
        </w:rPr>
      </w:pPr>
      <w:r>
        <w:rPr>
          <w:rFonts w:ascii="Times New Roman" w:hAnsi="Times New Roman"/>
          <w:bCs/>
          <w:color w:val="000000" w:themeColor="text1"/>
          <w:sz w:val="24"/>
          <w:szCs w:val="24"/>
          <w14:textFill>
            <w14:solidFill>
              <w14:schemeClr w14:val="tx1"/>
            </w14:solidFill>
          </w14:textFill>
        </w:rPr>
        <w:t xml:space="preserve">Lichuan Q., </w:t>
      </w:r>
      <w:r>
        <w:rPr>
          <w:rFonts w:ascii="Times New Roman" w:hAnsi="Times New Roman"/>
          <w:bCs/>
          <w:i/>
          <w:color w:val="000000" w:themeColor="text1"/>
          <w:sz w:val="24"/>
          <w:szCs w:val="24"/>
          <w14:textFill>
            <w14:solidFill>
              <w14:schemeClr w14:val="tx1"/>
            </w14:solidFill>
          </w14:textFill>
        </w:rPr>
        <w:t>Research Progress on the Effects of Soil Acidity and Alkalinity on Plant Growth,</w:t>
      </w:r>
      <w:r>
        <w:rPr>
          <w:rFonts w:ascii="Times New Roman" w:hAnsi="Times New Roman"/>
          <w:bCs/>
          <w:color w:val="000000" w:themeColor="text1"/>
          <w:sz w:val="24"/>
          <w:szCs w:val="24"/>
          <w14:textFill>
            <w14:solidFill>
              <w14:schemeClr w14:val="tx1"/>
            </w14:solidFill>
          </w14:textFill>
        </w:rPr>
        <w:t xml:space="preserve"> </w:t>
      </w:r>
      <w:r>
        <w:fldChar w:fldCharType="begin"/>
      </w:r>
      <w:r>
        <w:instrText xml:space="preserve"> HYPERLINK "https://www.scirp.org/journal/journalarticles.aspx?journalid=1003" \o "Open Journal of Applied Sciences" </w:instrText>
      </w:r>
      <w:r>
        <w:fldChar w:fldCharType="separate"/>
      </w:r>
      <w:r>
        <w:rPr>
          <w:rStyle w:val="13"/>
          <w:rFonts w:ascii="Times New Roman" w:hAnsi="Times New Roman"/>
          <w:bCs/>
          <w:color w:val="auto"/>
          <w:sz w:val="24"/>
          <w:szCs w:val="24"/>
          <w:u w:val="none"/>
        </w:rPr>
        <w:t>Open Journal of Applied Sciences</w:t>
      </w:r>
      <w:r>
        <w:rPr>
          <w:rStyle w:val="13"/>
          <w:rFonts w:ascii="Times New Roman" w:hAnsi="Times New Roman"/>
          <w:bCs/>
          <w:color w:val="auto"/>
          <w:sz w:val="24"/>
          <w:szCs w:val="24"/>
          <w:u w:val="none"/>
        </w:rPr>
        <w:fldChar w:fldCharType="end"/>
      </w:r>
      <w:r>
        <w:rPr>
          <w:rFonts w:ascii="Times New Roman" w:hAnsi="Times New Roman"/>
          <w:bCs/>
          <w:sz w:val="24"/>
          <w:szCs w:val="24"/>
        </w:rPr>
        <w:t>  </w:t>
      </w:r>
      <w:r>
        <w:fldChar w:fldCharType="begin"/>
      </w:r>
      <w:r>
        <w:instrText xml:space="preserve"> HYPERLINK "https://www.scirp.org/journal/home.aspx?issueid=16731" \l "118136" </w:instrText>
      </w:r>
      <w:r>
        <w:fldChar w:fldCharType="separate"/>
      </w:r>
      <w:r>
        <w:rPr>
          <w:rStyle w:val="13"/>
          <w:rFonts w:ascii="Times New Roman" w:hAnsi="Times New Roman"/>
          <w:bCs/>
          <w:color w:val="auto"/>
          <w:sz w:val="24"/>
          <w:szCs w:val="24"/>
          <w:u w:val="none"/>
        </w:rPr>
        <w:t>12 (6), 2022</w:t>
      </w:r>
      <w:r>
        <w:rPr>
          <w:rStyle w:val="13"/>
          <w:rFonts w:ascii="Times New Roman" w:hAnsi="Times New Roman"/>
          <w:bCs/>
          <w:color w:val="auto"/>
          <w:sz w:val="24"/>
          <w:szCs w:val="24"/>
          <w:u w:val="none"/>
        </w:rPr>
        <w:fldChar w:fldCharType="end"/>
      </w:r>
      <w:r>
        <w:rPr>
          <w:rFonts w:ascii="Times New Roman" w:hAnsi="Times New Roman"/>
          <w:bCs/>
          <w:sz w:val="24"/>
          <w:szCs w:val="24"/>
        </w:rPr>
        <w:t xml:space="preserve"> , doi:</w:t>
      </w:r>
      <w:r>
        <w:fldChar w:fldCharType="begin"/>
      </w:r>
      <w:r>
        <w:instrText xml:space="preserve"> HYPERLINK "https://doi.org/10.4236/ojapps.2022.126071" \t "_blank" </w:instrText>
      </w:r>
      <w:r>
        <w:fldChar w:fldCharType="separate"/>
      </w:r>
      <w:r>
        <w:rPr>
          <w:rStyle w:val="13"/>
          <w:rFonts w:ascii="Times New Roman" w:hAnsi="Times New Roman"/>
          <w:bCs/>
          <w:color w:val="auto"/>
          <w:sz w:val="24"/>
          <w:szCs w:val="24"/>
          <w:u w:val="none"/>
        </w:rPr>
        <w:t>10.4236/ojapps.2022.126071</w:t>
      </w:r>
      <w:r>
        <w:rPr>
          <w:rStyle w:val="13"/>
          <w:rFonts w:ascii="Times New Roman" w:hAnsi="Times New Roman"/>
          <w:bCs/>
          <w:color w:val="auto"/>
          <w:sz w:val="24"/>
          <w:szCs w:val="24"/>
          <w:u w:val="none"/>
        </w:rPr>
        <w:fldChar w:fldCharType="end"/>
      </w:r>
      <w:r>
        <w:rPr>
          <w:rFonts w:ascii="Times New Roman" w:hAnsi="Times New Roman"/>
          <w:bCs/>
          <w:sz w:val="24"/>
          <w:szCs w:val="24"/>
        </w:rPr>
        <w:t> </w:t>
      </w:r>
    </w:p>
    <w:p>
      <w:pPr>
        <w:spacing w:after="240" w:line="276" w:lineRule="auto"/>
        <w:ind w:left="630" w:hanging="63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Ling, N., Wang, T. &amp; Kuzyakov, Y. </w:t>
      </w:r>
      <w:r>
        <w:rPr>
          <w:rFonts w:ascii="Times New Roman" w:hAnsi="Times New Roman"/>
          <w:i/>
          <w:iCs/>
          <w:color w:val="000000" w:themeColor="text1"/>
          <w:sz w:val="24"/>
          <w:szCs w:val="24"/>
          <w14:textFill>
            <w14:solidFill>
              <w14:schemeClr w14:val="tx1"/>
            </w14:solidFill>
          </w14:textFill>
        </w:rPr>
        <w:t>Rhizosphere bacteriome Structure and Functions. </w:t>
      </w:r>
      <w:r>
        <w:rPr>
          <w:rFonts w:ascii="Times New Roman" w:hAnsi="Times New Roman"/>
          <w:b/>
          <w:color w:val="000000" w:themeColor="text1"/>
          <w:sz w:val="24"/>
          <w:szCs w:val="24"/>
          <w14:textFill>
            <w14:solidFill>
              <w14:schemeClr w14:val="tx1"/>
            </w14:solidFill>
          </w14:textFill>
        </w:rPr>
        <w:t>Nat    Commun</w:t>
      </w:r>
      <w:r>
        <w:rPr>
          <w:rFonts w:ascii="Times New Roman" w:hAnsi="Times New Roman"/>
          <w:color w:val="000000" w:themeColor="text1"/>
          <w:sz w:val="24"/>
          <w:szCs w:val="24"/>
          <w14:textFill>
            <w14:solidFill>
              <w14:schemeClr w14:val="tx1"/>
            </w14:solidFill>
          </w14:textFill>
        </w:rPr>
        <w:t xml:space="preserve">., 13, 2022, 836, https://doi.org/10.1038/s41467-022-28448-9 </w:t>
      </w:r>
    </w:p>
    <w:p>
      <w:pPr>
        <w:tabs>
          <w:tab w:val="left" w:pos="630"/>
        </w:tabs>
        <w:spacing w:after="240" w:line="276" w:lineRule="auto"/>
        <w:jc w:val="both"/>
        <w:rPr>
          <w:rFonts w:ascii="Times New Roman" w:hAnsi="Times New Roman"/>
          <w:color w:val="000000"/>
          <w:sz w:val="24"/>
          <w:szCs w:val="24"/>
        </w:rPr>
      </w:pPr>
      <w:r>
        <w:rPr>
          <w:rFonts w:ascii="Times New Roman" w:hAnsi="Times New Roman"/>
          <w:sz w:val="24"/>
          <w:szCs w:val="24"/>
        </w:rPr>
        <w:t xml:space="preserve">Liu Y., Gong X., Li M., Si H, Zhou Q., Liu X, Fan Y., Zhang X., Han J., Gu S.  &amp; Dong J., </w:t>
      </w:r>
      <w:r>
        <w:rPr>
          <w:rFonts w:ascii="Times New Roman" w:hAnsi="Times New Roman"/>
          <w:sz w:val="24"/>
          <w:szCs w:val="24"/>
        </w:rPr>
        <w:tab/>
      </w:r>
      <w:r>
        <w:rPr>
          <w:rFonts w:ascii="Times New Roman" w:hAnsi="Times New Roman"/>
          <w:i/>
          <w:sz w:val="24"/>
          <w:szCs w:val="24"/>
        </w:rPr>
        <w:t xml:space="preserve">Effect of Osmotic Stress on the Growth, Development and Pathogenicity of Setosphaeria </w:t>
      </w:r>
      <w:r>
        <w:rPr>
          <w:rFonts w:ascii="Times New Roman" w:hAnsi="Times New Roman"/>
          <w:i/>
          <w:sz w:val="24"/>
          <w:szCs w:val="24"/>
        </w:rPr>
        <w:tab/>
      </w:r>
      <w:r>
        <w:rPr>
          <w:rFonts w:ascii="Times New Roman" w:hAnsi="Times New Roman"/>
          <w:i/>
          <w:sz w:val="24"/>
          <w:szCs w:val="24"/>
        </w:rPr>
        <w:t xml:space="preserve">Turcica, </w:t>
      </w:r>
      <w:r>
        <w:rPr>
          <w:rFonts w:ascii="Times New Roman" w:hAnsi="Times New Roman"/>
          <w:b/>
          <w:sz w:val="24"/>
          <w:szCs w:val="24"/>
        </w:rPr>
        <w:t xml:space="preserve">Front. Microbiol., </w:t>
      </w:r>
      <w:r>
        <w:rPr>
          <w:rFonts w:ascii="Times New Roman" w:hAnsi="Times New Roman"/>
          <w:sz w:val="24"/>
          <w:szCs w:val="24"/>
        </w:rPr>
        <w:t>12, 2021, 1-11</w:t>
      </w:r>
      <w:r>
        <w:rPr>
          <w:rFonts w:ascii="Times New Roman" w:hAnsi="Times New Roman"/>
          <w:i/>
          <w:sz w:val="24"/>
          <w:szCs w:val="24"/>
        </w:rPr>
        <w:t xml:space="preserve"> </w:t>
      </w:r>
      <w:r>
        <w:rPr>
          <w:rFonts w:ascii="Times New Roman" w:hAnsi="Times New Roman"/>
          <w:sz w:val="24"/>
          <w:szCs w:val="24"/>
        </w:rPr>
        <w:t xml:space="preserve"> </w:t>
      </w:r>
    </w:p>
    <w:p>
      <w:pPr>
        <w:tabs>
          <w:tab w:val="left" w:pos="630"/>
        </w:tabs>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Liu, H., Lee, M. J., Solis, N. V., Phan, Q. T., Swidergall, M., Ralph, B., Ibrahim, A. S.,</w:t>
      </w:r>
      <w:r>
        <w:rPr>
          <w:rFonts w:ascii="Times New Roman" w:hAnsi="Times New Roman"/>
          <w:sz w:val="24"/>
          <w:szCs w:val="24"/>
        </w:rPr>
        <w:tab/>
      </w:r>
      <w:r>
        <w:rPr>
          <w:rFonts w:ascii="Times New Roman" w:hAnsi="Times New Roman"/>
          <w:sz w:val="24"/>
          <w:szCs w:val="24"/>
        </w:rPr>
        <w:t xml:space="preserve">Sheppard, D. C. &amp; Filler, S. G., </w:t>
      </w:r>
      <w:r>
        <w:rPr>
          <w:rFonts w:ascii="Times New Roman" w:hAnsi="Times New Roman"/>
          <w:i/>
          <w:sz w:val="24"/>
          <w:szCs w:val="24"/>
        </w:rPr>
        <w:t xml:space="preserve">Aspergillus fumigatus CalA Binds to Integrin α5β1 </w:t>
      </w:r>
      <w:r>
        <w:rPr>
          <w:rFonts w:ascii="Times New Roman" w:hAnsi="Times New Roman"/>
          <w:i/>
          <w:sz w:val="24"/>
          <w:szCs w:val="24"/>
        </w:rPr>
        <w:tab/>
      </w:r>
      <w:r>
        <w:rPr>
          <w:rFonts w:ascii="Times New Roman" w:hAnsi="Times New Roman"/>
          <w:i/>
          <w:sz w:val="24"/>
          <w:szCs w:val="24"/>
        </w:rPr>
        <w:t xml:space="preserve">and </w:t>
      </w:r>
      <w:r>
        <w:rPr>
          <w:rFonts w:ascii="Times New Roman" w:hAnsi="Times New Roman"/>
          <w:i/>
          <w:sz w:val="24"/>
          <w:szCs w:val="24"/>
        </w:rPr>
        <w:tab/>
      </w:r>
      <w:r>
        <w:rPr>
          <w:rFonts w:ascii="Times New Roman" w:hAnsi="Times New Roman"/>
          <w:i/>
          <w:sz w:val="24"/>
          <w:szCs w:val="24"/>
        </w:rPr>
        <w:t>Mediates Host Cell Invasion</w:t>
      </w:r>
      <w:r>
        <w:rPr>
          <w:rFonts w:ascii="Times New Roman" w:hAnsi="Times New Roman"/>
          <w:sz w:val="24"/>
          <w:szCs w:val="24"/>
        </w:rPr>
        <w:t xml:space="preserve">, </w:t>
      </w:r>
      <w:r>
        <w:rPr>
          <w:rFonts w:ascii="Times New Roman" w:hAnsi="Times New Roman"/>
          <w:b/>
          <w:sz w:val="24"/>
          <w:szCs w:val="24"/>
        </w:rPr>
        <w:t>Nat. Microbiol.</w:t>
      </w:r>
      <w:r>
        <w:rPr>
          <w:rFonts w:ascii="Times New Roman" w:hAnsi="Times New Roman"/>
          <w:sz w:val="24"/>
          <w:szCs w:val="24"/>
        </w:rPr>
        <w:t>, 2, 2016, 1621</w:t>
      </w:r>
    </w:p>
    <w:p>
      <w:pPr>
        <w:tabs>
          <w:tab w:val="left" w:pos="630"/>
        </w:tabs>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 xml:space="preserve">Liu, T., Li, X. &amp; Yekta, S. S., </w:t>
      </w:r>
      <w:r>
        <w:rPr>
          <w:rFonts w:ascii="Times New Roman" w:hAnsi="Times New Roman"/>
          <w:i/>
          <w:iCs/>
          <w:sz w:val="24"/>
          <w:szCs w:val="24"/>
        </w:rPr>
        <w:t>Absence of Oxygen Effect on Microbial Structure and Methane Production during Drying and Rewetting Events. </w:t>
      </w:r>
      <w:r>
        <w:rPr>
          <w:rFonts w:ascii="Times New Roman" w:hAnsi="Times New Roman"/>
          <w:b/>
          <w:sz w:val="24"/>
          <w:szCs w:val="24"/>
        </w:rPr>
        <w:t>Sci. Rep</w:t>
      </w:r>
      <w:r>
        <w:rPr>
          <w:rFonts w:ascii="Times New Roman" w:hAnsi="Times New Roman"/>
          <w:sz w:val="24"/>
          <w:szCs w:val="24"/>
        </w:rPr>
        <w:t xml:space="preserve">., 12, 2022, 16570, </w:t>
      </w:r>
      <w:r>
        <w:fldChar w:fldCharType="begin"/>
      </w:r>
      <w:r>
        <w:instrText xml:space="preserve"> HYPERLINK "https://doi.org/10.1038/s41598-022-20448-5" </w:instrText>
      </w:r>
      <w:r>
        <w:fldChar w:fldCharType="separate"/>
      </w:r>
      <w:r>
        <w:rPr>
          <w:rFonts w:ascii="Times New Roman" w:hAnsi="Times New Roman"/>
          <w:sz w:val="24"/>
          <w:szCs w:val="24"/>
        </w:rPr>
        <w:t>https://doi.org/10.1038/s41598-022-20448-5</w:t>
      </w:r>
      <w:r>
        <w:rPr>
          <w:rFonts w:ascii="Times New Roman" w:hAnsi="Times New Roman"/>
          <w:sz w:val="24"/>
          <w:szCs w:val="24"/>
        </w:rPr>
        <w:fldChar w:fldCharType="end"/>
      </w:r>
    </w:p>
    <w:p>
      <w:pPr>
        <w:spacing w:after="240" w:line="276" w:lineRule="auto"/>
        <w:ind w:left="630" w:hanging="630"/>
        <w:jc w:val="both"/>
        <w:rPr>
          <w:rFonts w:ascii="Times New Roman" w:hAnsi="Times New Roman"/>
          <w:color w:val="000000"/>
          <w:sz w:val="24"/>
          <w:szCs w:val="24"/>
        </w:rPr>
      </w:pPr>
      <w:r>
        <w:rPr>
          <w:rFonts w:ascii="Times New Roman" w:hAnsi="Times New Roman"/>
          <w:sz w:val="24"/>
          <w:szCs w:val="24"/>
        </w:rPr>
        <w:t xml:space="preserve">Liu, Z., Wenyan, Xie., Zhenxing, Y., Xuefang, H., &amp; Huaiping, Z.. </w:t>
      </w:r>
      <w:r>
        <w:rPr>
          <w:rFonts w:ascii="Times New Roman" w:hAnsi="Times New Roman"/>
          <w:i/>
          <w:iCs/>
          <w:sz w:val="24"/>
          <w:szCs w:val="24"/>
        </w:rPr>
        <w:t>"Effects of Manure and Chemical Fertilizer on Bacterial Community Structure and Soil Enzyme Activities in North China", </w:t>
      </w:r>
      <w:r>
        <w:rPr>
          <w:rFonts w:ascii="Times New Roman" w:hAnsi="Times New Roman"/>
          <w:b/>
          <w:i/>
          <w:iCs/>
          <w:sz w:val="24"/>
          <w:szCs w:val="24"/>
        </w:rPr>
        <w:t>Agronomy</w:t>
      </w:r>
      <w:r>
        <w:rPr>
          <w:rFonts w:ascii="Times New Roman" w:hAnsi="Times New Roman"/>
          <w:sz w:val="24"/>
          <w:szCs w:val="24"/>
        </w:rPr>
        <w:t xml:space="preserve">, 11(5), 2021, 1017. https://doi.org/10.3390/agronomy11051017 </w:t>
      </w:r>
    </w:p>
    <w:p>
      <w:pPr>
        <w:spacing w:after="240" w:line="276" w:lineRule="auto"/>
        <w:ind w:left="720" w:hanging="720"/>
        <w:jc w:val="both"/>
        <w:rPr>
          <w:rFonts w:ascii="Times New Roman" w:hAnsi="Times New Roman"/>
          <w:sz w:val="24"/>
          <w:szCs w:val="24"/>
        </w:rPr>
      </w:pPr>
      <w:r>
        <w:rPr>
          <w:rFonts w:ascii="Times New Roman" w:hAnsi="Times New Roman"/>
          <w:color w:val="000000"/>
          <w:sz w:val="24"/>
          <w:szCs w:val="24"/>
        </w:rPr>
        <w:t>Lucas A.T.R., Sandro J. G., Jeferson D., Maurício R., Anaí S. O., &amp; </w:t>
      </w:r>
      <w:r>
        <w:fldChar w:fldCharType="begin"/>
      </w:r>
      <w:r>
        <w:instrText xml:space="preserve"> HYPERLINK "https://www.sciencedirect.com/author/7006114147/cimelio-bayer" </w:instrText>
      </w:r>
      <w:r>
        <w:fldChar w:fldCharType="separate"/>
      </w:r>
      <w:r>
        <w:rPr>
          <w:rStyle w:val="13"/>
          <w:rFonts w:ascii="Times New Roman" w:hAnsi="Times New Roman"/>
          <w:color w:val="auto"/>
          <w:sz w:val="24"/>
          <w:szCs w:val="24"/>
          <w:u w:val="none"/>
        </w:rPr>
        <w:t xml:space="preserve">Cimélio B. </w:t>
      </w:r>
      <w:r>
        <w:rPr>
          <w:rStyle w:val="13"/>
          <w:rFonts w:ascii="Times New Roman" w:hAnsi="Times New Roman"/>
          <w:color w:val="auto"/>
          <w:sz w:val="24"/>
          <w:szCs w:val="24"/>
        </w:rPr>
        <w:t> </w:t>
      </w:r>
      <w:r>
        <w:rPr>
          <w:rStyle w:val="13"/>
          <w:rFonts w:ascii="Times New Roman" w:hAnsi="Times New Roman"/>
          <w:color w:val="auto"/>
          <w:sz w:val="24"/>
          <w:szCs w:val="24"/>
        </w:rPr>
        <w:fldChar w:fldCharType="end"/>
      </w:r>
      <w:r>
        <w:rPr>
          <w:rFonts w:ascii="Times New Roman" w:hAnsi="Times New Roman"/>
          <w:bCs/>
          <w:i/>
          <w:color w:val="000000"/>
          <w:sz w:val="24"/>
          <w:szCs w:val="24"/>
        </w:rPr>
        <w:t>Carbon Saturation Deficit and Litter Quality Drive the Stabilization of Litter-derived C in Mineral-associated Organic Matter in Long-term No-till Soil,</w:t>
      </w:r>
      <w:r>
        <w:rPr>
          <w:rFonts w:ascii="Times New Roman" w:hAnsi="Times New Roman"/>
          <w:color w:val="000000"/>
          <w:sz w:val="24"/>
          <w:szCs w:val="24"/>
        </w:rPr>
        <w:t xml:space="preserve"> </w:t>
      </w:r>
      <w:r>
        <w:fldChar w:fldCharType="begin"/>
      </w:r>
      <w:r>
        <w:instrText xml:space="preserve"> HYPERLINK "https://www.sciencedirect.com/journal/catena" \o "Go to CATENA on ScienceDirect" </w:instrText>
      </w:r>
      <w:r>
        <w:fldChar w:fldCharType="separate"/>
      </w:r>
      <w:r>
        <w:rPr>
          <w:rStyle w:val="13"/>
          <w:rFonts w:ascii="Times New Roman" w:hAnsi="Times New Roman"/>
          <w:b/>
          <w:bCs/>
          <w:color w:val="auto"/>
          <w:sz w:val="24"/>
          <w:szCs w:val="24"/>
          <w:u w:val="none"/>
        </w:rPr>
        <w:t>CATENA</w:t>
      </w:r>
      <w:r>
        <w:rPr>
          <w:rStyle w:val="13"/>
          <w:rFonts w:ascii="Times New Roman" w:hAnsi="Times New Roman"/>
          <w:b/>
          <w:bCs/>
          <w:color w:val="auto"/>
          <w:sz w:val="24"/>
          <w:szCs w:val="24"/>
          <w:u w:val="none"/>
        </w:rPr>
        <w:fldChar w:fldCharType="end"/>
      </w:r>
      <w:r>
        <w:rPr>
          <w:rFonts w:ascii="Times New Roman" w:hAnsi="Times New Roman"/>
          <w:sz w:val="24"/>
          <w:szCs w:val="24"/>
        </w:rPr>
        <w:t xml:space="preserve"> </w:t>
      </w:r>
      <w:r>
        <w:fldChar w:fldCharType="begin"/>
      </w:r>
      <w:r>
        <w:instrText xml:space="preserve"> HYPERLINK "https://www.sciencedirect.com/journal/catena/vol/219/suppl/C" \o "Go to table of contents for this volume/issue" </w:instrText>
      </w:r>
      <w:r>
        <w:fldChar w:fldCharType="separate"/>
      </w:r>
      <w:r>
        <w:rPr>
          <w:rStyle w:val="13"/>
          <w:rFonts w:ascii="Times New Roman" w:hAnsi="Times New Roman"/>
          <w:bCs/>
          <w:color w:val="auto"/>
          <w:sz w:val="24"/>
          <w:szCs w:val="24"/>
          <w:u w:val="none"/>
        </w:rPr>
        <w:t xml:space="preserve"> 219</w:t>
      </w:r>
      <w:r>
        <w:rPr>
          <w:rStyle w:val="13"/>
          <w:rFonts w:ascii="Times New Roman" w:hAnsi="Times New Roman"/>
          <w:bCs/>
          <w:color w:val="auto"/>
          <w:sz w:val="24"/>
          <w:szCs w:val="24"/>
          <w:u w:val="none"/>
        </w:rPr>
        <w:fldChar w:fldCharType="end"/>
      </w:r>
      <w:r>
        <w:rPr>
          <w:rFonts w:ascii="Times New Roman" w:hAnsi="Times New Roman"/>
          <w:bCs/>
          <w:color w:val="000000"/>
          <w:sz w:val="24"/>
          <w:szCs w:val="24"/>
        </w:rPr>
        <w:t>, 2022, 106590,</w:t>
      </w:r>
      <w:r>
        <w:rPr>
          <w:rFonts w:ascii="Times New Roman" w:hAnsi="Times New Roman"/>
          <w:color w:val="000000"/>
          <w:sz w:val="24"/>
          <w:szCs w:val="24"/>
        </w:rPr>
        <w:t xml:space="preserve"> </w:t>
      </w:r>
      <w:r>
        <w:fldChar w:fldCharType="begin"/>
      </w:r>
      <w:r>
        <w:instrText xml:space="preserve"> HYPERLINK "https://doi.org/10.1016/j.catena.2022.106590" \t "_blank" \o "Persistent link using digital object identifier" </w:instrText>
      </w:r>
      <w:r>
        <w:fldChar w:fldCharType="separate"/>
      </w:r>
      <w:r>
        <w:rPr>
          <w:rStyle w:val="13"/>
          <w:rFonts w:ascii="Times New Roman" w:hAnsi="Times New Roman"/>
          <w:color w:val="auto"/>
          <w:sz w:val="24"/>
          <w:szCs w:val="24"/>
          <w:u w:val="none"/>
        </w:rPr>
        <w:t>https://doi.org/10.1016/j.catena.2022.106590</w:t>
      </w:r>
      <w:r>
        <w:rPr>
          <w:rStyle w:val="13"/>
          <w:rFonts w:ascii="Times New Roman" w:hAnsi="Times New Roman"/>
          <w:color w:val="auto"/>
          <w:sz w:val="24"/>
          <w:szCs w:val="24"/>
          <w:u w:val="none"/>
        </w:rPr>
        <w:fldChar w:fldCharType="end"/>
      </w:r>
    </w:p>
    <w:p>
      <w:pPr>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 xml:space="preserve">Ma, H., Zhiying, Y., Shenghai, P., &amp; Xingwang, M. </w:t>
      </w:r>
      <w:r>
        <w:rPr>
          <w:rFonts w:ascii="Times New Roman" w:hAnsi="Times New Roman"/>
          <w:i/>
          <w:iCs/>
          <w:sz w:val="24"/>
          <w:szCs w:val="24"/>
        </w:rPr>
        <w:t>"The Effect of Drying–Wetting Cycles on Soil Inorganic Nitrogen Transformation in Drip-Irrigated Cotton Field Soil in Northwestern China", </w:t>
      </w:r>
      <w:r>
        <w:rPr>
          <w:rFonts w:ascii="Times New Roman" w:hAnsi="Times New Roman"/>
          <w:b/>
          <w:iCs/>
          <w:sz w:val="24"/>
          <w:szCs w:val="24"/>
        </w:rPr>
        <w:t>Applied Sciences</w:t>
      </w:r>
      <w:r>
        <w:rPr>
          <w:rFonts w:ascii="Times New Roman" w:hAnsi="Times New Roman"/>
          <w:sz w:val="24"/>
          <w:szCs w:val="24"/>
        </w:rPr>
        <w:t xml:space="preserve">, 13(6), 2023, 3892, </w:t>
      </w:r>
      <w:r>
        <w:fldChar w:fldCharType="begin"/>
      </w:r>
      <w:r>
        <w:instrText xml:space="preserve"> HYPERLINK "https://doi.org/10.3390/app13063892" </w:instrText>
      </w:r>
      <w:r>
        <w:fldChar w:fldCharType="separate"/>
      </w:r>
      <w:r>
        <w:rPr>
          <w:rFonts w:ascii="Times New Roman" w:hAnsi="Times New Roman"/>
          <w:sz w:val="24"/>
          <w:szCs w:val="24"/>
        </w:rPr>
        <w:t>https://doi.org/10.3390/app13063892</w:t>
      </w:r>
      <w:r>
        <w:rPr>
          <w:rFonts w:ascii="Times New Roman" w:hAnsi="Times New Roman"/>
          <w:sz w:val="24"/>
          <w:szCs w:val="24"/>
        </w:rPr>
        <w:fldChar w:fldCharType="end"/>
      </w:r>
    </w:p>
    <w:p>
      <w:pPr>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 xml:space="preserve">Ma, W., Tang, S., Dengzeng, Z., Zhang, D., Zhang, T., &amp; Ma, X., </w:t>
      </w:r>
      <w:r>
        <w:rPr>
          <w:rFonts w:ascii="Times New Roman" w:hAnsi="Times New Roman"/>
          <w:i/>
          <w:iCs/>
          <w:sz w:val="24"/>
          <w:szCs w:val="24"/>
        </w:rPr>
        <w:t>Root Exudates Contribute to Belowground Ecosystem Hotspots:</w:t>
      </w:r>
      <w:r>
        <w:rPr>
          <w:rFonts w:ascii="Times New Roman" w:hAnsi="Times New Roman"/>
          <w:sz w:val="24"/>
          <w:szCs w:val="24"/>
        </w:rPr>
        <w:t xml:space="preserve"> A Review. </w:t>
      </w:r>
      <w:r>
        <w:rPr>
          <w:rFonts w:ascii="Times New Roman" w:hAnsi="Times New Roman"/>
          <w:b/>
          <w:bCs/>
          <w:sz w:val="24"/>
          <w:szCs w:val="24"/>
        </w:rPr>
        <w:t>Front. Microbiol</w:t>
      </w:r>
      <w:r>
        <w:rPr>
          <w:rFonts w:ascii="Times New Roman" w:hAnsi="Times New Roman"/>
          <w:sz w:val="24"/>
          <w:szCs w:val="24"/>
        </w:rPr>
        <w:t>. 13: 2022, 937940. doi: 10.3389/fmicb.2022.937940</w:t>
      </w:r>
    </w:p>
    <w:p>
      <w:pPr>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 xml:space="preserve">Mahmud, K.,  Shiva, M.,  Razi, I., &amp; Ali,  M., </w:t>
      </w:r>
      <w:r>
        <w:rPr>
          <w:rFonts w:ascii="Times New Roman" w:hAnsi="Times New Roman"/>
          <w:i/>
          <w:iCs/>
          <w:sz w:val="24"/>
          <w:szCs w:val="24"/>
        </w:rPr>
        <w:t>"Current Progress in Nitrogen Fixing Plants and Microbiome Research" </w:t>
      </w:r>
      <w:r>
        <w:rPr>
          <w:rFonts w:ascii="Times New Roman" w:hAnsi="Times New Roman"/>
          <w:b/>
          <w:iCs/>
          <w:sz w:val="24"/>
          <w:szCs w:val="24"/>
        </w:rPr>
        <w:t>Plants</w:t>
      </w:r>
      <w:r>
        <w:rPr>
          <w:rFonts w:ascii="Times New Roman" w:hAnsi="Times New Roman"/>
          <w:sz w:val="24"/>
          <w:szCs w:val="24"/>
        </w:rPr>
        <w:t xml:space="preserve">, 9(1): 2020, 97. </w:t>
      </w:r>
      <w:r>
        <w:fldChar w:fldCharType="begin"/>
      </w:r>
      <w:r>
        <w:instrText xml:space="preserve"> HYPERLINK "https://doi.org/10.3390/plants9010097" </w:instrText>
      </w:r>
      <w:r>
        <w:fldChar w:fldCharType="separate"/>
      </w:r>
      <w:r>
        <w:rPr>
          <w:rFonts w:ascii="Times New Roman" w:hAnsi="Times New Roman"/>
          <w:sz w:val="24"/>
          <w:szCs w:val="24"/>
        </w:rPr>
        <w:t>https://doi.org/10.3390/plants9010097</w:t>
      </w:r>
      <w:r>
        <w:rPr>
          <w:rFonts w:ascii="Times New Roman" w:hAnsi="Times New Roman"/>
          <w:sz w:val="24"/>
          <w:szCs w:val="24"/>
        </w:rPr>
        <w:fldChar w:fldCharType="end"/>
      </w:r>
    </w:p>
    <w:p>
      <w:pPr>
        <w:spacing w:after="240" w:line="276" w:lineRule="auto"/>
        <w:ind w:left="720" w:hanging="720"/>
        <w:jc w:val="both"/>
        <w:rPr>
          <w:rFonts w:ascii="Times New Roman" w:hAnsi="Times New Roman"/>
          <w:sz w:val="24"/>
          <w:szCs w:val="24"/>
        </w:rPr>
      </w:pPr>
      <w:r>
        <w:rPr>
          <w:rFonts w:ascii="Times New Roman" w:hAnsi="Times New Roman"/>
          <w:sz w:val="24"/>
          <w:szCs w:val="24"/>
        </w:rPr>
        <w:t>Mahnaz V., Chris E. J. , John J. B., John L. C., Timothy J. F. , Habibollah F., &amp; Charles T. D</w:t>
      </w:r>
      <w:r>
        <w:rPr>
          <w:rFonts w:ascii="Times New Roman" w:hAnsi="Times New Roman"/>
          <w:i/>
          <w:sz w:val="24"/>
          <w:szCs w:val="24"/>
        </w:rPr>
        <w:t>.  Simulation of the Effects of Forest Harvesting under Changing Climate to Inform Long-term Sustainable Forest Management Using a Biogeochemical Model</w:t>
      </w:r>
      <w:r>
        <w:rPr>
          <w:rFonts w:ascii="Times New Roman" w:hAnsi="Times New Roman"/>
          <w:sz w:val="24"/>
          <w:szCs w:val="24"/>
        </w:rPr>
        <w:t xml:space="preserve"> , </w:t>
      </w:r>
      <w:r>
        <w:fldChar w:fldCharType="begin"/>
      </w:r>
      <w:r>
        <w:instrText xml:space="preserve"> HYPERLINK "https://www.sciencedirect.com/journal/science-of-the-total-environment" \o "Go to Science of The Total Environment on ScienceDirect" </w:instrText>
      </w:r>
      <w:r>
        <w:fldChar w:fldCharType="separate"/>
      </w:r>
      <w:r>
        <w:rPr>
          <w:rStyle w:val="13"/>
          <w:rFonts w:ascii="Times New Roman" w:hAnsi="Times New Roman"/>
          <w:b/>
          <w:color w:val="auto"/>
          <w:sz w:val="24"/>
          <w:szCs w:val="24"/>
          <w:u w:val="none"/>
        </w:rPr>
        <w:t>Science of The Total Environment</w:t>
      </w:r>
      <w:r>
        <w:rPr>
          <w:rStyle w:val="13"/>
          <w:rFonts w:ascii="Times New Roman" w:hAnsi="Times New Roman"/>
          <w:b/>
          <w:color w:val="auto"/>
          <w:sz w:val="24"/>
          <w:szCs w:val="24"/>
          <w:u w:val="none"/>
        </w:rPr>
        <w:fldChar w:fldCharType="end"/>
      </w:r>
      <w:r>
        <w:rPr>
          <w:rFonts w:ascii="Times New Roman" w:hAnsi="Times New Roman"/>
          <w:b/>
          <w:sz w:val="24"/>
          <w:szCs w:val="24"/>
        </w:rPr>
        <w:t xml:space="preserve">, </w:t>
      </w:r>
      <w:r>
        <w:rPr>
          <w:rFonts w:ascii="Times New Roman" w:hAnsi="Times New Roman"/>
          <w:sz w:val="24"/>
          <w:szCs w:val="24"/>
        </w:rPr>
        <w:t>767, 2021, 144881.</w:t>
      </w:r>
    </w:p>
    <w:p>
      <w:pPr>
        <w:tabs>
          <w:tab w:val="left" w:pos="630"/>
          <w:tab w:val="left" w:pos="720"/>
        </w:tabs>
        <w:spacing w:after="240" w:line="276" w:lineRule="auto"/>
        <w:ind w:left="630" w:hanging="63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Mark T. L. B.,Diane E. A, Richard B, Tim E. S,, Tom L, Luke P. S.,&amp; </w:t>
      </w:r>
      <w:r>
        <w:fldChar w:fldCharType="begin"/>
      </w:r>
      <w:r>
        <w:instrText xml:space="preserve"> HYPERLINK "https://pubmed.ncbi.nlm.nih.gov/?term=Schmidt%20S%5BAuthor%5D" </w:instrText>
      </w:r>
      <w:r>
        <w:fldChar w:fldCharType="separate"/>
      </w:r>
      <w:r>
        <w:rPr>
          <w:rStyle w:val="13"/>
          <w:rFonts w:ascii="Times New Roman" w:hAnsi="Times New Roman"/>
          <w:color w:val="auto"/>
          <w:sz w:val="24"/>
          <w:szCs w:val="24"/>
          <w:u w:val="none"/>
        </w:rPr>
        <w:t>Susann</w:t>
      </w:r>
      <w:r>
        <w:rPr>
          <w:rStyle w:val="13"/>
          <w:rFonts w:ascii="Times New Roman" w:hAnsi="Times New Roman"/>
          <w:color w:val="auto"/>
          <w:sz w:val="24"/>
          <w:szCs w:val="24"/>
          <w:u w:val="none"/>
        </w:rPr>
        <w:fldChar w:fldCharType="end"/>
      </w:r>
      <w:r>
        <w:rPr>
          <w:rFonts w:ascii="Times New Roman" w:hAnsi="Times New Roman"/>
          <w:sz w:val="24"/>
          <w:szCs w:val="24"/>
        </w:rPr>
        <w:t xml:space="preserve">e </w:t>
      </w:r>
      <w:r>
        <w:rPr>
          <w:rFonts w:ascii="Times New Roman" w:hAnsi="Times New Roman"/>
          <w:color w:val="000000" w:themeColor="text1"/>
          <w:sz w:val="24"/>
          <w:szCs w:val="24"/>
          <w14:textFill>
            <w14:solidFill>
              <w14:schemeClr w14:val="tx1"/>
            </w14:solidFill>
          </w14:textFill>
        </w:rPr>
        <w:t xml:space="preserve">S. </w:t>
      </w:r>
      <w:r>
        <w:rPr>
          <w:rFonts w:ascii="Times New Roman" w:hAnsi="Times New Roman"/>
          <w:i/>
          <w:color w:val="000000" w:themeColor="text1"/>
          <w:sz w:val="24"/>
          <w:szCs w:val="24"/>
          <w14:textFill>
            <w14:solidFill>
              <w14:schemeClr w14:val="tx1"/>
            </w14:solidFill>
          </w14:textFill>
        </w:rPr>
        <w:t xml:space="preserve">Tropical Rainforest Restoration Plantations Are Slow to Restore the Soil Biological and Organic Carbon Characteristics of Old Growth Rainforest, </w:t>
      </w:r>
      <w:r>
        <w:rPr>
          <w:rFonts w:ascii="Times New Roman" w:hAnsi="Times New Roman"/>
          <w:b/>
          <w:color w:val="000000" w:themeColor="text1"/>
          <w:sz w:val="24"/>
          <w:szCs w:val="24"/>
          <w14:textFill>
            <w14:solidFill>
              <w14:schemeClr w14:val="tx1"/>
            </w14:solidFill>
          </w14:textFill>
        </w:rPr>
        <w:t>Microbial Ecology</w:t>
      </w:r>
      <w:r>
        <w:rPr>
          <w:rFonts w:ascii="Times New Roman" w:hAnsi="Times New Roman"/>
          <w:i/>
          <w:color w:val="000000" w:themeColor="text1"/>
          <w:sz w:val="24"/>
          <w:szCs w:val="24"/>
          <w14:textFill>
            <w14:solidFill>
              <w14:schemeClr w14:val="tx1"/>
            </w14:solidFill>
          </w14:textFill>
        </w:rPr>
        <w:t xml:space="preserve"> </w:t>
      </w:r>
      <w:r>
        <w:rPr>
          <w:rFonts w:ascii="Times New Roman" w:hAnsi="Times New Roman"/>
          <w:color w:val="000000" w:themeColor="text1"/>
          <w:sz w:val="24"/>
          <w:szCs w:val="24"/>
          <w14:textFill>
            <w14:solidFill>
              <w14:schemeClr w14:val="tx1"/>
            </w14:solidFill>
          </w14:textFill>
        </w:rPr>
        <w:t>79(2):2019, 432-442 PMCID: PMC7033081, PMID: </w:t>
      </w:r>
      <w:r>
        <w:fldChar w:fldCharType="begin"/>
      </w:r>
      <w:r>
        <w:instrText xml:space="preserve"> HYPERLINK "https://pubmed.ncbi.nlm.nih.gov/31372686" </w:instrText>
      </w:r>
      <w:r>
        <w:fldChar w:fldCharType="separate"/>
      </w:r>
      <w:r>
        <w:rPr>
          <w:rStyle w:val="13"/>
          <w:rFonts w:ascii="Times New Roman" w:hAnsi="Times New Roman"/>
          <w:color w:val="auto"/>
          <w:sz w:val="24"/>
          <w:szCs w:val="24"/>
          <w:u w:val="none"/>
        </w:rPr>
        <w:t>31372686</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doi:</w:t>
      </w:r>
      <w:r>
        <w:fldChar w:fldCharType="begin"/>
      </w:r>
      <w:r>
        <w:instrText xml:space="preserve"> HYPERLINK "https://doi.org/10.1007%2Fs00248-019-01414-7" \t "_blank" </w:instrText>
      </w:r>
      <w:r>
        <w:fldChar w:fldCharType="separate"/>
      </w:r>
      <w:r>
        <w:rPr>
          <w:rStyle w:val="13"/>
          <w:rFonts w:ascii="Times New Roman" w:hAnsi="Times New Roman"/>
          <w:color w:val="auto"/>
          <w:sz w:val="24"/>
          <w:szCs w:val="24"/>
          <w:u w:val="none"/>
        </w:rPr>
        <w:t>10.1007/s00248-019-01414-7</w:t>
      </w:r>
      <w:r>
        <w:rPr>
          <w:rStyle w:val="13"/>
          <w:rFonts w:ascii="Times New Roman" w:hAnsi="Times New Roman"/>
          <w:color w:val="auto"/>
          <w:sz w:val="24"/>
          <w:szCs w:val="24"/>
          <w:u w:val="none"/>
        </w:rPr>
        <w:fldChar w:fldCharType="end"/>
      </w:r>
    </w:p>
    <w:p>
      <w:pPr>
        <w:spacing w:after="240" w:line="276" w:lineRule="auto"/>
        <w:ind w:left="567" w:hanging="567"/>
        <w:jc w:val="both"/>
        <w:rPr>
          <w:rFonts w:ascii="Times New Roman" w:hAnsi="Times New Roman"/>
          <w:color w:val="FF0000"/>
          <w:sz w:val="24"/>
          <w:szCs w:val="24"/>
        </w:rPr>
      </w:pPr>
      <w:r>
        <w:rPr>
          <w:rFonts w:ascii="Times New Roman" w:hAnsi="Times New Roman"/>
          <w:color w:val="000000" w:themeColor="text1"/>
          <w:sz w:val="24"/>
          <w:szCs w:val="24"/>
          <w14:textFill>
            <w14:solidFill>
              <w14:schemeClr w14:val="tx1"/>
            </w14:solidFill>
          </w14:textFill>
        </w:rPr>
        <w:t xml:space="preserve">Martínez-Mera E.A, Torregroza-Espinosa A.C., Valencia-García A. &amp; Rojas-Gerónimo, L.,  </w:t>
      </w:r>
      <w:r>
        <w:rPr>
          <w:rFonts w:ascii="Times New Roman" w:hAnsi="Times New Roman"/>
          <w:i/>
          <w:sz w:val="24"/>
          <w:szCs w:val="24"/>
        </w:rPr>
        <w:t>Relationship between Soil Physicochemical Characteristics and Nitrogen-Fixing Bacteria in Agricultural Soils of the Atlántico Department, Colombia.</w:t>
      </w:r>
      <w:r>
        <w:rPr>
          <w:rFonts w:ascii="Times New Roman" w:hAnsi="Times New Roman"/>
          <w:sz w:val="24"/>
          <w:szCs w:val="24"/>
        </w:rPr>
        <w:t xml:space="preserve"> </w:t>
      </w:r>
      <w:r>
        <w:rPr>
          <w:rFonts w:ascii="Times New Roman" w:hAnsi="Times New Roman"/>
          <w:b/>
          <w:sz w:val="24"/>
          <w:szCs w:val="24"/>
        </w:rPr>
        <w:t xml:space="preserve">Soil environ., </w:t>
      </w:r>
      <w:r>
        <w:rPr>
          <w:rFonts w:ascii="Times New Roman" w:hAnsi="Times New Roman"/>
          <w:sz w:val="24"/>
          <w:szCs w:val="24"/>
        </w:rPr>
        <w:t>36, 2017, 174-181</w:t>
      </w:r>
      <w:r>
        <w:rPr>
          <w:rFonts w:ascii="Times New Roman" w:hAnsi="Times New Roman"/>
          <w:color w:val="FF0000"/>
          <w:sz w:val="24"/>
          <w:szCs w:val="24"/>
        </w:rPr>
        <w:t>.</w:t>
      </w:r>
    </w:p>
    <w:p>
      <w:pPr>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McLaughlin, S., Zhalnina, K., Kosina, S. </w:t>
      </w:r>
      <w:r>
        <w:rPr>
          <w:rFonts w:ascii="Times New Roman" w:hAnsi="Times New Roman"/>
          <w:i/>
          <w:iCs/>
          <w:sz w:val="24"/>
          <w:szCs w:val="24"/>
        </w:rPr>
        <w:t>The Core Metabolome and Root Exudation Dynamics of Three Phylogenetically Distinct Plant Species.</w:t>
      </w:r>
      <w:r>
        <w:rPr>
          <w:rFonts w:ascii="Times New Roman" w:hAnsi="Times New Roman"/>
          <w:sz w:val="24"/>
          <w:szCs w:val="24"/>
        </w:rPr>
        <w:t> </w:t>
      </w:r>
      <w:r>
        <w:rPr>
          <w:rFonts w:ascii="Times New Roman" w:hAnsi="Times New Roman"/>
          <w:b/>
          <w:bCs/>
          <w:sz w:val="24"/>
          <w:szCs w:val="24"/>
        </w:rPr>
        <w:t>Nat Commun.</w:t>
      </w:r>
      <w:r>
        <w:rPr>
          <w:rFonts w:ascii="Times New Roman" w:hAnsi="Times New Roman"/>
          <w:bCs/>
          <w:sz w:val="24"/>
          <w:szCs w:val="24"/>
        </w:rPr>
        <w:t>,</w:t>
      </w:r>
      <w:r>
        <w:rPr>
          <w:rFonts w:ascii="Times New Roman" w:hAnsi="Times New Roman"/>
          <w:sz w:val="24"/>
          <w:szCs w:val="24"/>
        </w:rPr>
        <w:t xml:space="preserve"> 14, 2023, 1649, https://doi.org/10.1038/s41467-023-37164-x </w:t>
      </w:r>
    </w:p>
    <w:p>
      <w:pPr>
        <w:tabs>
          <w:tab w:val="left" w:pos="540"/>
          <w:tab w:val="left" w:pos="630"/>
        </w:tabs>
        <w:spacing w:after="240" w:line="276" w:lineRule="auto"/>
        <w:ind w:left="567" w:hanging="567"/>
        <w:jc w:val="both"/>
        <w:rPr>
          <w:rFonts w:ascii="Times New Roman" w:hAnsi="Times New Roman"/>
          <w:color w:val="000000"/>
          <w:sz w:val="24"/>
          <w:szCs w:val="24"/>
        </w:rPr>
      </w:pPr>
      <w:r>
        <w:rPr>
          <w:rFonts w:ascii="Times New Roman" w:hAnsi="Times New Roman"/>
          <w:sz w:val="24"/>
          <w:szCs w:val="24"/>
        </w:rPr>
        <w:t xml:space="preserve">Meisner, A., Leizeaga, A., Rousk, J. &amp; Baath, E., </w:t>
      </w:r>
      <w:r>
        <w:rPr>
          <w:rFonts w:ascii="Times New Roman" w:hAnsi="Times New Roman"/>
          <w:i/>
          <w:iCs/>
          <w:sz w:val="24"/>
          <w:szCs w:val="24"/>
        </w:rPr>
        <w:t xml:space="preserve">Partial Drying Accelerates Bacterial Growth </w:t>
      </w:r>
      <w:r>
        <w:rPr>
          <w:rFonts w:ascii="Times New Roman" w:hAnsi="Times New Roman"/>
          <w:i/>
          <w:iCs/>
          <w:sz w:val="24"/>
          <w:szCs w:val="24"/>
        </w:rPr>
        <w:tab/>
      </w:r>
      <w:r>
        <w:rPr>
          <w:rFonts w:ascii="Times New Roman" w:hAnsi="Times New Roman"/>
          <w:i/>
          <w:iCs/>
          <w:sz w:val="24"/>
          <w:szCs w:val="24"/>
        </w:rPr>
        <w:t>Recovery Toe-Wetting</w:t>
      </w:r>
      <w:r>
        <w:rPr>
          <w:rFonts w:ascii="Times New Roman" w:hAnsi="Times New Roman"/>
          <w:sz w:val="24"/>
          <w:szCs w:val="24"/>
        </w:rPr>
        <w:t xml:space="preserve">, </w:t>
      </w:r>
      <w:r>
        <w:rPr>
          <w:rFonts w:ascii="Times New Roman" w:hAnsi="Times New Roman"/>
          <w:b/>
          <w:bCs/>
          <w:sz w:val="24"/>
          <w:szCs w:val="24"/>
        </w:rPr>
        <w:t>Soil Biol. Biochem</w:t>
      </w:r>
      <w:r>
        <w:rPr>
          <w:rFonts w:ascii="Times New Roman" w:hAnsi="Times New Roman"/>
          <w:b/>
          <w:sz w:val="24"/>
          <w:szCs w:val="24"/>
        </w:rPr>
        <w:t>.</w:t>
      </w:r>
      <w:r>
        <w:rPr>
          <w:rFonts w:ascii="Times New Roman" w:hAnsi="Times New Roman"/>
          <w:sz w:val="24"/>
          <w:szCs w:val="24"/>
        </w:rPr>
        <w:t>, 112, 2017, 269–276.</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Merlos F. A, Silva J .V,  Baudron F. &amp; Hijmans  R. J,  </w:t>
      </w:r>
      <w:r>
        <w:rPr>
          <w:rFonts w:ascii="Times New Roman" w:hAnsi="Times New Roman"/>
          <w:i/>
          <w:color w:val="000000" w:themeColor="text1"/>
          <w:sz w:val="24"/>
          <w:szCs w:val="24"/>
          <w14:textFill>
            <w14:solidFill>
              <w14:schemeClr w14:val="tx1"/>
            </w14:solidFill>
          </w14:textFill>
        </w:rPr>
        <w:t>Estimating Lime Requirements for Tropical Soils: Model Comparison and Development,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Geoderma</w:t>
      </w:r>
      <w:r>
        <w:rPr>
          <w:rFonts w:ascii="Times New Roman" w:hAnsi="Times New Roman"/>
          <w:color w:val="000000" w:themeColor="text1"/>
          <w:sz w:val="24"/>
          <w:szCs w:val="24"/>
          <w14:textFill>
            <w14:solidFill>
              <w14:schemeClr w14:val="tx1"/>
            </w14:solidFill>
          </w14:textFill>
        </w:rPr>
        <w:t xml:space="preserve"> ,432,2023, 116421, DOI: </w:t>
      </w:r>
      <w:r>
        <w:fldChar w:fldCharType="begin"/>
      </w:r>
      <w:r>
        <w:instrText xml:space="preserve"> HYPERLINK "https://doi.org/10.1016/j.geoderma.2023.116421" \t "_blank" </w:instrText>
      </w:r>
      <w:r>
        <w:fldChar w:fldCharType="separate"/>
      </w:r>
      <w:r>
        <w:rPr>
          <w:rStyle w:val="13"/>
          <w:rFonts w:ascii="Times New Roman" w:hAnsi="Times New Roman"/>
          <w:color w:val="auto"/>
          <w:sz w:val="24"/>
          <w:szCs w:val="24"/>
          <w:u w:val="none"/>
        </w:rPr>
        <w:t>10.1016/j.geoderma.2023.116421</w:t>
      </w:r>
      <w:r>
        <w:rPr>
          <w:rStyle w:val="13"/>
          <w:rFonts w:ascii="Times New Roman" w:hAnsi="Times New Roman"/>
          <w:color w:val="auto"/>
          <w:sz w:val="24"/>
          <w:szCs w:val="24"/>
          <w:u w:val="none"/>
        </w:rPr>
        <w:fldChar w:fldCharType="end"/>
      </w:r>
    </w:p>
    <w:p>
      <w:pPr>
        <w:spacing w:after="240" w:line="276" w:lineRule="auto"/>
        <w:ind w:left="567" w:hanging="567"/>
        <w:jc w:val="both"/>
        <w:rPr>
          <w:rFonts w:ascii="Times New Roman" w:hAnsi="Times New Roman"/>
          <w:color w:val="000000"/>
          <w:sz w:val="24"/>
          <w:szCs w:val="24"/>
        </w:rPr>
      </w:pPr>
      <w:r>
        <w:rPr>
          <w:rFonts w:ascii="Times New Roman" w:hAnsi="Times New Roman"/>
          <w:color w:val="000000"/>
          <w:sz w:val="24"/>
          <w:szCs w:val="24"/>
        </w:rPr>
        <w:t xml:space="preserve">Michael R. Clear &amp; Erik F. Y. H., </w:t>
      </w:r>
      <w:r>
        <w:rPr>
          <w:rFonts w:ascii="Times New Roman" w:hAnsi="Times New Roman"/>
          <w:i/>
          <w:color w:val="000000"/>
          <w:sz w:val="24"/>
          <w:szCs w:val="24"/>
        </w:rPr>
        <w:t xml:space="preserve">The Evolution of Symbiotic Plant–Microbe Signalling </w:t>
      </w:r>
      <w:r>
        <w:rPr>
          <w:rFonts w:ascii="Times New Roman" w:hAnsi="Times New Roman"/>
          <w:color w:val="000000"/>
          <w:sz w:val="24"/>
          <w:szCs w:val="24"/>
        </w:rPr>
        <w:t>Annual Plant Reviews 2, 2019, 1–52,  http://onlinelibrary.wiley.com doi: 10.1002/9781119312994.apr0684</w:t>
      </w:r>
    </w:p>
    <w:p>
      <w:pPr>
        <w:spacing w:after="240" w:line="276" w:lineRule="auto"/>
        <w:ind w:left="567" w:hanging="567"/>
        <w:jc w:val="both"/>
        <w:rPr>
          <w:rFonts w:ascii="Times New Roman" w:hAnsi="Times New Roman"/>
          <w:bCs/>
          <w:color w:val="000000"/>
          <w:sz w:val="24"/>
          <w:szCs w:val="24"/>
        </w:rPr>
      </w:pPr>
      <w:r>
        <w:rPr>
          <w:rFonts w:ascii="Times New Roman" w:hAnsi="Times New Roman"/>
          <w:bCs/>
          <w:color w:val="000000"/>
          <w:sz w:val="24"/>
          <w:szCs w:val="24"/>
        </w:rPr>
        <w:t>Miguel C.S, Juan F. H, Francisco T. A., &amp; Nieves C</w:t>
      </w:r>
      <w:r>
        <w:rPr>
          <w:rFonts w:ascii="Times New Roman" w:hAnsi="Times New Roman"/>
          <w:b/>
          <w:bCs/>
          <w:color w:val="000000"/>
          <w:sz w:val="24"/>
          <w:szCs w:val="24"/>
        </w:rPr>
        <w:t xml:space="preserve">. </w:t>
      </w:r>
      <w:r>
        <w:rPr>
          <w:rFonts w:ascii="Times New Roman" w:hAnsi="Times New Roman"/>
          <w:bCs/>
          <w:i/>
          <w:color w:val="000000"/>
          <w:sz w:val="24"/>
          <w:szCs w:val="24"/>
        </w:rPr>
        <w:t>Soil Microbial Community Responses to  Different Management Strategies in Almond Crop</w:t>
      </w:r>
      <w:r>
        <w:rPr>
          <w:rFonts w:ascii="Times New Roman" w:hAnsi="Times New Roman"/>
          <w:b/>
          <w:bCs/>
          <w:i/>
          <w:color w:val="000000"/>
          <w:sz w:val="24"/>
          <w:szCs w:val="24"/>
        </w:rPr>
        <w:t xml:space="preserve">, </w:t>
      </w:r>
      <w:r>
        <w:rPr>
          <w:rFonts w:ascii="Times New Roman" w:hAnsi="Times New Roman"/>
          <w:b/>
          <w:bCs/>
          <w:iCs/>
          <w:color w:val="000000"/>
          <w:sz w:val="24"/>
          <w:szCs w:val="24"/>
        </w:rPr>
        <w:t>J. Fungi</w:t>
      </w:r>
      <w:r>
        <w:rPr>
          <w:rFonts w:ascii="Times New Roman" w:hAnsi="Times New Roman"/>
          <w:bCs/>
          <w:color w:val="000000"/>
          <w:sz w:val="24"/>
          <w:szCs w:val="24"/>
        </w:rPr>
        <w:t> </w:t>
      </w:r>
      <w:r>
        <w:rPr>
          <w:rFonts w:ascii="Times New Roman" w:hAnsi="Times New Roman"/>
          <w:b/>
          <w:bCs/>
          <w:color w:val="000000"/>
          <w:sz w:val="24"/>
          <w:szCs w:val="24"/>
        </w:rPr>
        <w:t>2023</w:t>
      </w:r>
      <w:r>
        <w:rPr>
          <w:rFonts w:ascii="Times New Roman" w:hAnsi="Times New Roman"/>
          <w:bCs/>
          <w:color w:val="000000"/>
          <w:sz w:val="24"/>
          <w:szCs w:val="24"/>
        </w:rPr>
        <w:t>, </w:t>
      </w:r>
      <w:r>
        <w:rPr>
          <w:rFonts w:ascii="Times New Roman" w:hAnsi="Times New Roman"/>
          <w:bCs/>
          <w:iCs/>
          <w:color w:val="000000"/>
          <w:sz w:val="24"/>
          <w:szCs w:val="24"/>
        </w:rPr>
        <w:t>9</w:t>
      </w:r>
      <w:r>
        <w:rPr>
          <w:rFonts w:ascii="Times New Roman" w:hAnsi="Times New Roman"/>
          <w:bCs/>
          <w:color w:val="000000"/>
          <w:sz w:val="24"/>
          <w:szCs w:val="24"/>
        </w:rPr>
        <w:t>(1), 2023, 95; </w:t>
      </w:r>
      <w:r>
        <w:fldChar w:fldCharType="begin"/>
      </w:r>
      <w:r>
        <w:instrText xml:space="preserve"> HYPERLINK "https://doi.org/10.3390/jof9010095" </w:instrText>
      </w:r>
      <w:r>
        <w:fldChar w:fldCharType="separate"/>
      </w:r>
      <w:r>
        <w:rPr>
          <w:rStyle w:val="13"/>
          <w:rFonts w:ascii="Times New Roman" w:hAnsi="Times New Roman"/>
          <w:bCs/>
          <w:color w:val="auto"/>
          <w:sz w:val="24"/>
          <w:szCs w:val="24"/>
          <w:u w:val="none"/>
        </w:rPr>
        <w:t>https://doi.org/10.3390/jof9010095</w:t>
      </w:r>
      <w:r>
        <w:rPr>
          <w:rStyle w:val="13"/>
          <w:rFonts w:ascii="Times New Roman" w:hAnsi="Times New Roman"/>
          <w:bCs/>
          <w:color w:val="auto"/>
          <w:sz w:val="24"/>
          <w:szCs w:val="24"/>
          <w:u w:val="none"/>
        </w:rPr>
        <w:fldChar w:fldCharType="end"/>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Mori, T., Senhao, W., Cheng, P., Cong, W., Jiangming, M., Mianhai, Z., Wei, Z. </w:t>
      </w:r>
      <w:r>
        <w:rPr>
          <w:rFonts w:ascii="Times New Roman" w:hAnsi="Times New Roman"/>
          <w:i/>
          <w:sz w:val="24"/>
          <w:szCs w:val="24"/>
        </w:rPr>
        <w:t>"Importance of Considering Enzyme Degradation for Interpreting the Response of Soil Enzyme Activity to Nutrient Addition: Insights from a Field and Laboratory Study",</w:t>
      </w:r>
      <w:r>
        <w:rPr>
          <w:rFonts w:ascii="Times New Roman" w:hAnsi="Times New Roman"/>
          <w:sz w:val="24"/>
          <w:szCs w:val="24"/>
        </w:rPr>
        <w:t> </w:t>
      </w:r>
      <w:r>
        <w:rPr>
          <w:rFonts w:ascii="Times New Roman" w:hAnsi="Times New Roman"/>
          <w:b/>
          <w:iCs/>
          <w:sz w:val="24"/>
          <w:szCs w:val="24"/>
        </w:rPr>
        <w:t>Forests</w:t>
      </w:r>
      <w:r>
        <w:rPr>
          <w:rFonts w:ascii="Times New Roman" w:hAnsi="Times New Roman"/>
          <w:sz w:val="24"/>
          <w:szCs w:val="24"/>
        </w:rPr>
        <w:t xml:space="preserve">, 14(6), 2023, 1206. https://doi.org/10.3390/f14061206 </w:t>
      </w:r>
    </w:p>
    <w:p>
      <w:pPr>
        <w:spacing w:after="240" w:line="276" w:lineRule="auto"/>
        <w:ind w:left="567" w:hanging="567"/>
        <w:jc w:val="both"/>
        <w:rPr>
          <w:rFonts w:ascii="Times New Roman" w:hAnsi="Times New Roman"/>
          <w:sz w:val="24"/>
          <w:szCs w:val="24"/>
        </w:rPr>
      </w:pPr>
      <w:r>
        <w:rPr>
          <w:rFonts w:ascii="Times New Roman" w:hAnsi="Times New Roman"/>
          <w:sz w:val="24"/>
          <w:szCs w:val="24"/>
        </w:rPr>
        <w:t xml:space="preserve">Mundra, S., Shockey, J., &amp; Morsy, M., </w:t>
      </w:r>
      <w:r>
        <w:rPr>
          <w:rFonts w:ascii="Times New Roman" w:hAnsi="Times New Roman"/>
          <w:i/>
          <w:iCs/>
          <w:sz w:val="24"/>
          <w:szCs w:val="24"/>
        </w:rPr>
        <w:t xml:space="preserve">Editorial: Plant Microbiome: Ecology, Functions, and </w:t>
      </w:r>
      <w:r>
        <w:rPr>
          <w:rFonts w:ascii="Times New Roman" w:hAnsi="Times New Roman"/>
          <w:i/>
          <w:iCs/>
          <w:sz w:val="24"/>
          <w:szCs w:val="24"/>
        </w:rPr>
        <w:tab/>
      </w:r>
      <w:r>
        <w:rPr>
          <w:rFonts w:ascii="Times New Roman" w:hAnsi="Times New Roman"/>
          <w:i/>
          <w:iCs/>
          <w:sz w:val="24"/>
          <w:szCs w:val="24"/>
        </w:rPr>
        <w:t xml:space="preserve">Application Trends. </w:t>
      </w:r>
      <w:r>
        <w:rPr>
          <w:rFonts w:ascii="Times New Roman" w:hAnsi="Times New Roman"/>
          <w:b/>
          <w:sz w:val="24"/>
          <w:szCs w:val="24"/>
        </w:rPr>
        <w:t>Front. Plant Sci.</w:t>
      </w:r>
      <w:r>
        <w:rPr>
          <w:rFonts w:ascii="Times New Roman" w:hAnsi="Times New Roman"/>
          <w:sz w:val="24"/>
          <w:szCs w:val="24"/>
        </w:rPr>
        <w:t xml:space="preserve">, 14, 2016, 1175556, doi: </w:t>
      </w:r>
      <w:r>
        <w:rPr>
          <w:rFonts w:ascii="Times New Roman" w:hAnsi="Times New Roman"/>
          <w:sz w:val="24"/>
          <w:szCs w:val="24"/>
        </w:rPr>
        <w:tab/>
      </w:r>
      <w:r>
        <w:rPr>
          <w:rFonts w:ascii="Times New Roman" w:hAnsi="Times New Roman"/>
          <w:sz w:val="24"/>
          <w:szCs w:val="24"/>
        </w:rPr>
        <w:t>10.3389/fpls.2023.1175556</w:t>
      </w:r>
    </w:p>
    <w:p>
      <w:pPr>
        <w:spacing w:after="240" w:line="276" w:lineRule="auto"/>
        <w:ind w:left="567" w:hanging="567"/>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Nath, P. C., Amiya, O., Shubhankar, D., Minaxi, S., Prakash, K. N., Kandi, S. &amp; Baskaran,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 xml:space="preserve">S. I., </w:t>
      </w:r>
      <w:r>
        <w:rPr>
          <w:rFonts w:ascii="Times New Roman" w:hAnsi="Times New Roman"/>
          <w:i/>
          <w:color w:val="000000" w:themeColor="text1"/>
          <w:sz w:val="24"/>
          <w:szCs w:val="24"/>
          <w14:textFill>
            <w14:solidFill>
              <w14:schemeClr w14:val="tx1"/>
            </w14:solidFill>
          </w14:textFill>
        </w:rPr>
        <w:t xml:space="preserve">"Valorization of Food Waste as Animal Feed: A Step towards Sustainable Food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Waste Management and Circular Bioeconomy"</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Animals</w:t>
      </w:r>
      <w:r>
        <w:rPr>
          <w:rFonts w:ascii="Times New Roman" w:hAnsi="Times New Roman"/>
          <w:b/>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 xml:space="preserve"> 13(8), 2023, 1366, </w:t>
      </w:r>
      <w:r>
        <w:rPr>
          <w:rFonts w:ascii="Times New Roman" w:hAnsi="Times New Roman"/>
          <w:color w:val="000000" w:themeColor="text1"/>
          <w:sz w:val="24"/>
          <w:szCs w:val="24"/>
          <w14:textFill>
            <w14:solidFill>
              <w14:schemeClr w14:val="tx1"/>
            </w14:solidFill>
          </w14:textFill>
        </w:rPr>
        <w:tab/>
      </w:r>
      <w:r>
        <w:rPr>
          <w:rFonts w:ascii="Times New Roman" w:hAnsi="Times New Roman"/>
          <w:sz w:val="24"/>
          <w:szCs w:val="24"/>
        </w:rPr>
        <w:t>https://doi.org/10.3390/ani13081366</w:t>
      </w:r>
    </w:p>
    <w:p>
      <w:pPr>
        <w:spacing w:after="240" w:line="276" w:lineRule="auto"/>
        <w:ind w:left="567" w:hanging="567"/>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Naylor, D., Ryan, M. &amp; Janet, J., </w:t>
      </w:r>
      <w:r>
        <w:rPr>
          <w:rFonts w:ascii="Times New Roman" w:hAnsi="Times New Roman"/>
          <w:i/>
          <w:color w:val="000000" w:themeColor="text1"/>
          <w:sz w:val="24"/>
          <w:szCs w:val="24"/>
          <w14:textFill>
            <w14:solidFill>
              <w14:schemeClr w14:val="tx1"/>
            </w14:solidFill>
          </w14:textFill>
        </w:rPr>
        <w:t xml:space="preserve">"Trends in Microbial Community Composition and Function by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Soil Depth"</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Microorganisms</w:t>
      </w:r>
      <w:r>
        <w:rPr>
          <w:rFonts w:ascii="Times New Roman" w:hAnsi="Times New Roman"/>
          <w:b/>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 xml:space="preserve"> 10(3), 2022, 540.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 xml:space="preserve">https://doi.org/10.3390/microorganisms10030540 </w:t>
      </w:r>
    </w:p>
    <w:p>
      <w:pPr>
        <w:tabs>
          <w:tab w:val="left" w:pos="720"/>
        </w:tabs>
        <w:spacing w:after="240" w:line="276" w:lineRule="auto"/>
        <w:ind w:left="567" w:hanging="567"/>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Neupane, D., </w:t>
      </w:r>
      <w:r>
        <w:rPr>
          <w:rFonts w:ascii="Times New Roman" w:hAnsi="Times New Roman"/>
          <w:i/>
          <w:color w:val="000000" w:themeColor="text1"/>
          <w:sz w:val="24"/>
          <w:szCs w:val="24"/>
          <w14:textFill>
            <w14:solidFill>
              <w14:schemeClr w14:val="tx1"/>
            </w14:solidFill>
          </w14:textFill>
        </w:rPr>
        <w:t xml:space="preserve">"Biofuels from Renewable Sources, a Potential Option for Biodiesel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Production"</w:t>
      </w:r>
      <w:r>
        <w:rPr>
          <w:rFonts w:ascii="Times New Roman" w:hAnsi="Times New Roman"/>
          <w:color w:val="000000" w:themeColor="text1"/>
          <w:sz w:val="24"/>
          <w:szCs w:val="24"/>
          <w14:textFill>
            <w14:solidFill>
              <w14:schemeClr w14:val="tx1"/>
            </w14:solidFill>
          </w14:textFill>
        </w:rPr>
        <w:t>,</w:t>
      </w:r>
      <w:r>
        <w:rPr>
          <w:rFonts w:ascii="Times New Roman" w:hAnsi="Times New Roman"/>
          <w:b/>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Bioengineering</w:t>
      </w:r>
      <w:r>
        <w:rPr>
          <w:rFonts w:ascii="Times New Roman" w:hAnsi="Times New Roman"/>
          <w:b/>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 xml:space="preserve"> 10(1), 2023, 29. </w:t>
      </w:r>
      <w:r>
        <w:rPr>
          <w:rFonts w:ascii="Times New Roman" w:hAnsi="Times New Roman"/>
          <w:color w:val="000000" w:themeColor="text1"/>
          <w:sz w:val="24"/>
          <w:szCs w:val="24"/>
          <w14:textFill>
            <w14:solidFill>
              <w14:schemeClr w14:val="tx1"/>
            </w14:solidFill>
          </w14:textFill>
        </w:rPr>
        <w:tab/>
      </w:r>
      <w:r>
        <w:rPr>
          <w:rFonts w:ascii="Times New Roman" w:hAnsi="Times New Roman"/>
          <w:sz w:val="24"/>
          <w:szCs w:val="24"/>
        </w:rPr>
        <w:t>https://doi.org/10.3390/bioengineering10010029</w:t>
      </w:r>
    </w:p>
    <w:p>
      <w:pPr>
        <w:tabs>
          <w:tab w:val="left" w:pos="720"/>
        </w:tabs>
        <w:spacing w:after="240" w:line="276" w:lineRule="auto"/>
        <w:ind w:left="567" w:hanging="567"/>
        <w:jc w:val="both"/>
        <w:rPr>
          <w:rFonts w:ascii="Times New Roman" w:hAnsi="Times New Roman"/>
          <w:color w:val="000000"/>
          <w:sz w:val="24"/>
          <w:szCs w:val="24"/>
        </w:rPr>
      </w:pPr>
      <w:r>
        <w:rPr>
          <w:rFonts w:ascii="Times New Roman" w:hAnsi="Times New Roman"/>
          <w:color w:val="000000" w:themeColor="text1"/>
          <w:sz w:val="24"/>
          <w:szCs w:val="24"/>
          <w14:textFill>
            <w14:solidFill>
              <w14:schemeClr w14:val="tx1"/>
            </w14:solidFill>
          </w14:textFill>
        </w:rPr>
        <w:t xml:space="preserve">Nicole, L., Schon, B. A., Stevenson, P. M., Fraser, S. S., Craig, A., Sarah, M., Robert, S., Jo,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C., Kate, H., Orwin, C. W., Gray, A. M., Gavin, L. &amp; Maureen, O. C.,</w:t>
      </w:r>
      <w:r>
        <w:rPr>
          <w:rFonts w:ascii="Times New Roman" w:hAnsi="Times New Roman"/>
          <w:i/>
          <w:color w:val="000000" w:themeColor="text1"/>
          <w:sz w:val="24"/>
          <w:szCs w:val="24"/>
          <w14:textFill>
            <w14:solidFill>
              <w14:schemeClr w14:val="tx1"/>
            </w14:solidFill>
          </w14:textFill>
        </w:rPr>
        <w:t> </w:t>
      </w:r>
      <w:r>
        <w:fldChar w:fldCharType="begin"/>
      </w:r>
      <w:r>
        <w:instrText xml:space="preserve"> HYPERLINK "https://www.tandfonline.com/doi/abs/10.1080/00288233.2023.2215532" </w:instrText>
      </w:r>
      <w:r>
        <w:fldChar w:fldCharType="separate"/>
      </w:r>
      <w:r>
        <w:rPr>
          <w:rFonts w:ascii="Times New Roman" w:hAnsi="Times New Roman"/>
          <w:i/>
          <w:color w:val="000000" w:themeColor="text1"/>
          <w:sz w:val="24"/>
          <w:szCs w:val="24"/>
          <w14:textFill>
            <w14:solidFill>
              <w14:schemeClr w14:val="tx1"/>
            </w14:solidFill>
          </w14:textFill>
        </w:rPr>
        <w:t>Impacts of Long-</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 xml:space="preserve">Term Phosphorus and Nitrogen Fertilizer Application on Soil Biology: a New Zealand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Perspective</w:t>
      </w:r>
      <w:r>
        <w:rPr>
          <w:rFonts w:ascii="Times New Roman" w:hAnsi="Times New Roman"/>
          <w:i/>
          <w:color w:val="000000" w:themeColor="text1"/>
          <w:sz w:val="24"/>
          <w:szCs w:val="24"/>
          <w14:textFill>
            <w14:solidFill>
              <w14:schemeClr w14:val="tx1"/>
            </w14:solidFill>
          </w14:textFill>
        </w:rPr>
        <w:fldChar w:fldCharType="end"/>
      </w:r>
      <w:r>
        <w:rPr>
          <w:rFonts w:ascii="Times New Roman" w:hAnsi="Times New Roman"/>
          <w:i/>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New Zealand Journal of Agricultural Research</w:t>
      </w:r>
      <w:r>
        <w:rPr>
          <w:rFonts w:ascii="Times New Roman" w:hAnsi="Times New Roman"/>
          <w:color w:val="000000" w:themeColor="text1"/>
          <w:sz w:val="24"/>
          <w:szCs w:val="24"/>
          <w14:textFill>
            <w14:solidFill>
              <w14:schemeClr w14:val="tx1"/>
            </w14:solidFill>
          </w14:textFill>
        </w:rPr>
        <w:t xml:space="preserve">, 2023, 1-25. </w:t>
      </w:r>
    </w:p>
    <w:p>
      <w:pPr>
        <w:spacing w:after="240" w:line="276" w:lineRule="auto"/>
        <w:ind w:left="720" w:hanging="720"/>
        <w:jc w:val="both"/>
        <w:rPr>
          <w:rFonts w:ascii="Times New Roman" w:hAnsi="Times New Roman"/>
          <w:sz w:val="24"/>
          <w:szCs w:val="24"/>
        </w:rPr>
      </w:pPr>
      <w:r>
        <w:rPr>
          <w:rFonts w:ascii="Times New Roman" w:hAnsi="Times New Roman"/>
          <w:color w:val="000000" w:themeColor="text1"/>
          <w:sz w:val="24"/>
          <w:szCs w:val="24"/>
          <w14:textFill>
            <w14:solidFill>
              <w14:schemeClr w14:val="tx1"/>
            </w14:solidFill>
          </w14:textFill>
        </w:rPr>
        <w:t>Nissan, A., Alcolombri, U., &amp; Peleg, N.,</w:t>
      </w:r>
      <w:r>
        <w:rPr>
          <w:rFonts w:ascii="Times New Roman" w:hAnsi="Times New Roman"/>
          <w:i/>
          <w:color w:val="000000" w:themeColor="text1"/>
          <w:sz w:val="24"/>
          <w:szCs w:val="24"/>
          <w14:textFill>
            <w14:solidFill>
              <w14:schemeClr w14:val="tx1"/>
            </w14:solidFill>
          </w14:textFill>
        </w:rPr>
        <w:t> Global Warming Accelerates Soil Heterotrophic Respiration,</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Nat Commun</w:t>
      </w:r>
      <w:r>
        <w:rPr>
          <w:rFonts w:ascii="Times New Roman" w:hAnsi="Times New Roman"/>
          <w:color w:val="000000" w:themeColor="text1"/>
          <w:sz w:val="24"/>
          <w:szCs w:val="24"/>
          <w14:textFill>
            <w14:solidFill>
              <w14:schemeClr w14:val="tx1"/>
            </w14:solidFill>
          </w14:textFill>
        </w:rPr>
        <w:t xml:space="preserve"> 14, 2023, 3452, </w:t>
      </w:r>
      <w:r>
        <w:fldChar w:fldCharType="begin"/>
      </w:r>
      <w:r>
        <w:instrText xml:space="preserve"> HYPERLINK "https://doi.org/10.1038/s41467-023-38981-w" </w:instrText>
      </w:r>
      <w:r>
        <w:fldChar w:fldCharType="separate"/>
      </w:r>
      <w:r>
        <w:rPr>
          <w:rStyle w:val="13"/>
          <w:rFonts w:ascii="Times New Roman" w:hAnsi="Times New Roman"/>
          <w:color w:val="auto"/>
          <w:sz w:val="24"/>
          <w:szCs w:val="24"/>
          <w:u w:val="none"/>
        </w:rPr>
        <w:t>https://doi.org/10.1038/s41467-023-38981-w</w:t>
      </w:r>
      <w:r>
        <w:rPr>
          <w:rStyle w:val="13"/>
          <w:rFonts w:ascii="Times New Roman" w:hAnsi="Times New Roman"/>
          <w:color w:val="auto"/>
          <w:sz w:val="24"/>
          <w:szCs w:val="24"/>
          <w:u w:val="none"/>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Oliveira, G. S. D., Jalal, A., Prates, A. R., Teixeira, F. M. C. M., Alves, R. S., Silva, L. C., Nascimento, R. E. N. D., Silva, P. S. T., Arf, O. &amp; Galindo, F. S., </w:t>
      </w:r>
      <w:r>
        <w:rPr>
          <w:rFonts w:ascii="Times New Roman" w:hAnsi="Times New Roman"/>
          <w:i/>
          <w:color w:val="000000" w:themeColor="text1"/>
          <w:sz w:val="24"/>
          <w:szCs w:val="24"/>
          <w14:textFill>
            <w14:solidFill>
              <w14:schemeClr w14:val="tx1"/>
            </w14:solidFill>
          </w14:textFill>
        </w:rPr>
        <w:t>Common Bean Productivity and Micronutrients in the Soil–Plant System under Residual Applications of Composted Sewage Sludge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Plants</w:t>
      </w:r>
      <w:r>
        <w:rPr>
          <w:rFonts w:ascii="Times New Roman" w:hAnsi="Times New Roman"/>
          <w:color w:val="000000" w:themeColor="text1"/>
          <w:sz w:val="24"/>
          <w:szCs w:val="24"/>
          <w14:textFill>
            <w14:solidFill>
              <w14:schemeClr w14:val="tx1"/>
            </w14:solidFill>
          </w14:textFill>
        </w:rPr>
        <w:t>, 2023, 12, 2153. https://doi.org/10.3390/ plants12112153</w:t>
      </w:r>
    </w:p>
    <w:p>
      <w:pPr>
        <w:tabs>
          <w:tab w:val="left" w:pos="720"/>
        </w:tabs>
        <w:spacing w:after="240" w:line="276" w:lineRule="auto"/>
        <w:ind w:left="720" w:hanging="720"/>
        <w:jc w:val="both"/>
        <w:rPr>
          <w:rFonts w:ascii="Times New Roman" w:hAnsi="Times New Roman"/>
          <w:sz w:val="24"/>
          <w:szCs w:val="24"/>
        </w:rPr>
      </w:pPr>
      <w:r>
        <w:rPr>
          <w:rFonts w:ascii="Times New Roman" w:hAnsi="Times New Roman"/>
          <w:color w:val="000000" w:themeColor="text1"/>
          <w:sz w:val="24"/>
          <w:szCs w:val="24"/>
          <w14:textFill>
            <w14:solidFill>
              <w14:schemeClr w14:val="tx1"/>
            </w14:solidFill>
          </w14:textFill>
        </w:rPr>
        <w:t xml:space="preserve">Parihar, S. S,. Saini K. P. S.,. Lakhani, G. P., Jain A. Roy B., Ghosh S ,&amp; Aharwal, B., </w:t>
      </w:r>
      <w:r>
        <w:rPr>
          <w:rFonts w:ascii="Times New Roman" w:hAnsi="Times New Roman"/>
          <w:i/>
          <w:color w:val="000000" w:themeColor="text1"/>
          <w:sz w:val="24"/>
          <w:szCs w:val="24"/>
          <w14:textFill>
            <w14:solidFill>
              <w14:schemeClr w14:val="tx1"/>
            </w14:solidFill>
          </w14:textFill>
        </w:rPr>
        <w:t xml:space="preserve">Livestock </w:t>
      </w:r>
      <w:r>
        <w:rPr>
          <w:rFonts w:ascii="Times New Roman" w:hAnsi="Times New Roman"/>
          <w:i/>
          <w:sz w:val="24"/>
          <w:szCs w:val="24"/>
        </w:rPr>
        <w:t>Waste Management: A Review,</w:t>
      </w:r>
      <w:r>
        <w:rPr>
          <w:rFonts w:ascii="Times New Roman" w:hAnsi="Times New Roman"/>
          <w:sz w:val="24"/>
          <w:szCs w:val="24"/>
        </w:rPr>
        <w:t xml:space="preserve"> </w:t>
      </w:r>
      <w:r>
        <w:rPr>
          <w:rFonts w:ascii="Times New Roman" w:hAnsi="Times New Roman"/>
          <w:b/>
          <w:sz w:val="24"/>
          <w:szCs w:val="24"/>
        </w:rPr>
        <w:t>Journal of Entomology and Zoology Studies</w:t>
      </w:r>
      <w:r>
        <w:rPr>
          <w:rFonts w:ascii="Times New Roman" w:hAnsi="Times New Roman"/>
          <w:b/>
          <w:i/>
          <w:sz w:val="24"/>
          <w:szCs w:val="24"/>
        </w:rPr>
        <w:t xml:space="preserve">, </w:t>
      </w:r>
      <w:r>
        <w:rPr>
          <w:rFonts w:ascii="Times New Roman" w:hAnsi="Times New Roman"/>
          <w:sz w:val="24"/>
          <w:szCs w:val="24"/>
        </w:rPr>
        <w:t>7(3), 2019, 384-393</w:t>
      </w:r>
    </w:p>
    <w:p>
      <w:pPr>
        <w:tabs>
          <w:tab w:val="left" w:pos="720"/>
        </w:tabs>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Patrice, R., Christian, A., Adriel, L., Christiane, H., Stefan, S., Anne, G., Cristina, V., Manuel, P., Christina, D., Christoph, B., Hannah, S. &amp; Olaf, L., </w:t>
      </w:r>
      <w:r>
        <w:rPr>
          <w:rFonts w:ascii="Times New Roman" w:hAnsi="Times New Roman"/>
          <w:i/>
          <w:sz w:val="24"/>
          <w:szCs w:val="24"/>
        </w:rPr>
        <w:t>Ammonia removal during leach-bed acidification leads to optimized organic acid production from chicken manure</w:t>
      </w:r>
      <w:r>
        <w:rPr>
          <w:rFonts w:ascii="Times New Roman" w:hAnsi="Times New Roman"/>
          <w:sz w:val="24"/>
          <w:szCs w:val="24"/>
        </w:rPr>
        <w:t xml:space="preserve">, </w:t>
      </w:r>
      <w:r>
        <w:rPr>
          <w:rFonts w:ascii="Times New Roman" w:hAnsi="Times New Roman"/>
          <w:b/>
          <w:sz w:val="24"/>
          <w:szCs w:val="24"/>
        </w:rPr>
        <w:t>Renewable Energy</w:t>
      </w:r>
      <w:r>
        <w:rPr>
          <w:rFonts w:ascii="Times New Roman" w:hAnsi="Times New Roman"/>
          <w:sz w:val="24"/>
          <w:szCs w:val="24"/>
        </w:rPr>
        <w:t>, 146, 2020, 1021-1030, ISSN 0960-1481, https://doi.org/10.1016/j.renene.2019.07.021.</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Paul B. K,.  Butterbach-Bahl K., Notenbaert, A., Nderi  A. N., &amp; Ericksen P., </w:t>
      </w:r>
      <w:r>
        <w:rPr>
          <w:rFonts w:ascii="Times New Roman" w:hAnsi="Times New Roman"/>
          <w:i/>
          <w:sz w:val="24"/>
          <w:szCs w:val="24"/>
        </w:rPr>
        <w:t>Sustainable Livestock Development in Low-and-Middle-Income Countries: Shedding Light on Evidence-Based Solutions,</w:t>
      </w:r>
      <w:r>
        <w:rPr>
          <w:rFonts w:ascii="Times New Roman" w:hAnsi="Times New Roman"/>
          <w:sz w:val="24"/>
          <w:szCs w:val="24"/>
        </w:rPr>
        <w:t xml:space="preserve"> </w:t>
      </w:r>
      <w:r>
        <w:rPr>
          <w:rFonts w:ascii="Times New Roman" w:hAnsi="Times New Roman"/>
          <w:b/>
          <w:sz w:val="24"/>
          <w:szCs w:val="24"/>
        </w:rPr>
        <w:t>Environ. Research Letters</w:t>
      </w:r>
      <w:r>
        <w:rPr>
          <w:rFonts w:ascii="Times New Roman" w:hAnsi="Times New Roman"/>
          <w:sz w:val="24"/>
          <w:szCs w:val="24"/>
        </w:rPr>
        <w:t>, 16, 2020, 011001</w:t>
      </w:r>
    </w:p>
    <w:p>
      <w:pPr>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 xml:space="preserve">Peng, C.N., Wu, Y., Shi F., &amp; Shen Y., </w:t>
      </w:r>
      <w:r>
        <w:rPr>
          <w:rFonts w:ascii="Times New Roman" w:hAnsi="Times New Roman"/>
          <w:i/>
          <w:iCs/>
          <w:sz w:val="24"/>
          <w:szCs w:val="24"/>
        </w:rPr>
        <w:t>"Review of the Current Research Progress of Seed Germination Inhibitors",</w:t>
      </w:r>
      <w:r>
        <w:rPr>
          <w:rFonts w:ascii="Times New Roman" w:hAnsi="Times New Roman"/>
          <w:b/>
          <w:bCs/>
          <w:i/>
          <w:iCs/>
          <w:sz w:val="24"/>
          <w:szCs w:val="24"/>
        </w:rPr>
        <w:t xml:space="preserve"> </w:t>
      </w:r>
      <w:r>
        <w:rPr>
          <w:rFonts w:ascii="Times New Roman" w:hAnsi="Times New Roman"/>
          <w:b/>
          <w:bCs/>
          <w:iCs/>
          <w:sz w:val="24"/>
          <w:szCs w:val="24"/>
        </w:rPr>
        <w:t>Horticulturae</w:t>
      </w:r>
      <w:r>
        <w:rPr>
          <w:rFonts w:ascii="Times New Roman" w:hAnsi="Times New Roman"/>
          <w:sz w:val="24"/>
          <w:szCs w:val="24"/>
        </w:rPr>
        <w:t>, 9(4), 2023, 462  https://doi.org/10.3390/horticulturae9040462</w:t>
      </w:r>
    </w:p>
    <w:p>
      <w:pPr>
        <w:spacing w:after="240" w:line="276" w:lineRule="auto"/>
        <w:ind w:left="720" w:hanging="747"/>
        <w:jc w:val="both"/>
        <w:rPr>
          <w:rFonts w:ascii="Times New Roman" w:hAnsi="Times New Roman"/>
          <w:color w:val="000000"/>
          <w:sz w:val="24"/>
          <w:szCs w:val="24"/>
        </w:rPr>
      </w:pPr>
      <w:r>
        <w:rPr>
          <w:rFonts w:ascii="Times New Roman" w:hAnsi="Times New Roman"/>
          <w:sz w:val="24"/>
          <w:szCs w:val="24"/>
        </w:rPr>
        <w:t xml:space="preserve">Pino V., McBratney, A., Fajardo M., Wilson N., &amp;.Deaker R., </w:t>
      </w:r>
      <w:r>
        <w:rPr>
          <w:rFonts w:ascii="Times New Roman" w:hAnsi="Times New Roman"/>
          <w:i/>
          <w:sz w:val="24"/>
          <w:szCs w:val="24"/>
        </w:rPr>
        <w:t>Understanding Soil Biodiversity using Two Orthogonal 1000km Transects across New South Wales, Australia.</w:t>
      </w:r>
      <w:r>
        <w:rPr>
          <w:rFonts w:ascii="Times New Roman" w:hAnsi="Times New Roman"/>
          <w:sz w:val="24"/>
          <w:szCs w:val="24"/>
        </w:rPr>
        <w:t xml:space="preserve"> </w:t>
      </w:r>
      <w:r>
        <w:rPr>
          <w:rFonts w:ascii="Times New Roman" w:hAnsi="Times New Roman"/>
          <w:b/>
          <w:sz w:val="24"/>
          <w:szCs w:val="24"/>
        </w:rPr>
        <w:t>Geoderma,</w:t>
      </w:r>
      <w:r>
        <w:rPr>
          <w:rFonts w:ascii="Times New Roman" w:hAnsi="Times New Roman"/>
          <w:sz w:val="24"/>
          <w:szCs w:val="24"/>
        </w:rPr>
        <w:t xml:space="preserve"> 354, 2019, 113860. </w:t>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Ponnusamy, K., &amp; .Devi M. K., </w:t>
      </w:r>
      <w:r>
        <w:rPr>
          <w:rFonts w:ascii="Times New Roman" w:hAnsi="Times New Roman"/>
          <w:i/>
          <w:sz w:val="24"/>
          <w:szCs w:val="24"/>
        </w:rPr>
        <w:t>Impact of Integrated Farming System Approach on Doubling Farmer’s Income</w:t>
      </w:r>
      <w:r>
        <w:rPr>
          <w:rFonts w:ascii="Times New Roman" w:hAnsi="Times New Roman"/>
          <w:sz w:val="24"/>
          <w:szCs w:val="24"/>
        </w:rPr>
        <w:t xml:space="preserve">, </w:t>
      </w:r>
      <w:r>
        <w:rPr>
          <w:rFonts w:ascii="Times New Roman" w:hAnsi="Times New Roman"/>
          <w:b/>
          <w:sz w:val="24"/>
          <w:szCs w:val="24"/>
        </w:rPr>
        <w:t>Agric. Econ. Res. Rev.,</w:t>
      </w:r>
      <w:r>
        <w:rPr>
          <w:rFonts w:ascii="Times New Roman" w:hAnsi="Times New Roman"/>
          <w:b/>
          <w:i/>
          <w:sz w:val="24"/>
          <w:szCs w:val="24"/>
        </w:rPr>
        <w:t xml:space="preserve"> </w:t>
      </w:r>
      <w:r>
        <w:rPr>
          <w:rFonts w:ascii="Times New Roman" w:hAnsi="Times New Roman"/>
          <w:sz w:val="24"/>
          <w:szCs w:val="24"/>
        </w:rPr>
        <w:t>30, 2017, 233-240</w:t>
      </w:r>
    </w:p>
    <w:p>
      <w:pPr>
        <w:tabs>
          <w:tab w:val="left" w:pos="360"/>
          <w:tab w:val="left" w:pos="450"/>
          <w:tab w:val="left" w:pos="630"/>
        </w:tabs>
        <w:spacing w:after="240" w:line="276" w:lineRule="auto"/>
        <w:ind w:left="720" w:hanging="720"/>
        <w:jc w:val="both"/>
        <w:rPr>
          <w:rFonts w:ascii="Times New Roman" w:hAnsi="Times New Roman"/>
          <w:color w:val="000000"/>
          <w:sz w:val="24"/>
          <w:szCs w:val="24"/>
        </w:rPr>
      </w:pPr>
      <w:r>
        <w:rPr>
          <w:rFonts w:ascii="Times New Roman" w:hAnsi="Times New Roman"/>
          <w:sz w:val="24"/>
          <w:szCs w:val="24"/>
        </w:rPr>
        <w:t>Possinger, A.R., Zachman, M.J. &amp; Enders, A. </w:t>
      </w:r>
      <w:r>
        <w:rPr>
          <w:rFonts w:ascii="Times New Roman" w:hAnsi="Times New Roman"/>
          <w:i/>
          <w:iCs/>
          <w:sz w:val="24"/>
          <w:szCs w:val="24"/>
        </w:rPr>
        <w:t>Organo–Organic and Organo–Mineral Interfaces in Soil at the Nanometer Scale</w:t>
      </w:r>
      <w:r>
        <w:rPr>
          <w:rFonts w:ascii="Times New Roman" w:hAnsi="Times New Roman"/>
          <w:sz w:val="24"/>
          <w:szCs w:val="24"/>
        </w:rPr>
        <w:t>. </w:t>
      </w:r>
      <w:r>
        <w:rPr>
          <w:rFonts w:ascii="Times New Roman" w:hAnsi="Times New Roman"/>
          <w:b/>
          <w:bCs/>
          <w:sz w:val="24"/>
          <w:szCs w:val="24"/>
        </w:rPr>
        <w:t>Nat Commun</w:t>
      </w:r>
      <w:r>
        <w:rPr>
          <w:rFonts w:ascii="Times New Roman" w:hAnsi="Times New Roman"/>
          <w:sz w:val="24"/>
          <w:szCs w:val="24"/>
        </w:rPr>
        <w:t xml:space="preserve"> 11, 2020, 6103  </w:t>
      </w:r>
      <w:r>
        <w:fldChar w:fldCharType="begin"/>
      </w:r>
      <w:r>
        <w:instrText xml:space="preserve"> HYPERLINK "https://doi.org/10.1038/s41467-020-19792-9" </w:instrText>
      </w:r>
      <w:r>
        <w:fldChar w:fldCharType="separate"/>
      </w:r>
      <w:r>
        <w:rPr>
          <w:rFonts w:ascii="Times New Roman" w:hAnsi="Times New Roman"/>
          <w:sz w:val="24"/>
          <w:szCs w:val="24"/>
        </w:rPr>
        <w:t>https://doi.org/10.1038/s41467-020-19792-9</w:t>
      </w:r>
      <w:r>
        <w:rPr>
          <w:rFonts w:ascii="Times New Roman" w:hAnsi="Times New Roman"/>
          <w:sz w:val="24"/>
          <w:szCs w:val="24"/>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sz w:val="24"/>
          <w:szCs w:val="24"/>
        </w:rPr>
        <w:t xml:space="preserve">Poudel, S., Tabler, G. T., Lin, J., Zhai, W., &amp; Zhang, L., </w:t>
      </w:r>
      <w:r>
        <w:rPr>
          <w:rFonts w:ascii="Times New Roman" w:hAnsi="Times New Roman"/>
          <w:i/>
          <w:iCs/>
          <w:sz w:val="24"/>
          <w:szCs w:val="24"/>
        </w:rPr>
        <w:t xml:space="preserve">Riboflavin and Bacillus subtilis Effects </w:t>
      </w:r>
      <w:r>
        <w:rPr>
          <w:rFonts w:ascii="Times New Roman" w:hAnsi="Times New Roman"/>
          <w:i/>
          <w:iCs/>
          <w:color w:val="000000" w:themeColor="text1"/>
          <w:sz w:val="24"/>
          <w:szCs w:val="24"/>
          <w14:textFill>
            <w14:solidFill>
              <w14:schemeClr w14:val="tx1"/>
            </w14:solidFill>
          </w14:textFill>
        </w:rPr>
        <w:t>on Growth Performance and Woody-breast of Ross 708 Broilers with or without Eimeria spp. Challenge</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Journal of animal science and technology</w:t>
      </w:r>
      <w:r>
        <w:rPr>
          <w:rFonts w:ascii="Times New Roman" w:hAnsi="Times New Roman"/>
          <w:color w:val="000000" w:themeColor="text1"/>
          <w:sz w:val="24"/>
          <w:szCs w:val="24"/>
          <w14:textFill>
            <w14:solidFill>
              <w14:schemeClr w14:val="tx1"/>
            </w14:solidFill>
          </w14:textFill>
        </w:rPr>
        <w:t xml:space="preserve">, 64(3), 2022, 443–461. https://doi.org/10.5187/jast.2022.e24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Cameron, P., &amp; He Y., "</w:t>
      </w:r>
      <w:r>
        <w:rPr>
          <w:rFonts w:ascii="Times New Roman" w:hAnsi="Times New Roman"/>
          <w:i/>
          <w:iCs/>
          <w:color w:val="000000" w:themeColor="text1"/>
          <w:sz w:val="24"/>
          <w:szCs w:val="24"/>
          <w14:textFill>
            <w14:solidFill>
              <w14:schemeClr w14:val="tx1"/>
            </w14:solidFill>
          </w14:textFill>
        </w:rPr>
        <w:t>Modeling Root Exudate Accumulation Gradients to Estimate Net Exudation Rates by Peatland Soil</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Cs/>
          <w:color w:val="000000" w:themeColor="text1"/>
          <w:sz w:val="24"/>
          <w:szCs w:val="24"/>
          <w14:textFill>
            <w14:solidFill>
              <w14:schemeClr w14:val="tx1"/>
            </w14:solidFill>
          </w14:textFill>
        </w:rPr>
        <w:t>Depth"</w:t>
      </w:r>
      <w:r>
        <w:rPr>
          <w:rFonts w:ascii="Times New Roman" w:hAnsi="Times New Roman"/>
          <w:b/>
          <w:bCs/>
          <w:color w:val="000000" w:themeColor="text1"/>
          <w:sz w:val="24"/>
          <w:szCs w:val="24"/>
          <w14:textFill>
            <w14:solidFill>
              <w14:schemeClr w14:val="tx1"/>
            </w14:solidFill>
          </w14:textFill>
        </w:rPr>
        <w:t>, </w:t>
      </w:r>
      <w:r>
        <w:rPr>
          <w:rFonts w:ascii="Times New Roman" w:hAnsi="Times New Roman"/>
          <w:b/>
          <w:bCs/>
          <w:iCs/>
          <w:color w:val="000000" w:themeColor="text1"/>
          <w:sz w:val="24"/>
          <w:szCs w:val="24"/>
          <w14:textFill>
            <w14:solidFill>
              <w14:schemeClr w14:val="tx1"/>
            </w14:solidFill>
          </w14:textFill>
        </w:rPr>
        <w:t>Plants,</w:t>
      </w:r>
      <w:r>
        <w:rPr>
          <w:rFonts w:ascii="Times New Roman" w:hAnsi="Times New Roman"/>
          <w:b/>
          <w:color w:val="000000" w:themeColor="text1"/>
          <w:sz w:val="24"/>
          <w:szCs w:val="24"/>
          <w14:textFill>
            <w14:solidFill>
              <w14:schemeClr w14:val="tx1"/>
            </w14:solidFill>
          </w14:textFill>
        </w:rPr>
        <w:t> </w:t>
      </w:r>
      <w:r>
        <w:rPr>
          <w:rFonts w:ascii="Times New Roman" w:hAnsi="Times New Roman"/>
          <w:color w:val="000000" w:themeColor="text1"/>
          <w:sz w:val="24"/>
          <w:szCs w:val="24"/>
          <w14:textFill>
            <w14:solidFill>
              <w14:schemeClr w14:val="tx1"/>
            </w14:solidFill>
          </w14:textFill>
        </w:rPr>
        <w:t xml:space="preserve">10, 2021, 106. </w:t>
      </w:r>
      <w:r>
        <w:fldChar w:fldCharType="begin"/>
      </w:r>
      <w:r>
        <w:instrText xml:space="preserve"> HYPERLINK "https://doi.org/10.3390/plants10010106" </w:instrText>
      </w:r>
      <w:r>
        <w:fldChar w:fldCharType="separate"/>
      </w:r>
      <w:r>
        <w:rPr>
          <w:rStyle w:val="13"/>
          <w:rFonts w:ascii="Times New Roman" w:hAnsi="Times New Roman"/>
          <w:color w:val="auto"/>
          <w:sz w:val="24"/>
          <w:szCs w:val="24"/>
          <w:u w:val="none"/>
        </w:rPr>
        <w:t>https://doi.org/10.3390/plants10010106</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xml:space="preserve">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Prudence, S. M. M., Addington, E., Castaño-Espriu, L., Mark, D. R., Pintor-Escobar, L., Russell, A. H. &amp; McLean, T. C.,</w:t>
      </w:r>
      <w:r>
        <w:rPr>
          <w:rFonts w:ascii="Times New Roman" w:hAnsi="Times New Roman"/>
          <w:i/>
          <w:color w:val="000000" w:themeColor="text1"/>
          <w:sz w:val="24"/>
          <w:szCs w:val="24"/>
          <w14:textFill>
            <w14:solidFill>
              <w14:schemeClr w14:val="tx1"/>
            </w14:solidFill>
          </w14:textFill>
        </w:rPr>
        <w:t xml:space="preserve"> Advances in actinomycete research: an ActinoBase review of 2019</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Microbiology (Reading)</w:t>
      </w:r>
      <w:r>
        <w:rPr>
          <w:rFonts w:ascii="Times New Roman" w:hAnsi="Times New Roman"/>
          <w:color w:val="000000" w:themeColor="text1"/>
          <w:sz w:val="24"/>
          <w:szCs w:val="24"/>
          <w14:textFill>
            <w14:solidFill>
              <w14:schemeClr w14:val="tx1"/>
            </w14:solidFill>
          </w14:textFill>
        </w:rPr>
        <w:t>, 166(8), 2020, 683-694</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Qin D., Li Y., Chen N., Hu A., &amp; Yu C. P, </w:t>
      </w:r>
      <w:r>
        <w:rPr>
          <w:rFonts w:ascii="Times New Roman" w:hAnsi="Times New Roman"/>
          <w:i/>
          <w:color w:val="000000" w:themeColor="text1"/>
          <w:sz w:val="24"/>
          <w:szCs w:val="24"/>
          <w14:textFill>
            <w14:solidFill>
              <w14:schemeClr w14:val="tx1"/>
            </w14:solidFill>
          </w14:textFill>
        </w:rPr>
        <w:t>Response and Recovery Mechanisms of River Microorganisms to Gradient Concentrations of Estrogen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 Microbiol</w:t>
      </w:r>
      <w:r>
        <w:rPr>
          <w:rFonts w:ascii="Times New Roman" w:hAnsi="Times New Roman"/>
          <w:color w:val="000000" w:themeColor="text1"/>
          <w:sz w:val="24"/>
          <w:szCs w:val="24"/>
          <w14:textFill>
            <w14:solidFill>
              <w14:schemeClr w14:val="tx1"/>
            </w14:solidFill>
          </w14:textFill>
        </w:rPr>
        <w:t>., 14, 2023, https://doi.org/10.3389/fmicb.2023.1109311</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Rachel B.,Stefan R. J., Gavathri I., John L, Dana P., Emily R., Sowmyalakshmi S., &amp; Donald L.   S. </w:t>
      </w:r>
      <w:r>
        <w:rPr>
          <w:rFonts w:ascii="Times New Roman" w:hAnsi="Times New Roman"/>
          <w:i/>
          <w:color w:val="000000" w:themeColor="text1"/>
          <w:sz w:val="24"/>
          <w:szCs w:val="24"/>
          <w14:textFill>
            <w14:solidFill>
              <w14:schemeClr w14:val="tx1"/>
            </w14:solidFill>
          </w14:textFill>
        </w:rPr>
        <w:t>Plant Growth-Promoting Rhizobacteria: Context, Mechanisms of Action, and Roadmap to Commercialization of Biostimulants for Sustainable Agriculture</w:t>
      </w:r>
      <w:r>
        <w:rPr>
          <w:rFonts w:ascii="Times New Roman" w:hAnsi="Times New Roman"/>
          <w:b/>
          <w:i/>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Front. Plant Sci </w:t>
      </w:r>
      <w:r>
        <w:rPr>
          <w:rFonts w:ascii="Times New Roman" w:hAnsi="Times New Roman"/>
          <w:color w:val="000000" w:themeColor="text1"/>
          <w:sz w:val="24"/>
          <w:szCs w:val="24"/>
          <w14:textFill>
            <w14:solidFill>
              <w14:schemeClr w14:val="tx1"/>
            </w14:solidFill>
          </w14:textFill>
        </w:rPr>
        <w:t>9, 2018,</w:t>
      </w:r>
      <w:r>
        <w:rPr>
          <w:rFonts w:ascii="Times New Roman" w:hAnsi="Times New Roman"/>
          <w:sz w:val="24"/>
          <w:szCs w:val="24"/>
        </w:rPr>
        <w:t xml:space="preserve"> </w:t>
      </w:r>
      <w:r>
        <w:fldChar w:fldCharType="begin"/>
      </w:r>
      <w:r>
        <w:instrText xml:space="preserve"> HYPERLINK "https://doi.org/10.3389/fpls.2018.01473" </w:instrText>
      </w:r>
      <w:r>
        <w:fldChar w:fldCharType="separate"/>
      </w:r>
      <w:r>
        <w:rPr>
          <w:rStyle w:val="13"/>
          <w:rFonts w:ascii="Times New Roman" w:hAnsi="Times New Roman"/>
          <w:color w:val="auto"/>
          <w:sz w:val="24"/>
          <w:szCs w:val="24"/>
          <w:u w:val="none"/>
        </w:rPr>
        <w:t>https://doi.org/10.3389/fpls.2018.01473</w:t>
      </w:r>
      <w:r>
        <w:rPr>
          <w:rStyle w:val="13"/>
          <w:rFonts w:ascii="Times New Roman" w:hAnsi="Times New Roman"/>
          <w:color w:val="auto"/>
          <w:sz w:val="24"/>
          <w:szCs w:val="24"/>
          <w:u w:val="none"/>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Rahimi, M. R., Alijoo, Y. A., Pirmohammadi, R., &amp; Alimirzaei, M., </w:t>
      </w:r>
      <w:r>
        <w:rPr>
          <w:rFonts w:ascii="Times New Roman" w:hAnsi="Times New Roman"/>
          <w:i/>
          <w:color w:val="000000" w:themeColor="text1"/>
          <w:sz w:val="24"/>
          <w:szCs w:val="24"/>
          <w14:textFill>
            <w14:solidFill>
              <w14:schemeClr w14:val="tx1"/>
            </w14:solidFill>
          </w14:textFill>
        </w:rPr>
        <w:t>Effects of Feeding with Broiler Litter in Pellet-form Diet on Qizil Fattening Lambs' Performance, Nutrient Digestibility, Blood Metabolites and Husbandry Economics</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Veterinary Research Forum,</w:t>
      </w:r>
      <w:r>
        <w:rPr>
          <w:rFonts w:ascii="Times New Roman" w:hAnsi="Times New Roman"/>
          <w:color w:val="000000" w:themeColor="text1"/>
          <w:sz w:val="24"/>
          <w:szCs w:val="24"/>
          <w14:textFill>
            <w14:solidFill>
              <w14:schemeClr w14:val="tx1"/>
            </w14:solidFill>
          </w14:textFill>
        </w:rPr>
        <w:t xml:space="preserve"> 9(3), 2018, 245–251. https://doi.org/10.30466/vrf.2018.32081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Rahman, M. A., Lee, S. H., Ji, H. C., Kabir, A. H., Jones, C. S., &amp; Lee, K. W., </w:t>
      </w:r>
      <w:r>
        <w:rPr>
          <w:rFonts w:ascii="Times New Roman" w:hAnsi="Times New Roman"/>
          <w:i/>
          <w:iCs/>
          <w:color w:val="000000" w:themeColor="text1"/>
          <w:sz w:val="24"/>
          <w:szCs w:val="24"/>
          <w14:textFill>
            <w14:solidFill>
              <w14:schemeClr w14:val="tx1"/>
            </w14:solidFill>
          </w14:textFill>
        </w:rPr>
        <w:t>Importance of Mineral Nutrition for Mitigating Aluminum Toxicity in Plants on Acidic Soils: Current Status and Opportunities.</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International Journal of Molecular Sciences</w:t>
      </w:r>
      <w:r>
        <w:rPr>
          <w:rFonts w:ascii="Times New Roman" w:hAnsi="Times New Roman"/>
          <w:color w:val="000000" w:themeColor="text1"/>
          <w:sz w:val="24"/>
          <w:szCs w:val="24"/>
          <w14:textFill>
            <w14:solidFill>
              <w14:schemeClr w14:val="tx1"/>
            </w14:solidFill>
          </w14:textFill>
        </w:rPr>
        <w:t xml:space="preserve">, 19(10), 2018, 3073. https://doi.org/10.3390/ijms19103073 </w:t>
      </w:r>
    </w:p>
    <w:p>
      <w:pPr>
        <w:spacing w:after="240" w:line="276" w:lineRule="auto"/>
        <w:ind w:left="720" w:hanging="720"/>
        <w:jc w:val="both"/>
        <w:rPr>
          <w:rFonts w:ascii="Times New Roman" w:hAnsi="Times New Roman"/>
          <w:bCs/>
          <w:sz w:val="24"/>
          <w:szCs w:val="24"/>
        </w:rPr>
      </w:pPr>
      <w:r>
        <w:rPr>
          <w:rFonts w:ascii="Times New Roman" w:hAnsi="Times New Roman"/>
          <w:bCs/>
          <w:sz w:val="24"/>
          <w:szCs w:val="24"/>
        </w:rPr>
        <w:t xml:space="preserve">Rajendra K. Y. , Tapan J. P., </w:t>
      </w:r>
      <w:r>
        <w:rPr>
          <w:rFonts w:ascii="Times New Roman" w:hAnsi="Times New Roman"/>
          <w:bCs/>
          <w:sz w:val="24"/>
          <w:szCs w:val="24"/>
          <w:vertAlign w:val="superscript"/>
        </w:rPr>
        <w:t xml:space="preserve">, </w:t>
      </w:r>
      <w:r>
        <w:rPr>
          <w:rFonts w:ascii="Times New Roman" w:hAnsi="Times New Roman"/>
          <w:bCs/>
          <w:sz w:val="24"/>
          <w:szCs w:val="24"/>
        </w:rPr>
        <w:t>Dhiraj K., Prakash K. J,</w:t>
      </w:r>
      <w:r>
        <w:rPr>
          <w:rFonts w:ascii="Times New Roman" w:hAnsi="Times New Roman"/>
          <w:bCs/>
          <w:sz w:val="24"/>
          <w:szCs w:val="24"/>
          <w:vertAlign w:val="superscript"/>
        </w:rPr>
        <w:t xml:space="preserve">, </w:t>
      </w:r>
      <w:r>
        <w:rPr>
          <w:rFonts w:ascii="Times New Roman" w:hAnsi="Times New Roman"/>
          <w:bCs/>
          <w:sz w:val="24"/>
          <w:szCs w:val="24"/>
        </w:rPr>
        <w:t>Deep M. M.,  Dinesh K. Y.,  M. A. Khan</w:t>
      </w:r>
      <w:r>
        <w:rPr>
          <w:rFonts w:ascii="Times New Roman" w:hAnsi="Times New Roman"/>
          <w:bCs/>
          <w:sz w:val="24"/>
          <w:szCs w:val="24"/>
          <w:vertAlign w:val="superscript"/>
        </w:rPr>
        <w:t xml:space="preserve"> </w:t>
      </w:r>
      <w:r>
        <w:rPr>
          <w:rFonts w:ascii="Times New Roman" w:hAnsi="Times New Roman"/>
          <w:bCs/>
          <w:sz w:val="24"/>
          <w:szCs w:val="24"/>
        </w:rPr>
        <w:t xml:space="preserve">M. A, Surendra. S., Shikha S., &amp;Vara P. P.V, </w:t>
      </w:r>
      <w:r>
        <w:rPr>
          <w:rFonts w:ascii="Times New Roman" w:hAnsi="Times New Roman"/>
          <w:bCs/>
          <w:i/>
          <w:sz w:val="24"/>
          <w:szCs w:val="24"/>
        </w:rPr>
        <w:t>Long-term Impact of Manuring on Soil Organic Matter Quality Indicators under Field Cropping Systems</w:t>
      </w:r>
      <w:r>
        <w:rPr>
          <w:rFonts w:ascii="Times New Roman" w:hAnsi="Times New Roman"/>
          <w:bCs/>
          <w:sz w:val="24"/>
          <w:szCs w:val="24"/>
        </w:rPr>
        <w:t xml:space="preserve">, </w:t>
      </w:r>
      <w:r>
        <w:rPr>
          <w:rFonts w:ascii="Times New Roman" w:hAnsi="Times New Roman"/>
          <w:b/>
          <w:bCs/>
          <w:sz w:val="24"/>
          <w:szCs w:val="24"/>
        </w:rPr>
        <w:t>Front. Environ. Sci.,</w:t>
      </w:r>
      <w:r>
        <w:rPr>
          <w:rFonts w:ascii="Times New Roman" w:hAnsi="Times New Roman"/>
          <w:bCs/>
          <w:sz w:val="24"/>
          <w:szCs w:val="24"/>
        </w:rPr>
        <w:t xml:space="preserve"> 11, 2023, Sec. Soil Processes,| </w:t>
      </w:r>
      <w:r>
        <w:fldChar w:fldCharType="begin"/>
      </w:r>
      <w:r>
        <w:instrText xml:space="preserve"> HYPERLINK "https://doi.org/10.3389/fenvs.2023.1116930" </w:instrText>
      </w:r>
      <w:r>
        <w:fldChar w:fldCharType="separate"/>
      </w:r>
      <w:r>
        <w:rPr>
          <w:rStyle w:val="13"/>
          <w:rFonts w:ascii="Times New Roman" w:hAnsi="Times New Roman"/>
          <w:bCs/>
          <w:color w:val="auto"/>
          <w:sz w:val="24"/>
          <w:szCs w:val="24"/>
          <w:u w:val="none"/>
        </w:rPr>
        <w:t>https://doi.org/10.3389/fenvs.2023.1116930</w:t>
      </w:r>
      <w:r>
        <w:rPr>
          <w:rStyle w:val="13"/>
          <w:rFonts w:ascii="Times New Roman" w:hAnsi="Times New Roman"/>
          <w:bCs/>
          <w:color w:val="auto"/>
          <w:sz w:val="24"/>
          <w:szCs w:val="24"/>
          <w:u w:val="none"/>
        </w:rPr>
        <w:fldChar w:fldCharType="end"/>
      </w:r>
    </w:p>
    <w:p>
      <w:pPr>
        <w:spacing w:after="240" w:line="276" w:lineRule="auto"/>
        <w:ind w:left="720" w:hanging="720"/>
        <w:jc w:val="both"/>
        <w:rPr>
          <w:rFonts w:ascii="Times New Roman" w:hAnsi="Times New Roman"/>
          <w:sz w:val="24"/>
          <w:szCs w:val="24"/>
        </w:rPr>
      </w:pPr>
      <w:r>
        <w:rPr>
          <w:rFonts w:ascii="Times New Roman" w:hAnsi="Times New Roman"/>
          <w:sz w:val="24"/>
          <w:szCs w:val="24"/>
        </w:rPr>
        <w:t xml:space="preserve">Rashad S. A., &amp; Larry C. </w:t>
      </w:r>
      <w:r>
        <w:rPr>
          <w:rFonts w:ascii="Times New Roman" w:hAnsi="Times New Roman"/>
          <w:i/>
          <w:sz w:val="24"/>
          <w:szCs w:val="24"/>
        </w:rPr>
        <w:t xml:space="preserve">Do Post-harvest Crop Residues in No-till Systems Provide for Nitrogen Needs of Following Crop? </w:t>
      </w:r>
      <w:r>
        <w:rPr>
          <w:rFonts w:ascii="Times New Roman" w:hAnsi="Times New Roman"/>
          <w:b/>
          <w:sz w:val="24"/>
          <w:szCs w:val="24"/>
        </w:rPr>
        <w:t>Agronomy Journal,</w:t>
      </w:r>
      <w:r>
        <w:rPr>
          <w:rFonts w:ascii="Times New Roman" w:hAnsi="Times New Roman"/>
          <w:i/>
          <w:sz w:val="24"/>
          <w:szCs w:val="24"/>
        </w:rPr>
        <w:t xml:space="preserve"> </w:t>
      </w:r>
      <w:r>
        <w:rPr>
          <w:rFonts w:ascii="Times New Roman" w:hAnsi="Times New Roman"/>
          <w:sz w:val="24"/>
          <w:szCs w:val="24"/>
        </w:rPr>
        <w:t xml:space="preserve">114 (1), 2021, 835-852, </w:t>
      </w:r>
      <w:r>
        <w:fldChar w:fldCharType="begin"/>
      </w:r>
      <w:r>
        <w:instrText xml:space="preserve"> HYPERLINK "https://doi.org/10.1002/agj2.20885" </w:instrText>
      </w:r>
      <w:r>
        <w:fldChar w:fldCharType="separate"/>
      </w:r>
      <w:r>
        <w:rPr>
          <w:rStyle w:val="13"/>
          <w:rFonts w:ascii="Times New Roman" w:hAnsi="Times New Roman"/>
          <w:bCs/>
          <w:color w:val="auto"/>
          <w:sz w:val="24"/>
          <w:szCs w:val="24"/>
          <w:u w:val="none"/>
        </w:rPr>
        <w:t>https://doi.org/10.1002/agj2.20885</w:t>
      </w:r>
      <w:r>
        <w:rPr>
          <w:rStyle w:val="13"/>
          <w:rFonts w:ascii="Times New Roman" w:hAnsi="Times New Roman"/>
          <w:bCs/>
          <w:color w:val="auto"/>
          <w:sz w:val="24"/>
          <w:szCs w:val="24"/>
          <w:u w:val="none"/>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Rate, A., </w:t>
      </w:r>
      <w:r>
        <w:rPr>
          <w:rFonts w:ascii="Times New Roman" w:hAnsi="Times New Roman"/>
          <w:i/>
          <w:color w:val="000000" w:themeColor="text1"/>
          <w:sz w:val="24"/>
          <w:szCs w:val="24"/>
          <w14:textFill>
            <w14:solidFill>
              <w14:schemeClr w14:val="tx1"/>
            </w14:solidFill>
          </w14:textFill>
        </w:rPr>
        <w:t>Inorganic Contaminants in Urban Soils. In A. Rate (Ed.),</w:t>
      </w:r>
      <w:r>
        <w:rPr>
          <w:rFonts w:ascii="Times New Roman" w:hAnsi="Times New Roman"/>
          <w:color w:val="000000" w:themeColor="text1"/>
          <w:sz w:val="24"/>
          <w:szCs w:val="24"/>
          <w14:textFill>
            <w14:solidFill>
              <w14:schemeClr w14:val="tx1"/>
            </w14:solidFill>
          </w14:textFill>
        </w:rPr>
        <w:t> </w:t>
      </w:r>
      <w:r>
        <w:rPr>
          <w:rFonts w:ascii="Times New Roman" w:hAnsi="Times New Roman"/>
          <w:i/>
          <w:iCs/>
          <w:color w:val="000000" w:themeColor="text1"/>
          <w:sz w:val="24"/>
          <w:szCs w:val="24"/>
          <w14:textFill>
            <w14:solidFill>
              <w14:schemeClr w14:val="tx1"/>
            </w14:solidFill>
          </w14:textFill>
        </w:rPr>
        <w:t>Urban Soils: Principles and Practice </w:t>
      </w:r>
      <w:r>
        <w:rPr>
          <w:rFonts w:ascii="Times New Roman" w:hAnsi="Times New Roman"/>
          <w:i/>
          <w:color w:val="000000" w:themeColor="text1"/>
          <w:sz w:val="24"/>
          <w:szCs w:val="24"/>
          <w14:textFill>
            <w14:solidFill>
              <w14:schemeClr w14:val="tx1"/>
            </w14:solidFill>
          </w14:textFill>
        </w:rPr>
        <w:t>(Progress in Soil Science)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Springer Nature Switzerland AG</w:t>
      </w:r>
      <w:r>
        <w:rPr>
          <w:rFonts w:ascii="Times New Roman" w:hAnsi="Times New Roman"/>
          <w:color w:val="000000" w:themeColor="text1"/>
          <w:sz w:val="24"/>
          <w:szCs w:val="24"/>
          <w14:textFill>
            <w14:solidFill>
              <w14:schemeClr w14:val="tx1"/>
            </w14:solidFill>
          </w14:textFill>
        </w:rPr>
        <w:t xml:space="preserve">. 2022, 153-199. </w:t>
      </w:r>
      <w:r>
        <w:fldChar w:fldCharType="begin"/>
      </w:r>
      <w:r>
        <w:instrText xml:space="preserve"> HYPERLINK "https://doi.org/10.1007/978-3-030-87316-5_6" </w:instrText>
      </w:r>
      <w:r>
        <w:fldChar w:fldCharType="separate"/>
      </w:r>
      <w:r>
        <w:rPr>
          <w:rFonts w:ascii="Times New Roman" w:hAnsi="Times New Roman"/>
          <w:color w:val="000000" w:themeColor="text1"/>
          <w:sz w:val="24"/>
          <w:szCs w:val="24"/>
          <w14:textFill>
            <w14:solidFill>
              <w14:schemeClr w14:val="tx1"/>
            </w14:solidFill>
          </w14:textFill>
        </w:rPr>
        <w:t>https://doi.org/10.1007/978-3-030-87316-5_6</w:t>
      </w:r>
      <w:r>
        <w:rPr>
          <w:rFonts w:ascii="Times New Roman" w:hAnsi="Times New Roman"/>
          <w:color w:val="000000" w:themeColor="text1"/>
          <w:sz w:val="24"/>
          <w:szCs w:val="24"/>
          <w14:textFill>
            <w14:solidFill>
              <w14:schemeClr w14:val="tx1"/>
            </w14:solidFill>
          </w14:textFill>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Ravindran, V., &amp; Abdollahi, M. R., </w:t>
      </w:r>
      <w:r>
        <w:rPr>
          <w:rFonts w:ascii="Times New Roman" w:hAnsi="Times New Roman"/>
          <w:i/>
          <w:iCs/>
          <w:color w:val="000000" w:themeColor="text1"/>
          <w:sz w:val="24"/>
          <w:szCs w:val="24"/>
          <w14:textFill>
            <w14:solidFill>
              <w14:schemeClr w14:val="tx1"/>
            </w14:solidFill>
          </w14:textFill>
        </w:rPr>
        <w:t>Nutrition and Digestive Physiology of the Broiler Chick: State of the Art and Outlook</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Animals an open access journal from MDPI</w:t>
      </w:r>
      <w:r>
        <w:rPr>
          <w:rFonts w:ascii="Times New Roman" w:hAnsi="Times New Roman"/>
          <w:color w:val="000000" w:themeColor="text1"/>
          <w:sz w:val="24"/>
          <w:szCs w:val="24"/>
          <w14:textFill>
            <w14:solidFill>
              <w14:schemeClr w14:val="tx1"/>
            </w14:solidFill>
          </w14:textFill>
        </w:rPr>
        <w:t xml:space="preserve">, 11(10), 2021, 2795. https://doi.org/10.3390/ani11102795 </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Rayne N., &amp; Aula L., </w:t>
      </w:r>
      <w:r>
        <w:rPr>
          <w:rFonts w:ascii="Times New Roman" w:hAnsi="Times New Roman"/>
          <w:i/>
          <w:color w:val="000000" w:themeColor="text1"/>
          <w:sz w:val="24"/>
          <w:szCs w:val="24"/>
          <w14:textFill>
            <w14:solidFill>
              <w14:schemeClr w14:val="tx1"/>
            </w14:solidFill>
          </w14:textFill>
        </w:rPr>
        <w:t>Livestock Manure and the Impacts on Soil Health: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Soil Syst</w:t>
      </w:r>
      <w:r>
        <w:rPr>
          <w:rFonts w:ascii="Times New Roman" w:hAnsi="Times New Roman"/>
          <w:color w:val="000000" w:themeColor="text1"/>
          <w:sz w:val="24"/>
          <w:szCs w:val="24"/>
          <w14:textFill>
            <w14:solidFill>
              <w14:schemeClr w14:val="tx1"/>
            </w14:solidFill>
          </w14:textFill>
        </w:rPr>
        <w:t>. 4(4), 2020, 64; https://doi.org/10.3390/soilsystems4040064</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Rebecca, O. E., Miles, D., Scott, C., Malinda, S. T., Xiaoli, F., Stephen, S. &amp; Linda, Y. G.,</w:t>
      </w:r>
      <w:r>
        <w:rPr>
          <w:rFonts w:ascii="Times New Roman" w:hAnsi="Times New Roman"/>
          <w:i/>
          <w:color w:val="000000" w:themeColor="text1"/>
          <w:sz w:val="24"/>
          <w:szCs w:val="24"/>
          <w14:textFill>
            <w14:solidFill>
              <w14:schemeClr w14:val="tx1"/>
            </w14:solidFill>
          </w14:textFill>
        </w:rPr>
        <w:t xml:space="preserve"> Liming Remediates Soil Acidity and Improves Crop Yield and Profitability – A Meta- Analysis,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Front. Agron.</w:t>
      </w:r>
      <w:r>
        <w:rPr>
          <w:rFonts w:ascii="Times New Roman" w:hAnsi="Times New Roman"/>
          <w:color w:val="000000" w:themeColor="text1"/>
          <w:sz w:val="24"/>
          <w:szCs w:val="24"/>
          <w14:textFill>
            <w14:solidFill>
              <w14:schemeClr w14:val="tx1"/>
            </w14:solidFill>
          </w14:textFill>
        </w:rPr>
        <w:t>, 5, 2023</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Rodgers H.R., Norton J. B &amp; van Diepen, L .T. A., </w:t>
      </w:r>
      <w:r>
        <w:rPr>
          <w:rFonts w:ascii="Times New Roman" w:hAnsi="Times New Roman"/>
          <w:i/>
          <w:color w:val="000000" w:themeColor="text1"/>
          <w:sz w:val="24"/>
          <w:szCs w:val="24"/>
          <w14:textFill>
            <w14:solidFill>
              <w14:schemeClr w14:val="tx1"/>
            </w14:solidFill>
          </w14:textFill>
        </w:rPr>
        <w:t>Effects of Semiarid Wheat Agriculture Management Practices on Soil Microbial Properties: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Agronomy </w:t>
      </w:r>
      <w:r>
        <w:rPr>
          <w:rFonts w:ascii="Times New Roman" w:hAnsi="Times New Roman"/>
          <w:color w:val="000000" w:themeColor="text1"/>
          <w:sz w:val="24"/>
          <w:szCs w:val="24"/>
          <w14:textFill>
            <w14:solidFill>
              <w14:schemeClr w14:val="tx1"/>
            </w14:solidFill>
          </w14:textFill>
        </w:rPr>
        <w:t>11(5), 2021, 852 https://doi.org/10.3390/agronomy11050852</w:t>
      </w:r>
    </w:p>
    <w:p>
      <w:pPr>
        <w:tabs>
          <w:tab w:val="left" w:pos="720"/>
        </w:tabs>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Rust, N., Ole E. L, Sara I., Steven V., Elizabeth A. O., Tor A. B., Jayne H. G., Carly M. M., Rob M., &amp; Mark S. R.., </w:t>
      </w:r>
      <w:r>
        <w:rPr>
          <w:rFonts w:ascii="Times New Roman" w:hAnsi="Times New Roman"/>
          <w:i/>
          <w:color w:val="000000" w:themeColor="text1"/>
          <w:sz w:val="24"/>
          <w:szCs w:val="24"/>
          <w14:textFill>
            <w14:solidFill>
              <w14:schemeClr w14:val="tx1"/>
            </w14:solidFill>
          </w14:textFill>
        </w:rPr>
        <w:t>"Perceived Causes and Solutions to Soil Degradation in the UK and Norway",</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Land</w:t>
      </w:r>
      <w:r>
        <w:rPr>
          <w:rFonts w:ascii="Times New Roman" w:hAnsi="Times New Roman"/>
          <w:color w:val="000000" w:themeColor="text1"/>
          <w:sz w:val="24"/>
          <w:szCs w:val="24"/>
          <w14:textFill>
            <w14:solidFill>
              <w14:schemeClr w14:val="tx1"/>
            </w14:solidFill>
          </w14:textFill>
        </w:rPr>
        <w:t xml:space="preserve">, 11(1), 2022, 131. </w:t>
      </w:r>
      <w:r>
        <w:fldChar w:fldCharType="begin"/>
      </w:r>
      <w:r>
        <w:instrText xml:space="preserve"> HYPERLINK "https://doi.org/10.3390/land11010131" </w:instrText>
      </w:r>
      <w:r>
        <w:fldChar w:fldCharType="separate"/>
      </w:r>
      <w:r>
        <w:rPr>
          <w:rFonts w:ascii="Times New Roman" w:hAnsi="Times New Roman"/>
          <w:color w:val="000000" w:themeColor="text1"/>
          <w:sz w:val="24"/>
          <w:szCs w:val="24"/>
          <w14:textFill>
            <w14:solidFill>
              <w14:schemeClr w14:val="tx1"/>
            </w14:solidFill>
          </w14:textFill>
        </w:rPr>
        <w:t>https://doi.org/10.3390/land11010131</w:t>
      </w:r>
      <w:r>
        <w:rPr>
          <w:rFonts w:ascii="Times New Roman" w:hAnsi="Times New Roman"/>
          <w:color w:val="000000" w:themeColor="text1"/>
          <w:sz w:val="24"/>
          <w:szCs w:val="24"/>
          <w14:textFill>
            <w14:solidFill>
              <w14:schemeClr w14:val="tx1"/>
            </w14:solidFill>
          </w14:textFill>
        </w:rPr>
        <w:fldChar w:fldCharType="end"/>
      </w:r>
    </w:p>
    <w:p>
      <w:pPr>
        <w:tabs>
          <w:tab w:val="left" w:pos="720"/>
        </w:tabs>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Samuel, M. M., Prudence, E. A., Lala, C., David, R. M., Linamaria, P. E., Alicia, H. R. &amp; Thomas, C. M., </w:t>
      </w:r>
      <w:r>
        <w:rPr>
          <w:rFonts w:ascii="Times New Roman" w:hAnsi="Times New Roman"/>
          <w:i/>
          <w:color w:val="000000" w:themeColor="text1"/>
          <w:sz w:val="24"/>
          <w:szCs w:val="24"/>
          <w14:textFill>
            <w14:solidFill>
              <w14:schemeClr w14:val="tx1"/>
            </w14:solidFill>
          </w14:textFill>
        </w:rPr>
        <w:t>Advances in Actinomycete Research: An Actinobase Review of 2019</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Microbiology</w:t>
      </w:r>
      <w:r>
        <w:rPr>
          <w:rFonts w:ascii="Times New Roman" w:hAnsi="Times New Roman"/>
          <w:color w:val="000000" w:themeColor="text1"/>
          <w:sz w:val="24"/>
          <w:szCs w:val="24"/>
          <w14:textFill>
            <w14:solidFill>
              <w14:schemeClr w14:val="tx1"/>
            </w14:solidFill>
          </w14:textFill>
        </w:rPr>
        <w:t>, 2020, DOI 10.1099/mic.0.000944</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Sánchez- N. A., Maria-del C., Salas-S., María A.., Blanco-B,, Juan A., Sánchez-R,, &amp; María J. D.I., </w:t>
      </w:r>
      <w:r>
        <w:rPr>
          <w:rFonts w:ascii="Times New Roman" w:hAnsi="Times New Roman"/>
          <w:i/>
          <w:color w:val="000000" w:themeColor="text1"/>
          <w:sz w:val="24"/>
          <w:szCs w:val="24"/>
          <w14:textFill>
            <w14:solidFill>
              <w14:schemeClr w14:val="tx1"/>
            </w14:solidFill>
          </w14:textFill>
        </w:rPr>
        <w:t>"Medium-Term Effect of Organic Amendments on the Chemical Properties of a Soil Used for Vegetable Cultivation with Cereal and Legume Rotation in a Semiarid Climate", </w:t>
      </w:r>
      <w:r>
        <w:rPr>
          <w:rFonts w:ascii="Times New Roman" w:hAnsi="Times New Roman"/>
          <w:b/>
          <w:iCs/>
          <w:color w:val="000000" w:themeColor="text1"/>
          <w:sz w:val="24"/>
          <w:szCs w:val="24"/>
          <w14:textFill>
            <w14:solidFill>
              <w14:schemeClr w14:val="tx1"/>
            </w14:solidFill>
          </w14:textFill>
        </w:rPr>
        <w:t>Land</w:t>
      </w:r>
      <w:r>
        <w:rPr>
          <w:rFonts w:ascii="Times New Roman" w:hAnsi="Times New Roman"/>
          <w:color w:val="000000" w:themeColor="text1"/>
          <w:sz w:val="24"/>
          <w:szCs w:val="24"/>
          <w14:textFill>
            <w14:solidFill>
              <w14:schemeClr w14:val="tx1"/>
            </w14:solidFill>
          </w14:textFill>
        </w:rPr>
        <w:t xml:space="preserve">, 12(4), 2023, 897. </w:t>
      </w:r>
      <w:r>
        <w:fldChar w:fldCharType="begin"/>
      </w:r>
      <w:r>
        <w:instrText xml:space="preserve"> HYPERLINK "https://doi.org/10.3390/land12040897" </w:instrText>
      </w:r>
      <w:r>
        <w:fldChar w:fldCharType="separate"/>
      </w:r>
      <w:r>
        <w:rPr>
          <w:rFonts w:ascii="Times New Roman" w:hAnsi="Times New Roman"/>
          <w:color w:val="000000" w:themeColor="text1"/>
          <w:sz w:val="24"/>
          <w:szCs w:val="24"/>
          <w14:textFill>
            <w14:solidFill>
              <w14:schemeClr w14:val="tx1"/>
            </w14:solidFill>
          </w14:textFill>
        </w:rPr>
        <w:t>https://doi.org/10.3390/land12040897</w:t>
      </w:r>
      <w:r>
        <w:rPr>
          <w:rFonts w:ascii="Times New Roman" w:hAnsi="Times New Roman"/>
          <w:color w:val="000000" w:themeColor="text1"/>
          <w:sz w:val="24"/>
          <w:szCs w:val="24"/>
          <w14:textFill>
            <w14:solidFill>
              <w14:schemeClr w14:val="tx1"/>
            </w14:solidFill>
          </w14:textFill>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Schimel, J., Becerra, C. A. &amp; Blankinship, J. </w:t>
      </w:r>
      <w:r>
        <w:rPr>
          <w:rFonts w:ascii="Times New Roman" w:hAnsi="Times New Roman"/>
          <w:i/>
          <w:iCs/>
          <w:color w:val="000000" w:themeColor="text1"/>
          <w:sz w:val="24"/>
          <w:szCs w:val="24"/>
          <w14:textFill>
            <w14:solidFill>
              <w14:schemeClr w14:val="tx1"/>
            </w14:solidFill>
          </w14:textFill>
        </w:rPr>
        <w:t>Estimating Decay Dynamics for Enzyme Activities in Soils from Different Ecosystems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Soil Biol. Biochem</w:t>
      </w:r>
      <w:r>
        <w:rPr>
          <w:rFonts w:ascii="Times New Roman" w:hAnsi="Times New Roman"/>
          <w:color w:val="000000" w:themeColor="text1"/>
          <w:sz w:val="24"/>
          <w:szCs w:val="24"/>
          <w14:textFill>
            <w14:solidFill>
              <w14:schemeClr w14:val="tx1"/>
            </w14:solidFill>
          </w14:textFill>
        </w:rPr>
        <w:t>. 114: 2017, 5–11.</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Schreider K, Hofmann D, Boy J, Andrino A, Fernandes Figueiredo A, Sauheitl L &amp; Guggenberger G., </w:t>
      </w:r>
      <w:r>
        <w:rPr>
          <w:rFonts w:ascii="Times New Roman" w:hAnsi="Times New Roman"/>
          <w:i/>
          <w:color w:val="000000" w:themeColor="text1"/>
          <w:sz w:val="24"/>
          <w:szCs w:val="24"/>
          <w14:textFill>
            <w14:solidFill>
              <w14:schemeClr w14:val="tx1"/>
            </w14:solidFill>
          </w14:textFill>
        </w:rPr>
        <w:t>Mycorrhizal Mediated Partitioning of Phosphorus: Ectomycorrhizal (Populus x canescens x Paxillus involutus) Potential to Exploit Simultaneously Organic and Mineral Phosphorus</w:t>
      </w:r>
      <w:r>
        <w:rPr>
          <w:rFonts w:ascii="Times New Roman" w:hAnsi="Times New Roman"/>
          <w:color w:val="000000" w:themeColor="text1"/>
          <w:sz w:val="24"/>
          <w:szCs w:val="24"/>
          <w14:textFill>
            <w14:solidFill>
              <w14:schemeClr w14:val="tx1"/>
            </w14:solidFill>
          </w14:textFill>
        </w:rPr>
        <w:t xml:space="preserve"> , Sources. </w:t>
      </w:r>
      <w:r>
        <w:rPr>
          <w:rFonts w:ascii="Times New Roman" w:hAnsi="Times New Roman"/>
          <w:b/>
          <w:bCs/>
          <w:color w:val="000000" w:themeColor="text1"/>
          <w:sz w:val="24"/>
          <w:szCs w:val="24"/>
          <w14:textFill>
            <w14:solidFill>
              <w14:schemeClr w14:val="tx1"/>
            </w14:solidFill>
          </w14:textFill>
        </w:rPr>
        <w:t>Front. Soil Sci</w:t>
      </w:r>
      <w:r>
        <w:rPr>
          <w:rFonts w:ascii="Times New Roman" w:hAnsi="Times New Roman"/>
          <w:color w:val="000000" w:themeColor="text1"/>
          <w:sz w:val="24"/>
          <w:szCs w:val="24"/>
          <w14:textFill>
            <w14:solidFill>
              <w14:schemeClr w14:val="tx1"/>
            </w14:solidFill>
          </w14:textFill>
        </w:rPr>
        <w:t xml:space="preserve">. 2: 2022, 865517. doi: 10.3389/fsoil.2022.865517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Sekaran U., Lai L., Ussiri D., Kumar S.,  &amp; Clay S., </w:t>
      </w:r>
      <w:r>
        <w:rPr>
          <w:rFonts w:ascii="Times New Roman" w:hAnsi="Times New Roman"/>
          <w:i/>
          <w:color w:val="000000" w:themeColor="text1"/>
          <w:sz w:val="24"/>
          <w:szCs w:val="24"/>
          <w14:textFill>
            <w14:solidFill>
              <w14:schemeClr w14:val="tx1"/>
            </w14:solidFill>
          </w14:textFill>
        </w:rPr>
        <w:t>Role of Integrated Crop-Livestock Systems in Improving Agriculture Production and Addressing Food Security –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Journal of Agriculture and Food Research</w:t>
      </w:r>
      <w:r>
        <w:rPr>
          <w:rFonts w:ascii="Times New Roman" w:hAnsi="Times New Roman"/>
          <w:color w:val="000000" w:themeColor="text1"/>
          <w:sz w:val="24"/>
          <w:szCs w:val="24"/>
          <w14:textFill>
            <w14:solidFill>
              <w14:schemeClr w14:val="tx1"/>
            </w14:solidFill>
          </w14:textFill>
        </w:rPr>
        <w:t>, 5, 2021, 100190</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Sharma, I., Kashyap S., &amp; Agarwala N., </w:t>
      </w:r>
      <w:r>
        <w:rPr>
          <w:rFonts w:ascii="Times New Roman" w:hAnsi="Times New Roman"/>
          <w:i/>
          <w:color w:val="000000" w:themeColor="text1"/>
          <w:sz w:val="24"/>
          <w:szCs w:val="24"/>
          <w14:textFill>
            <w14:solidFill>
              <w14:schemeClr w14:val="tx1"/>
            </w14:solidFill>
          </w14:textFill>
        </w:rPr>
        <w:t>Biotic Stress-Induced Changes in Root Exudation Confer Plant Stress Tolerance by Altering Rhizospheric Microbial Community</w:t>
      </w:r>
      <w:r>
        <w:rPr>
          <w:rFonts w:ascii="Times New Roman" w:hAnsi="Times New Roman"/>
          <w:color w:val="000000" w:themeColor="text1"/>
          <w:sz w:val="24"/>
          <w:szCs w:val="24"/>
          <w14:textFill>
            <w14:solidFill>
              <w14:schemeClr w14:val="tx1"/>
            </w14:solidFill>
          </w14:textFill>
        </w:rPr>
        <w:t>, </w:t>
      </w:r>
      <w:r>
        <w:rPr>
          <w:rFonts w:ascii="Times New Roman" w:hAnsi="Times New Roman"/>
          <w:b/>
          <w:bCs/>
          <w:color w:val="000000" w:themeColor="text1"/>
          <w:sz w:val="24"/>
          <w:szCs w:val="24"/>
          <w14:textFill>
            <w14:solidFill>
              <w14:schemeClr w14:val="tx1"/>
            </w14:solidFill>
          </w14:textFill>
        </w:rPr>
        <w:t>Front. Plant Sci.</w:t>
      </w:r>
      <w:r>
        <w:rPr>
          <w:rFonts w:ascii="Times New Roman" w:hAnsi="Times New Roman"/>
          <w:color w:val="000000" w:themeColor="text1"/>
          <w:sz w:val="24"/>
          <w:szCs w:val="24"/>
          <w14:textFill>
            <w14:solidFill>
              <w14:schemeClr w14:val="tx1"/>
            </w14:solidFill>
          </w14:textFill>
        </w:rPr>
        <w:t xml:space="preserve"> 14, 2023, 1132824. doi: 10.3389/fpls.2023.1132824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Silva, S. R., Laura S.B., Mariana A., David M. R., Cristina G., José R., González M.,, Alfredo F. P., Konstantinos Z., Ana G., &amp; Ouranios T., "</w:t>
      </w:r>
      <w:r>
        <w:rPr>
          <w:rFonts w:ascii="Times New Roman" w:hAnsi="Times New Roman"/>
          <w:i/>
          <w:color w:val="000000" w:themeColor="text1"/>
          <w:sz w:val="24"/>
          <w:szCs w:val="24"/>
          <w14:textFill>
            <w14:solidFill>
              <w14:schemeClr w14:val="tx1"/>
            </w14:solidFill>
          </w14:textFill>
        </w:rPr>
        <w:t>Extensive Sheep and Goat Production: The Role of Novel Technologies towards Sustainability and Animal Welfare",</w:t>
      </w:r>
      <w:r>
        <w:rPr>
          <w:rFonts w:ascii="Times New Roman" w:hAnsi="Times New Roman"/>
          <w:b/>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Animals</w:t>
      </w:r>
      <w:r>
        <w:rPr>
          <w:rFonts w:ascii="Times New Roman" w:hAnsi="Times New Roman"/>
          <w:color w:val="000000" w:themeColor="text1"/>
          <w:sz w:val="24"/>
          <w:szCs w:val="24"/>
          <w14:textFill>
            <w14:solidFill>
              <w14:schemeClr w14:val="tx1"/>
            </w14:solidFill>
          </w14:textFill>
        </w:rPr>
        <w:t xml:space="preserve">, 12(7), 2022, 885. https://doi.org/10.3390/ani12070885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Singh A., &amp; Rashid M.., </w:t>
      </w:r>
      <w:r>
        <w:rPr>
          <w:rFonts w:ascii="Times New Roman" w:hAnsi="Times New Roman"/>
          <w:i/>
          <w:color w:val="000000" w:themeColor="text1"/>
          <w:sz w:val="24"/>
          <w:szCs w:val="24"/>
          <w14:textFill>
            <w14:solidFill>
              <w14:schemeClr w14:val="tx1"/>
            </w14:solidFill>
          </w14:textFill>
        </w:rPr>
        <w:t>Impact of Animal Waste on Environment, its Managemental Strategies and Treatment Protocols to reduce Environmental Contamination,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Veterinary Science Research Journal</w:t>
      </w:r>
      <w:r>
        <w:rPr>
          <w:rFonts w:ascii="Times New Roman" w:hAnsi="Times New Roman"/>
          <w:color w:val="000000" w:themeColor="text1"/>
          <w:sz w:val="24"/>
          <w:szCs w:val="24"/>
          <w14:textFill>
            <w14:solidFill>
              <w14:schemeClr w14:val="tx1"/>
            </w14:solidFill>
          </w14:textFill>
        </w:rPr>
        <w:t>, 8(1-2), 2017, 1-12</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Singh, S., Mayes, M. A., Shekoofa, A., Kivlin, S. N., Bansal, S., &amp; Jagadamma, S., </w:t>
      </w:r>
      <w:r>
        <w:rPr>
          <w:rFonts w:ascii="Times New Roman" w:hAnsi="Times New Roman"/>
          <w:i/>
          <w:color w:val="000000" w:themeColor="text1"/>
          <w:sz w:val="24"/>
          <w:szCs w:val="24"/>
          <w14:textFill>
            <w14:solidFill>
              <w14:schemeClr w14:val="tx1"/>
            </w14:solidFill>
          </w14:textFill>
        </w:rPr>
        <w:t>Soil Organic Carbon Cycling in Response to Simulated Soil Moisture Variation under Field Conditions</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Scientific reports</w:t>
      </w:r>
      <w:r>
        <w:rPr>
          <w:rFonts w:ascii="Times New Roman" w:hAnsi="Times New Roman"/>
          <w:color w:val="000000" w:themeColor="text1"/>
          <w:sz w:val="24"/>
          <w:szCs w:val="24"/>
          <w14:textFill>
            <w14:solidFill>
              <w14:schemeClr w14:val="tx1"/>
            </w14:solidFill>
          </w14:textFill>
        </w:rPr>
        <w:t xml:space="preserve">, 11(1), 2021, 10841. https://doi.org/10.1038/s41598-021-90359-4 </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Smith, A. P., Bond-Lamberty, B., Benscoter, B. W., Tfaily, M. M, &amp; Hinkle, C. R., </w:t>
      </w:r>
      <w:r>
        <w:rPr>
          <w:rFonts w:ascii="Times New Roman" w:hAnsi="Times New Roman"/>
          <w:i/>
          <w:iCs/>
          <w:color w:val="000000" w:themeColor="text1"/>
          <w:sz w:val="24"/>
          <w:szCs w:val="24"/>
          <w14:textFill>
            <w14:solidFill>
              <w14:schemeClr w14:val="tx1"/>
            </w14:solidFill>
          </w14:textFill>
        </w:rPr>
        <w:t xml:space="preserve">Shifts in Pore Connectivity from Precipitation versus Groundwater Wetting Increases Soil Carbon Loss after Drought. </w:t>
      </w:r>
      <w:r>
        <w:rPr>
          <w:rFonts w:ascii="Times New Roman" w:hAnsi="Times New Roman"/>
          <w:b/>
          <w:bCs/>
          <w:color w:val="000000" w:themeColor="text1"/>
          <w:sz w:val="24"/>
          <w:szCs w:val="24"/>
          <w14:textFill>
            <w14:solidFill>
              <w14:schemeClr w14:val="tx1"/>
            </w14:solidFill>
          </w14:textFill>
        </w:rPr>
        <w:t>Nat. Commun</w:t>
      </w:r>
      <w:r>
        <w:rPr>
          <w:rFonts w:ascii="Times New Roman" w:hAnsi="Times New Roman"/>
          <w:color w:val="000000" w:themeColor="text1"/>
          <w:sz w:val="24"/>
          <w:szCs w:val="24"/>
          <w14:textFill>
            <w14:solidFill>
              <w14:schemeClr w14:val="tx1"/>
            </w14:solidFill>
          </w14:textFill>
        </w:rPr>
        <w:t>. 8, 2017, 1–11.</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Sofo A., Mininni A. N., &amp; Ricciuti P., </w:t>
      </w:r>
      <w:r>
        <w:rPr>
          <w:rFonts w:ascii="Times New Roman" w:hAnsi="Times New Roman"/>
          <w:i/>
          <w:color w:val="000000" w:themeColor="text1"/>
          <w:sz w:val="24"/>
          <w:szCs w:val="24"/>
          <w14:textFill>
            <w14:solidFill>
              <w14:schemeClr w14:val="tx1"/>
            </w14:solidFill>
          </w14:textFill>
        </w:rPr>
        <w:t>Soil Macrofauna: A key Factor for Increasing Soil   Fertility and Promoting Sustainable Soil Use in Fruit</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Agronom</w:t>
      </w:r>
      <w:r>
        <w:rPr>
          <w:rFonts w:ascii="Times New Roman" w:hAnsi="Times New Roman"/>
          <w:color w:val="000000" w:themeColor="text1"/>
          <w:sz w:val="24"/>
          <w:szCs w:val="24"/>
          <w14:textFill>
            <w14:solidFill>
              <w14:schemeClr w14:val="tx1"/>
            </w14:solidFill>
          </w14:textFill>
        </w:rPr>
        <w:t>y, 10(4), 2020, 456,   https://doi.org/10.3390/agronomy10040456</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Sohn, S.I,, Jae-H. A,, Subramani P., Young-J. O., Eun-K. S,, Hyeon-J. K, Woo C, Youn-Sung C., &amp; Kong-Sik S., </w:t>
      </w:r>
      <w:r>
        <w:rPr>
          <w:rFonts w:ascii="Times New Roman" w:hAnsi="Times New Roman"/>
          <w:i/>
          <w:color w:val="000000" w:themeColor="text1"/>
          <w:sz w:val="24"/>
          <w:szCs w:val="24"/>
          <w14:textFill>
            <w14:solidFill>
              <w14:schemeClr w14:val="tx1"/>
            </w14:solidFill>
          </w14:textFill>
        </w:rPr>
        <w:t>"Dynamics of Bacterial Community Structure in the Rhizosphere and Root Nodule of Soybean: Impacts of Growth Stages and Varieties",</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International Journal of Molecular Sciences</w:t>
      </w:r>
      <w:r>
        <w:rPr>
          <w:rFonts w:ascii="Times New Roman" w:hAnsi="Times New Roman"/>
          <w:color w:val="000000" w:themeColor="text1"/>
          <w:sz w:val="24"/>
          <w:szCs w:val="24"/>
          <w14:textFill>
            <w14:solidFill>
              <w14:schemeClr w14:val="tx1"/>
            </w14:solidFill>
          </w14:textFill>
        </w:rPr>
        <w:t xml:space="preserve">, 22(11), 2021, 5577. https://doi.org/10.3390/ijms22115577 </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Somenahally A. C.,  Loeppert R.H.,  Zhou J.,&amp; Gentry T. J, </w:t>
      </w:r>
      <w:r>
        <w:rPr>
          <w:rFonts w:ascii="Times New Roman" w:hAnsi="Times New Roman"/>
          <w:i/>
          <w:color w:val="000000" w:themeColor="text1"/>
          <w:sz w:val="24"/>
          <w:szCs w:val="24"/>
          <w14:textFill>
            <w14:solidFill>
              <w14:schemeClr w14:val="tx1"/>
            </w14:solidFill>
          </w14:textFill>
        </w:rPr>
        <w:t>Niche Differentiation of Arsenic-Transforming Microbial Groups in the Rice Rhizosphere Compartments as Impacted by Water Management and Soil-Arsenic Concentrations,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Terrestrial Microbiology, </w:t>
      </w:r>
      <w:r>
        <w:rPr>
          <w:rFonts w:ascii="Times New Roman" w:hAnsi="Times New Roman"/>
          <w:color w:val="000000" w:themeColor="text1"/>
          <w:sz w:val="24"/>
          <w:szCs w:val="24"/>
          <w14:textFill>
            <w14:solidFill>
              <w14:schemeClr w14:val="tx1"/>
            </w14:solidFill>
          </w14:textFill>
        </w:rPr>
        <w:t>12, 2021, https://doi.org/10.3389/fmicb.2021.736751</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Tahat, M. M., Alananbeh, K. M., Othman, Y. A. &amp; Daniel, I. L., </w:t>
      </w:r>
      <w:r>
        <w:rPr>
          <w:rFonts w:ascii="Times New Roman" w:hAnsi="Times New Roman"/>
          <w:i/>
          <w:color w:val="000000" w:themeColor="text1"/>
          <w:sz w:val="24"/>
          <w:szCs w:val="24"/>
          <w14:textFill>
            <w14:solidFill>
              <w14:schemeClr w14:val="tx1"/>
            </w14:solidFill>
          </w14:textFill>
        </w:rPr>
        <w:t>Soil Health and Sustainable Agriculture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Sustainability</w:t>
      </w:r>
      <w:r>
        <w:rPr>
          <w:rFonts w:ascii="Times New Roman" w:hAnsi="Times New Roman"/>
          <w:color w:val="000000" w:themeColor="text1"/>
          <w:sz w:val="24"/>
          <w:szCs w:val="24"/>
          <w14:textFill>
            <w14:solidFill>
              <w14:schemeClr w14:val="tx1"/>
            </w14:solidFill>
          </w14:textFill>
        </w:rPr>
        <w:t>, 12(12), 2020, 4859</w:t>
      </w:r>
    </w:p>
    <w:p>
      <w:pPr>
        <w:spacing w:after="240" w:line="276" w:lineRule="auto"/>
        <w:ind w:left="720" w:hanging="720"/>
        <w:jc w:val="both"/>
        <w:rPr>
          <w:rFonts w:ascii="Times New Roman" w:hAnsi="Times New Roman"/>
          <w:bCs/>
          <w:i/>
          <w:iCs/>
          <w:color w:val="000000" w:themeColor="text1"/>
          <w:sz w:val="24"/>
          <w:szCs w:val="24"/>
          <w14:textFill>
            <w14:solidFill>
              <w14:schemeClr w14:val="tx1"/>
            </w14:solidFill>
          </w14:textFill>
        </w:rPr>
      </w:pPr>
      <w:r>
        <w:rPr>
          <w:rFonts w:ascii="Times New Roman" w:hAnsi="Times New Roman"/>
          <w:bCs/>
          <w:iCs/>
          <w:color w:val="000000" w:themeColor="text1"/>
          <w:sz w:val="24"/>
          <w:szCs w:val="24"/>
          <w14:textFill>
            <w14:solidFill>
              <w14:schemeClr w14:val="tx1"/>
            </w14:solidFill>
          </w14:textFill>
        </w:rPr>
        <w:t>Taiki M., Senhao W., Cheng P., Cong W., Jiangming M., Mianhai Z.  &amp; Wei Z.,</w:t>
      </w:r>
      <w:r>
        <w:rPr>
          <w:rFonts w:ascii="Times New Roman" w:hAnsi="Times New Roman"/>
          <w:bCs/>
          <w:i/>
          <w:iCs/>
          <w:color w:val="000000" w:themeColor="text1"/>
          <w:sz w:val="24"/>
          <w:szCs w:val="24"/>
          <w14:textFill>
            <w14:solidFill>
              <w14:schemeClr w14:val="tx1"/>
            </w14:solidFill>
          </w14:textFill>
        </w:rPr>
        <w:t xml:space="preserve">   Importance of         Considering Enzyme Degradation for Interpreting the Response of Soil Enzyme Activity to Nutrient Addition: </w:t>
      </w:r>
      <w:r>
        <w:rPr>
          <w:rFonts w:ascii="Times New Roman" w:hAnsi="Times New Roman"/>
          <w:bCs/>
          <w:iCs/>
          <w:color w:val="000000" w:themeColor="text1"/>
          <w:sz w:val="24"/>
          <w:szCs w:val="24"/>
          <w14:textFill>
            <w14:solidFill>
              <w14:schemeClr w14:val="tx1"/>
            </w14:solidFill>
          </w14:textFill>
        </w:rPr>
        <w:t xml:space="preserve">Insights from a Field and Laboratory Study </w:t>
      </w:r>
      <w:r>
        <w:rPr>
          <w:rFonts w:ascii="Times New Roman" w:hAnsi="Times New Roman"/>
          <w:b/>
          <w:iCs/>
          <w:color w:val="000000" w:themeColor="text1"/>
          <w:sz w:val="24"/>
          <w:szCs w:val="24"/>
          <w14:textFill>
            <w14:solidFill>
              <w14:schemeClr w14:val="tx1"/>
            </w14:solidFill>
          </w14:textFill>
        </w:rPr>
        <w:t>Forests</w:t>
      </w:r>
      <w:r>
        <w:rPr>
          <w:rFonts w:ascii="Times New Roman" w:hAnsi="Times New Roman"/>
          <w:color w:val="000000" w:themeColor="text1"/>
          <w:sz w:val="24"/>
          <w:szCs w:val="24"/>
          <w14:textFill>
            <w14:solidFill>
              <w14:schemeClr w14:val="tx1"/>
            </w14:solidFill>
          </w14:textFill>
        </w:rPr>
        <w:t> </w:t>
      </w:r>
      <w:r>
        <w:rPr>
          <w:rFonts w:ascii="Times New Roman" w:hAnsi="Times New Roman"/>
          <w:iCs/>
          <w:color w:val="000000" w:themeColor="text1"/>
          <w:sz w:val="24"/>
          <w:szCs w:val="24"/>
          <w14:textFill>
            <w14:solidFill>
              <w14:schemeClr w14:val="tx1"/>
            </w14:solidFill>
          </w14:textFill>
        </w:rPr>
        <w:t>14</w:t>
      </w:r>
      <w:r>
        <w:rPr>
          <w:rFonts w:ascii="Times New Roman" w:hAnsi="Times New Roman"/>
          <w:color w:val="000000" w:themeColor="text1"/>
          <w:sz w:val="24"/>
          <w:szCs w:val="24"/>
          <w14:textFill>
            <w14:solidFill>
              <w14:schemeClr w14:val="tx1"/>
            </w14:solidFill>
          </w14:textFill>
        </w:rPr>
        <w:t>(6), 2023, 1206; </w:t>
      </w:r>
      <w:r>
        <w:fldChar w:fldCharType="begin"/>
      </w:r>
      <w:r>
        <w:instrText xml:space="preserve"> HYPERLINK "https://doi.org/10.3390/f14061206" </w:instrText>
      </w:r>
      <w:r>
        <w:fldChar w:fldCharType="separate"/>
      </w:r>
      <w:r>
        <w:rPr>
          <w:rStyle w:val="13"/>
          <w:rFonts w:ascii="Times New Roman" w:hAnsi="Times New Roman"/>
          <w:bCs/>
          <w:color w:val="auto"/>
          <w:sz w:val="24"/>
          <w:szCs w:val="24"/>
          <w:u w:val="none"/>
        </w:rPr>
        <w:t>https://doi.org/10.3390/f14061206</w:t>
      </w:r>
      <w:r>
        <w:rPr>
          <w:rStyle w:val="13"/>
          <w:rFonts w:ascii="Times New Roman" w:hAnsi="Times New Roman"/>
          <w:bCs/>
          <w:color w:val="auto"/>
          <w:sz w:val="24"/>
          <w:szCs w:val="24"/>
          <w:u w:val="none"/>
        </w:rPr>
        <w:fldChar w:fldCharType="end"/>
      </w:r>
    </w:p>
    <w:p>
      <w:pPr>
        <w:spacing w:after="240" w:line="276" w:lineRule="auto"/>
        <w:ind w:left="720" w:hanging="720"/>
        <w:jc w:val="both"/>
        <w:rPr>
          <w:rStyle w:val="13"/>
          <w:rFonts w:ascii="Times New Roman" w:hAnsi="Times New Roman" w:eastAsia="Times New Roman"/>
          <w:color w:val="000000" w:themeColor="text1"/>
          <w:sz w:val="24"/>
          <w:szCs w:val="24"/>
          <w:u w:val="none"/>
          <w14:textFill>
            <w14:solidFill>
              <w14:schemeClr w14:val="tx1"/>
            </w14:solidFill>
          </w14:textFill>
        </w:rPr>
      </w:pPr>
      <w:r>
        <w:rPr>
          <w:rFonts w:ascii="Times New Roman" w:hAnsi="Times New Roman" w:eastAsia="Times New Roman"/>
          <w:color w:val="000000" w:themeColor="text1"/>
          <w:sz w:val="24"/>
          <w:szCs w:val="24"/>
          <w14:textFill>
            <w14:solidFill>
              <w14:schemeClr w14:val="tx1"/>
            </w14:solidFill>
          </w14:textFill>
        </w:rPr>
        <w:t xml:space="preserve">Tatsumi, C., Taniguchi, T., Du, S., Yamanaka, N., &amp; Tateno, R., </w:t>
      </w:r>
      <w:r>
        <w:rPr>
          <w:rFonts w:ascii="Times New Roman" w:hAnsi="Times New Roman" w:eastAsia="Times New Roman"/>
          <w:i/>
          <w:color w:val="000000" w:themeColor="text1"/>
          <w:sz w:val="24"/>
          <w:szCs w:val="24"/>
          <w14:textFill>
            <w14:solidFill>
              <w14:schemeClr w14:val="tx1"/>
            </w14:solidFill>
          </w14:textFill>
        </w:rPr>
        <w:t xml:space="preserve">The Steps in the Soil Nitrogen Transformation Process Vary along an Aridity Gradient via Changes in the Microbial Community. </w:t>
      </w:r>
      <w:r>
        <w:rPr>
          <w:rFonts w:ascii="Times New Roman" w:hAnsi="Times New Roman" w:eastAsia="Times New Roman"/>
          <w:b/>
          <w:iCs/>
          <w:color w:val="000000" w:themeColor="text1"/>
          <w:sz w:val="24"/>
          <w:szCs w:val="24"/>
          <w14:textFill>
            <w14:solidFill>
              <w14:schemeClr w14:val="tx1"/>
            </w14:solidFill>
          </w14:textFill>
        </w:rPr>
        <w:t>Biogeochemistry</w:t>
      </w:r>
      <w:r>
        <w:rPr>
          <w:rFonts w:ascii="Times New Roman" w:hAnsi="Times New Roman" w:eastAsia="Times New Roman"/>
          <w:color w:val="000000" w:themeColor="text1"/>
          <w:sz w:val="24"/>
          <w:szCs w:val="24"/>
          <w14:textFill>
            <w14:solidFill>
              <w14:schemeClr w14:val="tx1"/>
            </w14:solidFill>
          </w14:textFill>
        </w:rPr>
        <w:t xml:space="preserve">, </w:t>
      </w:r>
      <w:r>
        <w:rPr>
          <w:rFonts w:ascii="Times New Roman" w:hAnsi="Times New Roman" w:eastAsia="Times New Roman"/>
          <w:i/>
          <w:iCs/>
          <w:color w:val="000000" w:themeColor="text1"/>
          <w:sz w:val="24"/>
          <w:szCs w:val="24"/>
          <w14:textFill>
            <w14:solidFill>
              <w14:schemeClr w14:val="tx1"/>
            </w14:solidFill>
          </w14:textFill>
        </w:rPr>
        <w:t>144</w:t>
      </w:r>
      <w:r>
        <w:rPr>
          <w:rFonts w:ascii="Times New Roman" w:hAnsi="Times New Roman" w:eastAsia="Times New Roman"/>
          <w:color w:val="000000" w:themeColor="text1"/>
          <w:sz w:val="24"/>
          <w:szCs w:val="24"/>
          <w14:textFill>
            <w14:solidFill>
              <w14:schemeClr w14:val="tx1"/>
            </w14:solidFill>
          </w14:textFill>
        </w:rPr>
        <w:t xml:space="preserve">(1), 2019, 15–29, </w:t>
      </w:r>
      <w:r>
        <w:fldChar w:fldCharType="begin"/>
      </w:r>
      <w:r>
        <w:instrText xml:space="preserve"> HYPERLINK "https://www.jstor.org/stable/48701406" </w:instrText>
      </w:r>
      <w:r>
        <w:fldChar w:fldCharType="separate"/>
      </w:r>
      <w:r>
        <w:rPr>
          <w:rStyle w:val="13"/>
          <w:rFonts w:ascii="Times New Roman" w:hAnsi="Times New Roman" w:eastAsia="Times New Roman"/>
          <w:color w:val="000000" w:themeColor="text1"/>
          <w:sz w:val="24"/>
          <w:szCs w:val="24"/>
          <w:u w:val="none"/>
          <w14:textFill>
            <w14:solidFill>
              <w14:schemeClr w14:val="tx1"/>
            </w14:solidFill>
          </w14:textFill>
        </w:rPr>
        <w:t>https://www.jstor.org/stable/48701406</w:t>
      </w:r>
      <w:r>
        <w:rPr>
          <w:rStyle w:val="13"/>
          <w:rFonts w:ascii="Times New Roman" w:hAnsi="Times New Roman" w:eastAsia="Times New Roman"/>
          <w:color w:val="000000" w:themeColor="text1"/>
          <w:sz w:val="24"/>
          <w:szCs w:val="24"/>
          <w:u w:val="none"/>
          <w14:textFill>
            <w14:solidFill>
              <w14:schemeClr w14:val="tx1"/>
            </w14:solidFill>
          </w14:textFill>
        </w:rPr>
        <w:fldChar w:fldCharType="end"/>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Tecon  R., &amp; Or, D., </w:t>
      </w:r>
      <w:r>
        <w:rPr>
          <w:rFonts w:ascii="Times New Roman" w:hAnsi="Times New Roman"/>
          <w:i/>
          <w:iCs/>
          <w:color w:val="000000" w:themeColor="text1"/>
          <w:sz w:val="24"/>
          <w:szCs w:val="24"/>
          <w14:textFill>
            <w14:solidFill>
              <w14:schemeClr w14:val="tx1"/>
            </w14:solidFill>
          </w14:textFill>
        </w:rPr>
        <w:t xml:space="preserve">Biophysical Processes Supporting the Diversity of Microbial Life in </w:t>
      </w:r>
      <w:r>
        <w:rPr>
          <w:rFonts w:ascii="Times New Roman" w:hAnsi="Times New Roman"/>
          <w:i/>
          <w:iCs/>
          <w:color w:val="000000" w:themeColor="text1"/>
          <w:sz w:val="24"/>
          <w:szCs w:val="24"/>
          <w14:textFill>
            <w14:solidFill>
              <w14:schemeClr w14:val="tx1"/>
            </w14:solidFill>
          </w14:textFill>
        </w:rPr>
        <w:tab/>
      </w:r>
      <w:r>
        <w:rPr>
          <w:rFonts w:ascii="Times New Roman" w:hAnsi="Times New Roman"/>
          <w:i/>
          <w:iCs/>
          <w:color w:val="000000" w:themeColor="text1"/>
          <w:sz w:val="24"/>
          <w:szCs w:val="24"/>
          <w14:textFill>
            <w14:solidFill>
              <w14:schemeClr w14:val="tx1"/>
            </w14:solidFill>
          </w14:textFill>
        </w:rPr>
        <w:t>Soil</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bCs/>
          <w:color w:val="000000" w:themeColor="text1"/>
          <w:sz w:val="24"/>
          <w:szCs w:val="24"/>
          <w14:textFill>
            <w14:solidFill>
              <w14:schemeClr w14:val="tx1"/>
            </w14:solidFill>
          </w14:textFill>
        </w:rPr>
        <w:t>FEMS Microbiol. Rev.</w:t>
      </w:r>
      <w:r>
        <w:rPr>
          <w:rFonts w:ascii="Times New Roman" w:hAnsi="Times New Roman"/>
          <w:bCs/>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 xml:space="preserve"> 41, 2017, 599–602.</w:t>
      </w:r>
    </w:p>
    <w:p>
      <w:pPr>
        <w:spacing w:after="240" w:line="276" w:lineRule="auto"/>
        <w:ind w:left="720" w:hanging="720"/>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Timsina, J., </w:t>
      </w:r>
      <w:r>
        <w:rPr>
          <w:rFonts w:ascii="Times New Roman" w:hAnsi="Times New Roman"/>
          <w:i/>
          <w:color w:val="000000" w:themeColor="text1"/>
          <w:sz w:val="24"/>
          <w:szCs w:val="24"/>
          <w14:textFill>
            <w14:solidFill>
              <w14:schemeClr w14:val="tx1"/>
            </w14:solidFill>
          </w14:textFill>
        </w:rPr>
        <w:t>"Can Organic Sources of Nutrients Increase Crop Yields to Meet Global Food Demand?"</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Agronomy</w:t>
      </w:r>
      <w:r>
        <w:rPr>
          <w:rFonts w:ascii="Times New Roman" w:hAnsi="Times New Roman"/>
          <w:color w:val="000000" w:themeColor="text1"/>
          <w:sz w:val="24"/>
          <w:szCs w:val="24"/>
          <w14:textFill>
            <w14:solidFill>
              <w14:schemeClr w14:val="tx1"/>
            </w14:solidFill>
          </w14:textFill>
        </w:rPr>
        <w:t>, 8(10), 2018, 214. https://doi.org/10.3390/agronomy8100214</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Ullah S., Ai  C.,  Ding  W.,  Jiang  R., Zhao S.,  Zhang  J., Zhou W., Hou Y., &amp; He  P. </w:t>
      </w:r>
      <w:r>
        <w:rPr>
          <w:rFonts w:ascii="Times New Roman" w:hAnsi="Times New Roman"/>
          <w:i/>
          <w:color w:val="000000" w:themeColor="text1"/>
          <w:sz w:val="24"/>
          <w:szCs w:val="24"/>
          <w14:textFill>
            <w14:solidFill>
              <w14:schemeClr w14:val="tx1"/>
            </w14:solidFill>
          </w14:textFill>
        </w:rPr>
        <w:t>The Response of Soil Fungal Diversity and Community Composition to Long-term Fertilization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Applied Soil Ecology</w:t>
      </w:r>
      <w:r>
        <w:rPr>
          <w:rFonts w:ascii="Times New Roman" w:hAnsi="Times New Roman"/>
          <w:color w:val="000000" w:themeColor="text1"/>
          <w:sz w:val="24"/>
          <w:szCs w:val="24"/>
          <w14:textFill>
            <w14:solidFill>
              <w14:schemeClr w14:val="tx1"/>
            </w14:solidFill>
          </w14:textFill>
        </w:rPr>
        <w:t xml:space="preserve"> 140, 2019, 35-41 </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Wang, J. Li, R. Zhang, H. Wei, G. &amp; Li, Z. </w:t>
      </w:r>
      <w:r>
        <w:rPr>
          <w:rFonts w:ascii="Times New Roman" w:hAnsi="Times New Roman"/>
          <w:i/>
          <w:color w:val="000000" w:themeColor="text1"/>
          <w:sz w:val="24"/>
          <w:szCs w:val="24"/>
          <w14:textFill>
            <w14:solidFill>
              <w14:schemeClr w14:val="tx1"/>
            </w14:solidFill>
          </w14:textFill>
        </w:rPr>
        <w:t>Beneficial Bacteria Activate Nutrients and Promote Wheat Growth under Conditions of Reduced Fertilizer Application</w:t>
      </w:r>
      <w:r>
        <w:rPr>
          <w:rFonts w:ascii="Times New Roman" w:hAnsi="Times New Roman"/>
          <w:color w:val="000000" w:themeColor="text1"/>
          <w:sz w:val="24"/>
          <w:szCs w:val="24"/>
          <w14:textFill>
            <w14:solidFill>
              <w14:schemeClr w14:val="tx1"/>
            </w14:solidFill>
          </w14:textFill>
        </w:rPr>
        <w:t>.</w:t>
      </w:r>
      <w:r>
        <w:rPr>
          <w:rFonts w:ascii="Times New Roman" w:hAnsi="Times New Roman"/>
          <w:b/>
          <w:bCs/>
          <w:color w:val="000000" w:themeColor="text1"/>
          <w:sz w:val="24"/>
          <w:szCs w:val="24"/>
          <w14:textFill>
            <w14:solidFill>
              <w14:schemeClr w14:val="tx1"/>
            </w14:solidFill>
          </w14:textFill>
        </w:rPr>
        <w:t xml:space="preserve"> BMC Microbiol.</w:t>
      </w:r>
      <w:r>
        <w:rPr>
          <w:rFonts w:ascii="Times New Roman" w:hAnsi="Times New Roman"/>
          <w:color w:val="000000" w:themeColor="text1"/>
          <w:sz w:val="24"/>
          <w:szCs w:val="24"/>
          <w14:textFill>
            <w14:solidFill>
              <w14:schemeClr w14:val="tx1"/>
            </w14:solidFill>
          </w14:textFill>
        </w:rPr>
        <w:t xml:space="preserve"> 20, 2020, 38, https://doi.org/10.1186/s12866-020-1708-z </w:t>
      </w:r>
    </w:p>
    <w:p>
      <w:pPr>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Wang, L., Chen, M., Lam, P. Y., Dini-Andreote, F., Dai, L., &amp; Wei, Z., </w:t>
      </w:r>
      <w:r>
        <w:rPr>
          <w:rFonts w:ascii="Times New Roman" w:hAnsi="Times New Roman"/>
          <w:i/>
          <w:color w:val="000000" w:themeColor="text1"/>
          <w:sz w:val="24"/>
          <w:szCs w:val="24"/>
          <w14:textFill>
            <w14:solidFill>
              <w14:schemeClr w14:val="tx1"/>
            </w14:solidFill>
          </w14:textFill>
        </w:rPr>
        <w:t>Multifaceted Roles of Flavonoids Mediating Plant-Microbe Interactions</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Microbiome</w:t>
      </w:r>
      <w:r>
        <w:rPr>
          <w:rFonts w:ascii="Times New Roman" w:hAnsi="Times New Roman"/>
          <w:color w:val="000000" w:themeColor="text1"/>
          <w:sz w:val="24"/>
          <w:szCs w:val="24"/>
          <w14:textFill>
            <w14:solidFill>
              <w14:schemeClr w14:val="tx1"/>
            </w14:solidFill>
          </w14:textFill>
        </w:rPr>
        <w:t xml:space="preserve">, 10(1), 2022, 233. https://doi.org/10.1186/s40168-022-01420-x </w:t>
      </w:r>
    </w:p>
    <w:p>
      <w:pPr>
        <w:spacing w:after="240" w:line="276" w:lineRule="auto"/>
        <w:ind w:left="630"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Wang, L., Wang, Y., Xiu, W., Tan, B., Li, G., Zhao, J., Yang, D., Zhang, G., &amp; Zhang, Y., </w:t>
      </w:r>
      <w:r>
        <w:rPr>
          <w:rFonts w:ascii="Times New Roman" w:hAnsi="Times New Roman"/>
          <w:i/>
          <w:color w:val="000000" w:themeColor="text1"/>
          <w:sz w:val="24"/>
          <w:szCs w:val="24"/>
          <w14:textFill>
            <w14:solidFill>
              <w14:schemeClr w14:val="tx1"/>
            </w14:solidFill>
          </w14:textFill>
        </w:rPr>
        <w:t>Responses of Soil Microbial and Nematode Communities to Various Cover Crop Patterns in a Tea Garden of China</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International journal of environmental research and public health</w:t>
      </w:r>
      <w:r>
        <w:rPr>
          <w:rFonts w:ascii="Times New Roman" w:hAnsi="Times New Roman"/>
          <w:color w:val="000000" w:themeColor="text1"/>
          <w:sz w:val="24"/>
          <w:szCs w:val="24"/>
          <w14:textFill>
            <w14:solidFill>
              <w14:schemeClr w14:val="tx1"/>
            </w14:solidFill>
          </w14:textFill>
        </w:rPr>
        <w:t>, 19(5), 2022, 2695, https://doi.org/10.3390/ijerph19052695</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Wang, X. B., Azarbad, H., Leclerc, L., Dozois, J., Mukula, E., &amp; Yergeau, É., </w:t>
      </w:r>
      <w:r>
        <w:rPr>
          <w:rFonts w:ascii="Times New Roman" w:hAnsi="Times New Roman"/>
          <w:i/>
          <w:color w:val="000000" w:themeColor="text1"/>
          <w:sz w:val="24"/>
          <w:szCs w:val="24"/>
          <w14:textFill>
            <w14:solidFill>
              <w14:schemeClr w14:val="tx1"/>
            </w14:solidFill>
          </w14:textFill>
        </w:rPr>
        <w:t>A Drying-Rewetting Cycle Imposes More Important Shifts on Soil Microbial Communities than Does Reduced Precipitation</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Systems</w:t>
      </w:r>
      <w:r>
        <w:rPr>
          <w:rFonts w:ascii="Times New Roman" w:hAnsi="Times New Roman"/>
          <w:color w:val="000000" w:themeColor="text1"/>
          <w:sz w:val="24"/>
          <w:szCs w:val="24"/>
          <w14:textFill>
            <w14:solidFill>
              <w14:schemeClr w14:val="tx1"/>
            </w14:solidFill>
          </w14:textFill>
        </w:rPr>
        <w:t xml:space="preserve">, 7(4), 2022, e0024722. </w:t>
      </w:r>
      <w:r>
        <w:fldChar w:fldCharType="begin"/>
      </w:r>
      <w:r>
        <w:instrText xml:space="preserve"> HYPERLINK "https://doi.org/10.1128/msystems.00247-22" </w:instrText>
      </w:r>
      <w:r>
        <w:fldChar w:fldCharType="separate"/>
      </w:r>
      <w:r>
        <w:rPr>
          <w:rFonts w:ascii="Times New Roman" w:hAnsi="Times New Roman"/>
          <w:color w:val="000000" w:themeColor="text1"/>
          <w:sz w:val="24"/>
          <w:szCs w:val="24"/>
          <w14:textFill>
            <w14:solidFill>
              <w14:schemeClr w14:val="tx1"/>
            </w14:solidFill>
          </w14:textFill>
        </w:rPr>
        <w:t>https://doi.org/10.1128/msystems.00247-22</w:t>
      </w:r>
      <w:r>
        <w:rPr>
          <w:rFonts w:ascii="Times New Roman" w:hAnsi="Times New Roman"/>
          <w:color w:val="000000" w:themeColor="text1"/>
          <w:sz w:val="24"/>
          <w:szCs w:val="24"/>
          <w14:textFill>
            <w14:solidFill>
              <w14:schemeClr w14:val="tx1"/>
            </w14:solidFill>
          </w14:textFill>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Waqas, M., Hashim, S., Humphries, U. W., Ahmad, S., Noor, R., Shoaib, M., Naseem, A.,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 xml:space="preserve">Hlaing, P. T. &amp; Lin, H. A., </w:t>
      </w:r>
      <w:r>
        <w:rPr>
          <w:rFonts w:ascii="Times New Roman" w:hAnsi="Times New Roman"/>
          <w:i/>
          <w:color w:val="000000" w:themeColor="text1"/>
          <w:sz w:val="24"/>
          <w:szCs w:val="24"/>
          <w14:textFill>
            <w14:solidFill>
              <w14:schemeClr w14:val="tx1"/>
            </w14:solidFill>
          </w14:textFill>
        </w:rPr>
        <w:t xml:space="preserve">Composting Processes for Agricultural Waste Management: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A Comprehensive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Processes</w:t>
      </w:r>
      <w:r>
        <w:rPr>
          <w:rFonts w:ascii="Times New Roman" w:hAnsi="Times New Roman"/>
          <w:color w:val="000000" w:themeColor="text1"/>
          <w:sz w:val="24"/>
          <w:szCs w:val="24"/>
          <w14:textFill>
            <w14:solidFill>
              <w14:schemeClr w14:val="tx1"/>
            </w14:solidFill>
          </w14:textFill>
        </w:rPr>
        <w:t>, 11, 2023, 731. https://doi.org/ 10.3390/pr1103073</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Wen, H., Wu, H., Dong. Y., Feng, W., Lu, Y., Hu, Y. &amp; Zhang, G.,</w:t>
      </w:r>
      <w:r>
        <w:rPr>
          <w:rFonts w:ascii="Times New Roman" w:hAnsi="Times New Roman"/>
          <w:i/>
          <w:color w:val="000000" w:themeColor="text1"/>
          <w:sz w:val="24"/>
          <w:szCs w:val="24"/>
          <w14:textFill>
            <w14:solidFill>
              <w14:schemeClr w14:val="tx1"/>
            </w14:solidFill>
          </w14:textFill>
        </w:rPr>
        <w:t xml:space="preserve"> Differential Soil Acidification Caused by Parent Materials and Land-use Changes in the Pearl River Delta Region</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Soil Use and Management</w:t>
      </w:r>
      <w:r>
        <w:rPr>
          <w:rFonts w:ascii="Times New Roman" w:hAnsi="Times New Roman"/>
          <w:color w:val="000000" w:themeColor="text1"/>
          <w:sz w:val="24"/>
          <w:szCs w:val="24"/>
          <w14:textFill>
            <w14:solidFill>
              <w14:schemeClr w14:val="tx1"/>
            </w14:solidFill>
          </w14:textFill>
        </w:rPr>
        <w:t>, 39(1), 2022, 329-341</w:t>
      </w:r>
    </w:p>
    <w:p>
      <w:pPr>
        <w:tabs>
          <w:tab w:val="left" w:pos="630"/>
        </w:tabs>
        <w:spacing w:after="240" w:line="276" w:lineRule="auto"/>
        <w:ind w:left="567" w:hanging="567"/>
        <w:jc w:val="both"/>
        <w:rPr>
          <w:rFonts w:ascii="Times New Roman" w:hAnsi="Times New Roman"/>
          <w:bCs/>
          <w:color w:val="000000" w:themeColor="text1"/>
          <w:sz w:val="24"/>
          <w:szCs w:val="24"/>
          <w14:textFill>
            <w14:solidFill>
              <w14:schemeClr w14:val="tx1"/>
            </w14:solidFill>
          </w14:textFill>
        </w:rPr>
      </w:pPr>
      <w:r>
        <w:rPr>
          <w:rFonts w:ascii="Times New Roman" w:hAnsi="Times New Roman"/>
          <w:bCs/>
          <w:color w:val="000000" w:themeColor="text1"/>
          <w:sz w:val="24"/>
          <w:szCs w:val="24"/>
          <w14:textFill>
            <w14:solidFill>
              <w14:schemeClr w14:val="tx1"/>
            </w14:solidFill>
          </w14:textFill>
        </w:rPr>
        <w:t>Wenming, M.,</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 xml:space="preserve">Sihong, T., Zhuoma, D., Dong, Z., Ting, Z. &amp; Xiangli M.., </w:t>
      </w:r>
      <w:r>
        <w:rPr>
          <w:rFonts w:ascii="Times New Roman" w:hAnsi="Times New Roman"/>
          <w:i/>
          <w:color w:val="000000" w:themeColor="text1"/>
          <w:sz w:val="24"/>
          <w:szCs w:val="24"/>
          <w14:textFill>
            <w14:solidFill>
              <w14:schemeClr w14:val="tx1"/>
            </w14:solidFill>
          </w14:textFill>
        </w:rPr>
        <w:t>Root Exudates contribute to Belowground Ecosystem Hotspots: A review</w:t>
      </w:r>
      <w:r>
        <w:rPr>
          <w:rFonts w:ascii="Times New Roman" w:hAnsi="Times New Roman"/>
          <w:color w:val="000000" w:themeColor="text1"/>
          <w:sz w:val="24"/>
          <w:szCs w:val="24"/>
          <w14:textFill>
            <w14:solidFill>
              <w14:schemeClr w14:val="tx1"/>
            </w14:solidFill>
          </w14:textFill>
        </w:rPr>
        <w:t xml:space="preserve">, </w:t>
      </w:r>
      <w:r>
        <w:fldChar w:fldCharType="begin"/>
      </w:r>
      <w:r>
        <w:instrText xml:space="preserve"> HYPERLINK "https://www.ncbi.nlm.nih.gov/pmc/articles/PMC9581264/" </w:instrText>
      </w:r>
      <w:r>
        <w:fldChar w:fldCharType="separate"/>
      </w:r>
      <w:r>
        <w:rPr>
          <w:rStyle w:val="13"/>
          <w:rFonts w:ascii="Times New Roman" w:hAnsi="Times New Roman"/>
          <w:b/>
          <w:color w:val="auto"/>
          <w:sz w:val="24"/>
          <w:szCs w:val="24"/>
          <w:u w:val="none"/>
        </w:rPr>
        <w:t>Front Microbiol.</w:t>
      </w:r>
      <w:r>
        <w:rPr>
          <w:rStyle w:val="13"/>
          <w:rFonts w:ascii="Times New Roman" w:hAnsi="Times New Roman"/>
          <w:b/>
          <w:color w:val="auto"/>
          <w:sz w:val="24"/>
          <w:szCs w:val="24"/>
          <w:u w:val="none"/>
        </w:rPr>
        <w:fldChar w:fldCharType="end"/>
      </w:r>
      <w:r>
        <w:rPr>
          <w:rFonts w:ascii="Times New Roman" w:hAnsi="Times New Roman"/>
          <w:sz w:val="24"/>
          <w:szCs w:val="24"/>
        </w:rPr>
        <w:t>, 13, 2023, 937940, doi: </w:t>
      </w:r>
      <w:r>
        <w:fldChar w:fldCharType="begin"/>
      </w:r>
      <w:r>
        <w:instrText xml:space="preserve"> HYPERLINK "https://doi.org/10.3389%2Ffmicb.2022.937940" \t "_blank" </w:instrText>
      </w:r>
      <w:r>
        <w:fldChar w:fldCharType="separate"/>
      </w:r>
      <w:r>
        <w:rPr>
          <w:rStyle w:val="13"/>
          <w:rFonts w:ascii="Times New Roman" w:hAnsi="Times New Roman"/>
          <w:color w:val="auto"/>
          <w:sz w:val="24"/>
          <w:szCs w:val="24"/>
          <w:u w:val="none"/>
        </w:rPr>
        <w:t>10.3389/fmicb.2022.937940</w:t>
      </w:r>
      <w:r>
        <w:rPr>
          <w:rStyle w:val="13"/>
          <w:rFonts w:ascii="Times New Roman" w:hAnsi="Times New Roman"/>
          <w:color w:val="auto"/>
          <w:sz w:val="24"/>
          <w:szCs w:val="24"/>
          <w:u w:val="none"/>
        </w:rPr>
        <w:fldChar w:fldCharType="end"/>
      </w:r>
      <w:r>
        <w:rPr>
          <w:rFonts w:ascii="Times New Roman" w:hAnsi="Times New Roman"/>
          <w:sz w:val="24"/>
          <w:szCs w:val="24"/>
        </w:rPr>
        <w:t>,</w:t>
      </w:r>
      <w:r>
        <w:rPr>
          <w:rFonts w:ascii="Times New Roman" w:hAnsi="Times New Roman"/>
          <w:bCs/>
          <w:sz w:val="24"/>
          <w:szCs w:val="24"/>
        </w:rPr>
        <w:t xml:space="preserve"> PMCID: PMC9581264, PMID: </w:t>
      </w:r>
      <w:r>
        <w:fldChar w:fldCharType="begin"/>
      </w:r>
      <w:r>
        <w:instrText xml:space="preserve"> HYPERLINK "https://pubmed.ncbi.nlm.nih.gov/36274740" </w:instrText>
      </w:r>
      <w:r>
        <w:fldChar w:fldCharType="separate"/>
      </w:r>
      <w:r>
        <w:rPr>
          <w:rStyle w:val="13"/>
          <w:rFonts w:ascii="Times New Roman" w:hAnsi="Times New Roman"/>
          <w:bCs/>
          <w:color w:val="auto"/>
          <w:sz w:val="24"/>
          <w:szCs w:val="24"/>
          <w:u w:val="none"/>
        </w:rPr>
        <w:t>36274740</w:t>
      </w:r>
      <w:r>
        <w:rPr>
          <w:rStyle w:val="13"/>
          <w:rFonts w:ascii="Times New Roman" w:hAnsi="Times New Roman"/>
          <w:bCs/>
          <w:color w:val="auto"/>
          <w:sz w:val="24"/>
          <w:szCs w:val="24"/>
          <w:u w:val="none"/>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Wołejko, E., Łozowicka, B., Jabłońska-T. A., Pietruszyńska, M., &amp; Wydro, U. 2022, </w:t>
      </w:r>
      <w:r>
        <w:rPr>
          <w:rFonts w:ascii="Times New Roman" w:hAnsi="Times New Roman"/>
          <w:i/>
          <w:color w:val="000000" w:themeColor="text1"/>
          <w:sz w:val="24"/>
          <w:szCs w:val="24"/>
          <w14:textFill>
            <w14:solidFill>
              <w14:schemeClr w14:val="tx1"/>
            </w14:solidFill>
          </w14:textFill>
        </w:rPr>
        <w:t>Chlorpyrifos Occurrence and Toxicological Risk Assessment</w:t>
      </w:r>
      <w:r>
        <w:rPr>
          <w:rFonts w:ascii="Times New Roman" w:hAnsi="Times New Roman"/>
          <w:color w:val="000000" w:themeColor="text1"/>
          <w:sz w:val="24"/>
          <w:szCs w:val="24"/>
          <w14:textFill>
            <w14:solidFill>
              <w14:schemeClr w14:val="tx1"/>
            </w14:solidFill>
          </w14:textFill>
        </w:rPr>
        <w:t>: A Review. </w:t>
      </w:r>
      <w:r>
        <w:rPr>
          <w:rFonts w:ascii="Times New Roman" w:hAnsi="Times New Roman"/>
          <w:b/>
          <w:color w:val="000000" w:themeColor="text1"/>
          <w:sz w:val="24"/>
          <w:szCs w:val="24"/>
          <w14:textFill>
            <w14:solidFill>
              <w14:schemeClr w14:val="tx1"/>
            </w14:solidFill>
          </w14:textFill>
        </w:rPr>
        <w:t>International journal of environmental research and public health</w:t>
      </w:r>
      <w:r>
        <w:rPr>
          <w:rFonts w:ascii="Times New Roman" w:hAnsi="Times New Roman"/>
          <w:color w:val="000000" w:themeColor="text1"/>
          <w:sz w:val="24"/>
          <w:szCs w:val="24"/>
          <w14:textFill>
            <w14:solidFill>
              <w14:schemeClr w14:val="tx1"/>
            </w14:solidFill>
          </w14:textFill>
        </w:rPr>
        <w:t>, 19(19), 2022, 12209. https://doi.org/10.3390/ijerph191912209</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Wong, J., de Bruyn, J.,. Bagnol B., Grieve H., Li M, Pym R. &amp; Alders R., </w:t>
      </w:r>
      <w:r>
        <w:rPr>
          <w:rFonts w:ascii="Times New Roman" w:hAnsi="Times New Roman"/>
          <w:i/>
          <w:color w:val="000000" w:themeColor="text1"/>
          <w:sz w:val="24"/>
          <w:szCs w:val="24"/>
          <w14:textFill>
            <w14:solidFill>
              <w14:schemeClr w14:val="tx1"/>
            </w14:solidFill>
          </w14:textFill>
        </w:rPr>
        <w:t>Small-Scale Poultry and Food Security in Resource-Poor Settings: A Review</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Glob. Food Secure.</w:t>
      </w:r>
      <w:r>
        <w:rPr>
          <w:rFonts w:ascii="Times New Roman" w:hAnsi="Times New Roman"/>
          <w:color w:val="000000" w:themeColor="text1"/>
          <w:sz w:val="24"/>
          <w:szCs w:val="24"/>
          <w14:textFill>
            <w14:solidFill>
              <w14:schemeClr w14:val="tx1"/>
            </w14:solidFill>
          </w14:textFill>
        </w:rPr>
        <w:t>,</w:t>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color w:val="000000" w:themeColor="text1"/>
          <w:sz w:val="24"/>
          <w:szCs w:val="24"/>
          <w14:textFill>
            <w14:solidFill>
              <w14:schemeClr w14:val="tx1"/>
            </w14:solidFill>
          </w14:textFill>
        </w:rPr>
        <w:t>15, 2017, 43-52</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Xu, L., Yi, M., Yi, H., Guo, E., &amp; Zhang, A., </w:t>
      </w:r>
      <w:r>
        <w:rPr>
          <w:rFonts w:ascii="Times New Roman" w:hAnsi="Times New Roman"/>
          <w:i/>
          <w:color w:val="000000" w:themeColor="text1"/>
          <w:sz w:val="24"/>
          <w:szCs w:val="24"/>
          <w14:textFill>
            <w14:solidFill>
              <w14:schemeClr w14:val="tx1"/>
            </w14:solidFill>
          </w14:textFill>
        </w:rPr>
        <w:t>Manure and Mineral Fertilization Change Enzyme Activity and Bacterial Community in Millet Rhizosphere Soils</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World J.</w:t>
      </w:r>
      <w:r>
        <w:rPr>
          <w:rFonts w:ascii="Times New Roman" w:hAnsi="Times New Roman"/>
          <w:b/>
          <w:bCs/>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Microbiol. Biotechnol.</w:t>
      </w:r>
      <w:r>
        <w:rPr>
          <w:rFonts w:ascii="Times New Roman" w:hAnsi="Times New Roman"/>
          <w:color w:val="000000" w:themeColor="text1"/>
          <w:sz w:val="24"/>
          <w:szCs w:val="24"/>
          <w14:textFill>
            <w14:solidFill>
              <w14:schemeClr w14:val="tx1"/>
            </w14:solidFill>
          </w14:textFill>
        </w:rPr>
        <w:t>, 34, 2018, 8, https://doi.org/10.1007/s11274-017-2394-3</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Yanmei W., Yusheng C., Zhaofa S, &amp; Wenjie S. </w:t>
      </w:r>
      <w:r>
        <w:rPr>
          <w:rFonts w:ascii="Times New Roman" w:hAnsi="Times New Roman"/>
          <w:i/>
          <w:color w:val="000000" w:themeColor="text1"/>
          <w:sz w:val="24"/>
          <w:szCs w:val="24"/>
          <w14:textFill>
            <w14:solidFill>
              <w14:schemeClr w14:val="tx1"/>
            </w14:solidFill>
          </w14:textFill>
        </w:rPr>
        <w:t>The Structural Characteristics and Driving Mechanism of Collaborative Innovation Network for Saline–alkali Land Development in China</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Land Degradation &amp; Development</w:t>
      </w:r>
      <w:r>
        <w:rPr>
          <w:rFonts w:ascii="Times New Roman" w:hAnsi="Times New Roman"/>
          <w:color w:val="000000" w:themeColor="text1"/>
          <w:sz w:val="24"/>
          <w:szCs w:val="24"/>
          <w14:textFill>
            <w14:solidFill>
              <w14:schemeClr w14:val="tx1"/>
            </w14:solidFill>
          </w14:textFill>
        </w:rPr>
        <w:t xml:space="preserve"> 34(15), 2023, 4667- 4679</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Yijie, Z., Chen, Y., Yingwei, S., Weicheng P., Rong, L., Yixiang, L., Huichuan, H., Xiahong, H., Min, Y. &amp; Shusheng, Z., </w:t>
      </w:r>
      <w:r>
        <w:rPr>
          <w:rFonts w:ascii="Times New Roman" w:hAnsi="Times New Roman"/>
          <w:i/>
          <w:color w:val="000000" w:themeColor="text1"/>
          <w:sz w:val="24"/>
          <w:szCs w:val="24"/>
          <w14:textFill>
            <w14:solidFill>
              <w14:schemeClr w14:val="tx1"/>
            </w14:solidFill>
          </w14:textFill>
        </w:rPr>
        <w:t>Soil Acidification caused by excessive application of nitrogen fertilizer aggravates soil-borne diseases: Evidence from literature review and field trials, Agriculture</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Ecosystems and Environment</w:t>
      </w:r>
      <w:r>
        <w:rPr>
          <w:rFonts w:ascii="Times New Roman" w:hAnsi="Times New Roman"/>
          <w:color w:val="000000" w:themeColor="text1"/>
          <w:sz w:val="24"/>
          <w:szCs w:val="24"/>
          <w14:textFill>
            <w14:solidFill>
              <w14:schemeClr w14:val="tx1"/>
            </w14:solidFill>
          </w14:textFill>
        </w:rPr>
        <w:t>, 340, 2022, 108176, https://doi.org/10.1016/j.agee.2022.108176.</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Yuan H, Cheung CYM, Hilbers PAJ, &amp; van Riel, N. A. W., Flux Balance Analysis of Plant Metabolism: </w:t>
      </w:r>
      <w:r>
        <w:rPr>
          <w:rFonts w:ascii="Times New Roman" w:hAnsi="Times New Roman"/>
          <w:i/>
          <w:color w:val="000000" w:themeColor="text1"/>
          <w:sz w:val="24"/>
          <w:szCs w:val="24"/>
          <w14:textFill>
            <w14:solidFill>
              <w14:schemeClr w14:val="tx1"/>
            </w14:solidFill>
          </w14:textFill>
        </w:rPr>
        <w:t>The Effect of Biomass Composition and Model Structure on Model Predictions</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Front. Plant Sci.</w:t>
      </w:r>
      <w:r>
        <w:rPr>
          <w:rFonts w:ascii="Times New Roman" w:hAnsi="Times New Roman"/>
          <w:color w:val="000000" w:themeColor="text1"/>
          <w:sz w:val="24"/>
          <w:szCs w:val="24"/>
          <w14:textFill>
            <w14:solidFill>
              <w14:schemeClr w14:val="tx1"/>
            </w14:solidFill>
          </w14:textFill>
        </w:rPr>
        <w:t xml:space="preserve">, 7, 2016, 537. doi: 10.3389/fpls.2016.00537 </w:t>
      </w:r>
    </w:p>
    <w:p>
      <w:pPr>
        <w:tabs>
          <w:tab w:val="left" w:pos="630"/>
        </w:tabs>
        <w:spacing w:after="240" w:line="276" w:lineRule="auto"/>
        <w:ind w:left="567" w:hanging="567"/>
        <w:jc w:val="both"/>
        <w:rPr>
          <w:rFonts w:ascii="Times New Roman" w:hAnsi="Times New Roman"/>
          <w:bCs/>
          <w:color w:val="000000" w:themeColor="text1"/>
          <w:sz w:val="24"/>
          <w:szCs w:val="24"/>
          <w14:textFill>
            <w14:solidFill>
              <w14:schemeClr w14:val="tx1"/>
            </w14:solidFill>
          </w14:textFill>
        </w:rPr>
      </w:pPr>
      <w:r>
        <w:rPr>
          <w:rFonts w:ascii="Times New Roman" w:hAnsi="Times New Roman"/>
          <w:bCs/>
          <w:color w:val="000000" w:themeColor="text1"/>
          <w:sz w:val="24"/>
          <w:szCs w:val="24"/>
          <w14:textFill>
            <w14:solidFill>
              <w14:schemeClr w14:val="tx1"/>
            </w14:solidFill>
          </w14:textFill>
        </w:rPr>
        <w:t>Yves U, Mbezele J, Yannick N.,Mingxia Y, ,Ahmed S.  E, Zhujun</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 xml:space="preserve"> C.</w:t>
      </w:r>
      <w:r>
        <w:rPr>
          <w:rFonts w:ascii="Times New Roman" w:hAnsi="Times New Roman"/>
          <w:bCs/>
          <w:color w:val="000000" w:themeColor="text1"/>
          <w:sz w:val="24"/>
          <w:szCs w:val="24"/>
          <w:vertAlign w:val="superscript"/>
          <w14:textFill>
            <w14:solidFill>
              <w14:schemeClr w14:val="tx1"/>
            </w14:solidFill>
          </w14:textFill>
        </w:rPr>
        <w:t> </w:t>
      </w:r>
      <w:r>
        <w:rPr>
          <w:rFonts w:ascii="Times New Roman" w:hAnsi="Times New Roman"/>
          <w:bCs/>
          <w:color w:val="000000" w:themeColor="text1"/>
          <w:sz w:val="24"/>
          <w:szCs w:val="24"/>
          <w14:textFill>
            <w14:solidFill>
              <w14:schemeClr w14:val="tx1"/>
            </w14:solidFill>
          </w14:textFill>
        </w:rPr>
        <w:t>&amp;Jianbin Z.</w:t>
      </w:r>
      <w:r>
        <w:rPr>
          <w:rFonts w:ascii="Times New Roman" w:hAnsi="Times New Roman"/>
          <w:bCs/>
          <w:i/>
          <w:color w:val="000000" w:themeColor="text1"/>
          <w:sz w:val="24"/>
          <w:szCs w:val="24"/>
          <w14:textFill>
            <w14:solidFill>
              <w14:schemeClr w14:val="tx1"/>
            </w14:solidFill>
          </w14:textFill>
        </w:rPr>
        <w:t xml:space="preserve"> Spatially Explicit Soil Acidification under Optimized Fertilizer Use in Sub-Saharan Africa, </w:t>
      </w:r>
      <w:r>
        <w:rPr>
          <w:rFonts w:ascii="Times New Roman" w:hAnsi="Times New Roman"/>
          <w:b/>
          <w:bCs/>
          <w:color w:val="000000" w:themeColor="text1"/>
          <w:sz w:val="24"/>
          <w:szCs w:val="24"/>
          <w14:textFill>
            <w14:solidFill>
              <w14:schemeClr w14:val="tx1"/>
            </w14:solidFill>
          </w14:textFill>
        </w:rPr>
        <w:t>Agronomy</w:t>
      </w:r>
      <w:r>
        <w:rPr>
          <w:rFonts w:ascii="Times New Roman" w:hAnsi="Times New Roman"/>
          <w:bCs/>
          <w:color w:val="000000" w:themeColor="text1"/>
          <w:sz w:val="24"/>
          <w:szCs w:val="24"/>
          <w14:textFill>
            <w14:solidFill>
              <w14:schemeClr w14:val="tx1"/>
            </w14:solidFill>
          </w14:textFill>
        </w:rPr>
        <w:t>,</w:t>
      </w:r>
      <w:r>
        <w:rPr>
          <w:rFonts w:ascii="Times New Roman" w:hAnsi="Times New Roman"/>
          <w:bCs/>
          <w:i/>
          <w:color w:val="000000" w:themeColor="text1"/>
          <w:sz w:val="24"/>
          <w:szCs w:val="24"/>
          <w14:textFill>
            <w14:solidFill>
              <w14:schemeClr w14:val="tx1"/>
            </w14:solidFill>
          </w14:textFill>
        </w:rPr>
        <w:t xml:space="preserve"> </w:t>
      </w:r>
      <w:r>
        <w:rPr>
          <w:rFonts w:ascii="Times New Roman" w:hAnsi="Times New Roman"/>
          <w:bCs/>
          <w:iCs/>
          <w:color w:val="000000" w:themeColor="text1"/>
          <w:sz w:val="24"/>
          <w:szCs w:val="24"/>
          <w14:textFill>
            <w14:solidFill>
              <w14:schemeClr w14:val="tx1"/>
            </w14:solidFill>
          </w14:textFill>
        </w:rPr>
        <w:t>13</w:t>
      </w:r>
      <w:r>
        <w:rPr>
          <w:rFonts w:ascii="Times New Roman" w:hAnsi="Times New Roman"/>
          <w:bCs/>
          <w:color w:val="000000" w:themeColor="text1"/>
          <w:sz w:val="24"/>
          <w:szCs w:val="24"/>
          <w14:textFill>
            <w14:solidFill>
              <w14:schemeClr w14:val="tx1"/>
            </w14:solidFill>
          </w14:textFill>
        </w:rPr>
        <w:t>(3), 2023, 632</w:t>
      </w:r>
      <w:r>
        <w:rPr>
          <w:rFonts w:ascii="Times New Roman" w:hAnsi="Times New Roman"/>
          <w:b/>
          <w:bCs/>
          <w:sz w:val="24"/>
          <w:szCs w:val="24"/>
        </w:rPr>
        <w:t xml:space="preserve">: </w:t>
      </w:r>
      <w:r>
        <w:fldChar w:fldCharType="begin"/>
      </w:r>
      <w:r>
        <w:instrText xml:space="preserve"> HYPERLINK "https://doi.org/10.3390/agronomy13030632" </w:instrText>
      </w:r>
      <w:r>
        <w:fldChar w:fldCharType="separate"/>
      </w:r>
      <w:r>
        <w:rPr>
          <w:rStyle w:val="13"/>
          <w:rFonts w:ascii="Times New Roman" w:hAnsi="Times New Roman"/>
          <w:bCs/>
          <w:color w:val="auto"/>
          <w:sz w:val="24"/>
          <w:szCs w:val="24"/>
          <w:u w:val="none"/>
        </w:rPr>
        <w:t>https://doi.org/10.3390/agronomy13030632</w:t>
      </w:r>
      <w:r>
        <w:rPr>
          <w:rStyle w:val="13"/>
          <w:rFonts w:ascii="Times New Roman" w:hAnsi="Times New Roman"/>
          <w:bCs/>
          <w:color w:val="auto"/>
          <w:sz w:val="24"/>
          <w:szCs w:val="24"/>
          <w:u w:val="none"/>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 Zhan J, Li Y, Zhao X, Yang H, Ning Z., &amp; Zhang R., </w:t>
      </w:r>
      <w:r>
        <w:rPr>
          <w:rFonts w:ascii="Times New Roman" w:hAnsi="Times New Roman"/>
          <w:i/>
          <w:color w:val="000000" w:themeColor="text1"/>
          <w:sz w:val="24"/>
          <w:szCs w:val="24"/>
          <w14:textFill>
            <w14:solidFill>
              <w14:schemeClr w14:val="tx1"/>
            </w14:solidFill>
          </w14:textFill>
        </w:rPr>
        <w:t>Effects of Nitrogen Addition and Plant Litter Manipulation on Soil Fungal and Bacterial Communities in a Semiarid Sandy Land.</w:t>
      </w:r>
      <w:r>
        <w:rPr>
          <w:rFonts w:ascii="Times New Roman" w:hAnsi="Times New Roman"/>
          <w:color w:val="000000" w:themeColor="text1"/>
          <w:sz w:val="24"/>
          <w:szCs w:val="24"/>
          <w14:textFill>
            <w14:solidFill>
              <w14:schemeClr w14:val="tx1"/>
            </w14:solidFill>
          </w14:textFill>
        </w:rPr>
        <w:t> </w:t>
      </w:r>
      <w:r>
        <w:rPr>
          <w:rFonts w:ascii="Times New Roman" w:hAnsi="Times New Roman"/>
          <w:b/>
          <w:color w:val="000000" w:themeColor="text1"/>
          <w:sz w:val="24"/>
          <w:szCs w:val="24"/>
          <w14:textFill>
            <w14:solidFill>
              <w14:schemeClr w14:val="tx1"/>
            </w14:solidFill>
          </w14:textFill>
        </w:rPr>
        <w:t>Front. Microbiol</w:t>
      </w:r>
      <w:r>
        <w:rPr>
          <w:rFonts w:ascii="Times New Roman" w:hAnsi="Times New Roman"/>
          <w:color w:val="000000" w:themeColor="text1"/>
          <w:sz w:val="24"/>
          <w:szCs w:val="24"/>
          <w14:textFill>
            <w14:solidFill>
              <w14:schemeClr w14:val="tx1"/>
            </w14:solidFill>
          </w14:textFill>
        </w:rPr>
        <w:t>., 14, 2023, 1013570. doi: 10.3389/fmicb.2023.1013570</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Zhang, J., Ke J., Yonghong L., Lan Du, Ru T., Shan W,, Yan S, Jiatao Z, Na Li , &amp; Wenqian S., </w:t>
      </w:r>
      <w:r>
        <w:rPr>
          <w:rFonts w:ascii="Times New Roman" w:hAnsi="Times New Roman"/>
          <w:i/>
          <w:color w:val="000000" w:themeColor="text1"/>
          <w:sz w:val="24"/>
          <w:szCs w:val="24"/>
          <w14:textFill>
            <w14:solidFill>
              <w14:schemeClr w14:val="tx1"/>
            </w14:solidFill>
          </w14:textFill>
        </w:rPr>
        <w:t>"Responses of Soil Enzyme Activity to Long-Term Nitrogen Enrichment and Water Addition in a Typical Steppe</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Agronomy</w:t>
      </w:r>
      <w:r>
        <w:rPr>
          <w:rFonts w:ascii="Times New Roman" w:hAnsi="Times New Roman"/>
          <w:color w:val="000000" w:themeColor="text1"/>
          <w:sz w:val="24"/>
          <w:szCs w:val="24"/>
          <w14:textFill>
            <w14:solidFill>
              <w14:schemeClr w14:val="tx1"/>
            </w14:solidFill>
          </w14:textFill>
        </w:rPr>
        <w:t xml:space="preserve">, 13(7), 2023, 1920. </w:t>
      </w:r>
      <w:r>
        <w:fldChar w:fldCharType="begin"/>
      </w:r>
      <w:r>
        <w:instrText xml:space="preserve"> HYPERLINK "https://doi.org/10.3390/agronomy13071920" </w:instrText>
      </w:r>
      <w:r>
        <w:fldChar w:fldCharType="separate"/>
      </w:r>
      <w:r>
        <w:rPr>
          <w:rStyle w:val="13"/>
          <w:rFonts w:ascii="Times New Roman" w:hAnsi="Times New Roman"/>
          <w:color w:val="auto"/>
          <w:sz w:val="24"/>
          <w:szCs w:val="24"/>
          <w:u w:val="none"/>
        </w:rPr>
        <w:t>https://doi.org/10.3390/agronomy13071920</w:t>
      </w:r>
      <w:r>
        <w:rPr>
          <w:rStyle w:val="13"/>
          <w:rFonts w:ascii="Times New Roman" w:hAnsi="Times New Roman"/>
          <w:color w:val="auto"/>
          <w:sz w:val="24"/>
          <w:szCs w:val="24"/>
          <w:u w:val="none"/>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Zhang, Z., Wang D., &amp; Li M,  </w:t>
      </w:r>
      <w:r>
        <w:rPr>
          <w:rFonts w:ascii="Times New Roman" w:hAnsi="Times New Roman"/>
          <w:i/>
          <w:color w:val="000000" w:themeColor="text1"/>
          <w:sz w:val="24"/>
          <w:szCs w:val="24"/>
          <w14:textFill>
            <w14:solidFill>
              <w14:schemeClr w14:val="tx1"/>
            </w14:solidFill>
          </w14:textFill>
        </w:rPr>
        <w:t>Soil Respiration, Aggregate Stability and Nutrient Availability Affected by Drying Duration and Drying-rewetting Frequency</w:t>
      </w:r>
      <w:r>
        <w:rPr>
          <w:rFonts w:ascii="Times New Roman" w:hAnsi="Times New Roman"/>
          <w:color w:val="000000" w:themeColor="text1"/>
          <w:sz w:val="24"/>
          <w:szCs w:val="24"/>
          <w14:textFill>
            <w14:solidFill>
              <w14:schemeClr w14:val="tx1"/>
            </w14:solidFill>
          </w14:textFill>
        </w:rPr>
        <w:t xml:space="preserve">, </w:t>
      </w:r>
      <w:r>
        <w:rPr>
          <w:rFonts w:ascii="Times New Roman" w:hAnsi="Times New Roman"/>
          <w:b/>
          <w:color w:val="000000" w:themeColor="text1"/>
          <w:sz w:val="24"/>
          <w:szCs w:val="24"/>
          <w14:textFill>
            <w14:solidFill>
              <w14:schemeClr w14:val="tx1"/>
            </w14:solidFill>
          </w14:textFill>
        </w:rPr>
        <w:t xml:space="preserve">Geoderma, </w:t>
      </w:r>
      <w:r>
        <w:rPr>
          <w:rFonts w:ascii="Times New Roman" w:hAnsi="Times New Roman"/>
          <w:color w:val="000000" w:themeColor="text1"/>
          <w:sz w:val="24"/>
          <w:szCs w:val="24"/>
          <w14:textFill>
            <w14:solidFill>
              <w14:schemeClr w14:val="tx1"/>
            </w14:solidFill>
          </w14:textFill>
        </w:rPr>
        <w:t>413, 2022, 115743</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Zheng, H, Junping T, Yanbin W. &amp; Fengjiao M. A., </w:t>
      </w:r>
      <w:r>
        <w:rPr>
          <w:rFonts w:ascii="Times New Roman" w:hAnsi="Times New Roman"/>
          <w:i/>
          <w:color w:val="000000" w:themeColor="text1"/>
          <w:sz w:val="24"/>
          <w:szCs w:val="24"/>
          <w14:textFill>
            <w14:solidFill>
              <w14:schemeClr w14:val="tx1"/>
            </w14:solidFill>
          </w14:textFill>
        </w:rPr>
        <w:t xml:space="preserve">Soil Environmental Quality Assessment Model Based on Data Fusion and Its Application in Hebei Province, </w:t>
      </w:r>
      <w:r>
        <w:rPr>
          <w:rFonts w:ascii="Times New Roman" w:hAnsi="Times New Roman"/>
          <w:b/>
          <w:color w:val="000000" w:themeColor="text1"/>
          <w:sz w:val="24"/>
          <w:szCs w:val="24"/>
          <w14:textFill>
            <w14:solidFill>
              <w14:schemeClr w14:val="tx1"/>
            </w14:solidFill>
          </w14:textFill>
        </w:rPr>
        <w:t>Sustainability</w:t>
      </w:r>
      <w:r>
        <w:rPr>
          <w:rFonts w:ascii="Times New Roman" w:hAnsi="Times New Roman"/>
          <w:i/>
          <w:color w:val="000000" w:themeColor="text1"/>
          <w:sz w:val="24"/>
          <w:szCs w:val="24"/>
          <w14:textFill>
            <w14:solidFill>
              <w14:schemeClr w14:val="tx1"/>
            </w14:solidFill>
          </w14:textFill>
        </w:rPr>
        <w:t>,</w:t>
      </w:r>
      <w:r>
        <w:rPr>
          <w:rFonts w:ascii="Times New Roman" w:hAnsi="Times New Roman"/>
          <w:color w:val="000000" w:themeColor="text1"/>
          <w:sz w:val="24"/>
          <w:szCs w:val="24"/>
          <w14:textFill>
            <w14:solidFill>
              <w14:schemeClr w14:val="tx1"/>
            </w14:solidFill>
          </w14:textFill>
        </w:rPr>
        <w:t xml:space="preserve"> 10, 2020, 3390/su12176804, 12, 17, 6804,</w:t>
      </w:r>
    </w:p>
    <w:p>
      <w:pPr>
        <w:tabs>
          <w:tab w:val="left" w:pos="630"/>
        </w:tabs>
        <w:spacing w:after="240" w:line="276" w:lineRule="auto"/>
        <w:ind w:left="567" w:hanging="567"/>
        <w:jc w:val="both"/>
        <w:rPr>
          <w:rFonts w:ascii="Times New Roman" w:hAnsi="Times New Roman"/>
          <w:bCs/>
          <w:sz w:val="24"/>
          <w:szCs w:val="24"/>
        </w:rPr>
      </w:pPr>
      <w:r>
        <w:rPr>
          <w:rFonts w:ascii="Times New Roman" w:hAnsi="Times New Roman"/>
          <w:bCs/>
          <w:color w:val="000000" w:themeColor="text1"/>
          <w:sz w:val="24"/>
          <w:szCs w:val="24"/>
          <w14:textFill>
            <w14:solidFill>
              <w14:schemeClr w14:val="tx1"/>
            </w14:solidFill>
          </w14:textFill>
        </w:rPr>
        <w:t>Zhongxue Z., Xiaofang L, Bijun Z., Guy M. R. &amp; Bingjie S</w:t>
      </w:r>
      <w:r>
        <w:rPr>
          <w:rFonts w:ascii="Times New Roman" w:hAnsi="Times New Roman"/>
          <w:bCs/>
          <w:i/>
          <w:color w:val="000000" w:themeColor="text1"/>
          <w:sz w:val="24"/>
          <w:szCs w:val="24"/>
          <w14:textFill>
            <w14:solidFill>
              <w14:schemeClr w14:val="tx1"/>
            </w14:solidFill>
          </w14:textFill>
        </w:rPr>
        <w:t>.  Agricultural Transformation and Its Impact on Ecosystem Services and Human Well-Being in Peri-Urban Areas</w:t>
      </w:r>
      <w:r>
        <w:rPr>
          <w:rFonts w:ascii="Times New Roman" w:hAnsi="Times New Roman"/>
          <w:bCs/>
          <w:color w:val="000000" w:themeColor="text1"/>
          <w:sz w:val="24"/>
          <w:szCs w:val="24"/>
          <w14:textFill>
            <w14:solidFill>
              <w14:schemeClr w14:val="tx1"/>
            </w14:solidFill>
          </w14:textFill>
        </w:rPr>
        <w:t xml:space="preserve">: The Case of Xi’an, China, </w:t>
      </w:r>
      <w:r>
        <w:fldChar w:fldCharType="begin"/>
      </w:r>
      <w:r>
        <w:instrText xml:space="preserve"> HYPERLINK "https://www.mdpi.com/about/journals" </w:instrText>
      </w:r>
      <w:r>
        <w:fldChar w:fldCharType="separate"/>
      </w:r>
      <w:r>
        <w:rPr>
          <w:rStyle w:val="13"/>
          <w:rFonts w:ascii="Times New Roman" w:hAnsi="Times New Roman"/>
          <w:b/>
          <w:bCs/>
          <w:color w:val="auto"/>
          <w:sz w:val="24"/>
          <w:szCs w:val="24"/>
          <w:u w:val="none"/>
        </w:rPr>
        <w:t>Journals</w:t>
      </w:r>
      <w:r>
        <w:rPr>
          <w:rStyle w:val="13"/>
          <w:rFonts w:ascii="Times New Roman" w:hAnsi="Times New Roman"/>
          <w:b/>
          <w:bCs/>
          <w:color w:val="auto"/>
          <w:sz w:val="24"/>
          <w:szCs w:val="24"/>
          <w:u w:val="none"/>
        </w:rPr>
        <w:fldChar w:fldCharType="end"/>
      </w:r>
      <w:r>
        <w:rPr>
          <w:rFonts w:ascii="Times New Roman" w:hAnsi="Times New Roman"/>
          <w:b/>
          <w:bCs/>
          <w:sz w:val="24"/>
          <w:szCs w:val="24"/>
        </w:rPr>
        <w:t> </w:t>
      </w:r>
      <w:r>
        <w:fldChar w:fldCharType="begin"/>
      </w:r>
      <w:r>
        <w:instrText xml:space="preserve"> HYPERLINK "https://www.mdpi.com/journal/land" </w:instrText>
      </w:r>
      <w:r>
        <w:fldChar w:fldCharType="separate"/>
      </w:r>
      <w:r>
        <w:rPr>
          <w:rStyle w:val="13"/>
          <w:rFonts w:ascii="Times New Roman" w:hAnsi="Times New Roman"/>
          <w:b/>
          <w:bCs/>
          <w:color w:val="auto"/>
          <w:sz w:val="24"/>
          <w:szCs w:val="24"/>
          <w:u w:val="none"/>
        </w:rPr>
        <w:t>Land</w:t>
      </w:r>
      <w:r>
        <w:rPr>
          <w:rStyle w:val="13"/>
          <w:rFonts w:ascii="Times New Roman" w:hAnsi="Times New Roman"/>
          <w:b/>
          <w:bCs/>
          <w:color w:val="auto"/>
          <w:sz w:val="24"/>
          <w:szCs w:val="24"/>
          <w:u w:val="none"/>
        </w:rPr>
        <w:fldChar w:fldCharType="end"/>
      </w:r>
      <w:r>
        <w:rPr>
          <w:rFonts w:ascii="Times New Roman" w:hAnsi="Times New Roman"/>
          <w:bCs/>
          <w:color w:val="000000" w:themeColor="text1"/>
          <w:sz w:val="24"/>
          <w:szCs w:val="24"/>
          <w14:textFill>
            <w14:solidFill>
              <w14:schemeClr w14:val="tx1"/>
            </w14:solidFill>
          </w14:textFill>
        </w:rPr>
        <w:t xml:space="preserve"> , 11(1), 2022, 110 , </w:t>
      </w:r>
      <w:r>
        <w:fldChar w:fldCharType="begin"/>
      </w:r>
      <w:r>
        <w:instrText xml:space="preserve"> HYPERLINK "https://doi.org/10.3390/land11010110" </w:instrText>
      </w:r>
      <w:r>
        <w:fldChar w:fldCharType="separate"/>
      </w:r>
      <w:r>
        <w:rPr>
          <w:rStyle w:val="13"/>
          <w:rFonts w:ascii="Times New Roman" w:hAnsi="Times New Roman"/>
          <w:bCs/>
          <w:color w:val="auto"/>
          <w:sz w:val="24"/>
          <w:szCs w:val="24"/>
          <w:u w:val="none"/>
        </w:rPr>
        <w:t>https://doi.org/10.3390/land11010110</w:t>
      </w:r>
      <w:r>
        <w:rPr>
          <w:rStyle w:val="13"/>
          <w:rFonts w:ascii="Times New Roman" w:hAnsi="Times New Roman"/>
          <w:bCs/>
          <w:color w:val="auto"/>
          <w:sz w:val="24"/>
          <w:szCs w:val="24"/>
          <w:u w:val="none"/>
        </w:rPr>
        <w:fldChar w:fldCharType="end"/>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Zhu, Yizu, Yaying L,, Ningguo Z,, Stephen J. C.,  &amp; Huaiying Y.,</w:t>
      </w:r>
      <w:r>
        <w:rPr>
          <w:rFonts w:ascii="Times New Roman" w:hAnsi="Times New Roman"/>
          <w:i/>
          <w:color w:val="000000" w:themeColor="text1"/>
          <w:sz w:val="24"/>
          <w:szCs w:val="24"/>
          <w14:textFill>
            <w14:solidFill>
              <w14:schemeClr w14:val="tx1"/>
            </w14:solidFill>
          </w14:textFill>
        </w:rPr>
        <w:t xml:space="preserve"> "Similar but Not Identical Resuscitation Trajectories of the Soil Microbial Community   Based on Either DNA or RNA after Flooding",</w:t>
      </w:r>
      <w:r>
        <w:rPr>
          <w:rFonts w:ascii="Times New Roman" w:hAnsi="Times New Roman"/>
          <w:color w:val="000000" w:themeColor="text1"/>
          <w:sz w:val="24"/>
          <w:szCs w:val="24"/>
          <w14:textFill>
            <w14:solidFill>
              <w14:schemeClr w14:val="tx1"/>
            </w14:solidFill>
          </w14:textFill>
        </w:rPr>
        <w:t> </w:t>
      </w:r>
      <w:r>
        <w:rPr>
          <w:rFonts w:ascii="Times New Roman" w:hAnsi="Times New Roman"/>
          <w:b/>
          <w:iCs/>
          <w:color w:val="000000" w:themeColor="text1"/>
          <w:sz w:val="24"/>
          <w:szCs w:val="24"/>
          <w14:textFill>
            <w14:solidFill>
              <w14:schemeClr w14:val="tx1"/>
            </w14:solidFill>
          </w14:textFill>
        </w:rPr>
        <w:t>Agronomy</w:t>
      </w:r>
      <w:r>
        <w:rPr>
          <w:rFonts w:ascii="Times New Roman" w:hAnsi="Times New Roman"/>
          <w:color w:val="000000" w:themeColor="text1"/>
          <w:sz w:val="24"/>
          <w:szCs w:val="24"/>
          <w14:textFill>
            <w14:solidFill>
              <w14:schemeClr w14:val="tx1"/>
            </w14:solidFill>
          </w14:textFill>
        </w:rPr>
        <w:t xml:space="preserve">, 10(4), 2020, 502. </w:t>
      </w:r>
      <w:r>
        <w:fldChar w:fldCharType="begin"/>
      </w:r>
      <w:r>
        <w:instrText xml:space="preserve"> HYPERLINK "https://doi.org/10.3390/agronomy10040502" </w:instrText>
      </w:r>
      <w:r>
        <w:fldChar w:fldCharType="separate"/>
      </w:r>
      <w:r>
        <w:rPr>
          <w:rStyle w:val="13"/>
          <w:rFonts w:ascii="Times New Roman" w:hAnsi="Times New Roman"/>
          <w:color w:val="auto"/>
          <w:sz w:val="24"/>
          <w:szCs w:val="24"/>
          <w:u w:val="none"/>
        </w:rPr>
        <w:t>https://doi.org/10.3390/agronomy10040502</w:t>
      </w:r>
      <w:r>
        <w:rPr>
          <w:rStyle w:val="13"/>
          <w:rFonts w:ascii="Times New Roman" w:hAnsi="Times New Roman"/>
          <w:color w:val="auto"/>
          <w:sz w:val="24"/>
          <w:szCs w:val="24"/>
          <w:u w:val="none"/>
        </w:rPr>
        <w:fldChar w:fldCharType="end"/>
      </w:r>
      <w:r>
        <w:rPr>
          <w:rFonts w:ascii="Times New Roman" w:hAnsi="Times New Roman"/>
          <w:color w:val="000000" w:themeColor="text1"/>
          <w:sz w:val="24"/>
          <w:szCs w:val="24"/>
          <w14:textFill>
            <w14:solidFill>
              <w14:schemeClr w14:val="tx1"/>
            </w14:solidFill>
          </w14:textFill>
        </w:rPr>
        <w:t xml:space="preserve"> https://www.canr.msu.edu/news/manure_and_soil_organic_matter</w:t>
      </w:r>
    </w:p>
    <w:p>
      <w:pPr>
        <w:tabs>
          <w:tab w:val="left" w:pos="630"/>
        </w:tabs>
        <w:spacing w:after="240" w:line="276" w:lineRule="auto"/>
        <w:ind w:left="567" w:hanging="567"/>
        <w:jc w:val="both"/>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Periodic Article</w:t>
      </w:r>
    </w:p>
    <w:p>
      <w:pPr>
        <w:tabs>
          <w:tab w:val="left" w:pos="630"/>
        </w:tabs>
        <w:spacing w:after="240" w:line="276" w:lineRule="auto"/>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Geoffrey. M. G. </w:t>
      </w:r>
      <w:r>
        <w:rPr>
          <w:rFonts w:ascii="Times New Roman" w:hAnsi="Times New Roman"/>
          <w:i/>
          <w:iCs/>
          <w:color w:val="000000" w:themeColor="text1"/>
          <w:sz w:val="24"/>
          <w:szCs w:val="24"/>
          <w14:textFill>
            <w14:solidFill>
              <w14:schemeClr w14:val="tx1"/>
            </w14:solidFill>
          </w14:textFill>
        </w:rPr>
        <w:t xml:space="preserve">Geomycology: Fungi as Agents of Biogeochemical Change. Biology and Environment: </w:t>
      </w:r>
      <w:r>
        <w:rPr>
          <w:rFonts w:ascii="Times New Roman" w:hAnsi="Times New Roman"/>
          <w:color w:val="000000" w:themeColor="text1"/>
          <w:sz w:val="24"/>
          <w:szCs w:val="24"/>
          <w14:textFill>
            <w14:solidFill>
              <w14:schemeClr w14:val="tx1"/>
            </w14:solidFill>
          </w14:textFill>
        </w:rPr>
        <w:t>Proceedings of the Royal Irish Academy. 2018, https://doi.org/10.3318/bioe.2018.04pr</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Getachew, A., Chilot, Y. and Telku, E., </w:t>
      </w:r>
      <w:r>
        <w:rPr>
          <w:rFonts w:ascii="Times New Roman" w:hAnsi="Times New Roman"/>
          <w:i/>
          <w:color w:val="000000" w:themeColor="text1"/>
          <w:sz w:val="24"/>
          <w:szCs w:val="24"/>
          <w14:textFill>
            <w14:solidFill>
              <w14:schemeClr w14:val="tx1"/>
            </w14:solidFill>
          </w14:textFill>
        </w:rPr>
        <w:t xml:space="preserve">Soil Acidity Management, </w:t>
      </w:r>
      <w:r>
        <w:rPr>
          <w:rFonts w:ascii="Times New Roman" w:hAnsi="Times New Roman"/>
          <w:color w:val="000000" w:themeColor="text1"/>
          <w:sz w:val="24"/>
          <w:szCs w:val="24"/>
          <w14:textFill>
            <w14:solidFill>
              <w14:schemeClr w14:val="tx1"/>
            </w14:solidFill>
          </w14:textFill>
        </w:rPr>
        <w:t>Ethiopian Institute of Agricultural Research (EIAR). Addis Ababa, Ethiopia. 2019</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Martha, M. &amp; Shapiro, C. A., </w:t>
      </w:r>
      <w:r>
        <w:rPr>
          <w:rFonts w:ascii="Times New Roman" w:hAnsi="Times New Roman"/>
          <w:i/>
          <w:color w:val="000000" w:themeColor="text1"/>
          <w:sz w:val="24"/>
          <w:szCs w:val="24"/>
          <w14:textFill>
            <w14:solidFill>
              <w14:schemeClr w14:val="tx1"/>
            </w14:solidFill>
          </w14:textFill>
        </w:rPr>
        <w:t>Management Strategies to Reduce the Rate of Soil Acidification</w:t>
      </w:r>
      <w:r>
        <w:rPr>
          <w:rFonts w:ascii="Times New Roman" w:hAnsi="Times New Roman"/>
          <w:color w:val="000000" w:themeColor="text1"/>
          <w:sz w:val="24"/>
          <w:szCs w:val="24"/>
          <w14:textFill>
            <w14:solidFill>
              <w14:schemeClr w14:val="tx1"/>
            </w14:solidFill>
          </w14:textFill>
        </w:rPr>
        <w:t>,  Soil Resource Management,</w:t>
      </w:r>
      <w:r>
        <w:rPr>
          <w:rFonts w:ascii="Times New Roman" w:hAnsi="Times New Roman"/>
          <w:b/>
          <w:color w:val="000000" w:themeColor="text1"/>
          <w:sz w:val="24"/>
          <w:szCs w:val="24"/>
          <w14:textFill>
            <w14:solidFill>
              <w14:schemeClr w14:val="tx1"/>
            </w14:solidFill>
          </w14:textFill>
        </w:rPr>
        <w:t xml:space="preserve"> </w:t>
      </w:r>
      <w:r>
        <w:rPr>
          <w:rFonts w:ascii="Times New Roman" w:hAnsi="Times New Roman"/>
          <w:color w:val="000000" w:themeColor="text1"/>
          <w:sz w:val="24"/>
          <w:szCs w:val="24"/>
          <w14:textFill>
            <w14:solidFill>
              <w14:schemeClr w14:val="tx1"/>
            </w14:solidFill>
          </w14:textFill>
        </w:rPr>
        <w:t>University of Nebraska–Lincoln Extension, Institute of Agriculture and Natural Resources, 2015.</w:t>
      </w:r>
    </w:p>
    <w:p>
      <w:pPr>
        <w:tabs>
          <w:tab w:val="left" w:pos="630"/>
        </w:tabs>
        <w:spacing w:after="240" w:line="276" w:lineRule="auto"/>
        <w:ind w:left="567" w:hanging="567"/>
        <w:jc w:val="both"/>
        <w:rPr>
          <w:rFonts w:ascii="Times New Roman" w:hAnsi="Times New Roman"/>
          <w:b/>
          <w:color w:val="000000" w:themeColor="text1"/>
          <w:sz w:val="24"/>
          <w:szCs w:val="24"/>
          <w14:textFill>
            <w14:solidFill>
              <w14:schemeClr w14:val="tx1"/>
            </w14:solidFill>
          </w14:textFill>
        </w:rPr>
      </w:pPr>
    </w:p>
    <w:p>
      <w:pPr>
        <w:tabs>
          <w:tab w:val="left" w:pos="630"/>
        </w:tabs>
        <w:spacing w:after="240" w:line="276" w:lineRule="auto"/>
        <w:ind w:left="567" w:hanging="567"/>
        <w:jc w:val="both"/>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Textbook</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Devanshi, S., Shah, K. R., Arora, S. &amp; Saxena, S., </w:t>
      </w:r>
      <w:r>
        <w:rPr>
          <w:rFonts w:ascii="Times New Roman" w:hAnsi="Times New Roman"/>
          <w:i/>
          <w:color w:val="000000" w:themeColor="text1"/>
          <w:sz w:val="24"/>
          <w:szCs w:val="24"/>
          <w14:textFill>
            <w14:solidFill>
              <w14:schemeClr w14:val="tx1"/>
            </w14:solidFill>
          </w14:textFill>
        </w:rPr>
        <w:t xml:space="preserve">Actinomycetes as an Environmental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Crubber</w:t>
      </w:r>
      <w:r>
        <w:rPr>
          <w:rFonts w:ascii="Times New Roman" w:hAnsi="Times New Roman"/>
          <w:color w:val="000000" w:themeColor="text1"/>
          <w:sz w:val="24"/>
          <w:szCs w:val="24"/>
          <w14:textFill>
            <w14:solidFill>
              <w14:schemeClr w14:val="tx1"/>
            </w14:solidFill>
          </w14:textFill>
        </w:rPr>
        <w:t>, Intech Open, 2021, Chapter 6, DOI: 10.5772/intechopen.99187</w:t>
      </w:r>
    </w:p>
    <w:p>
      <w:pPr>
        <w:tabs>
          <w:tab w:val="left" w:pos="630"/>
          <w:tab w:val="left" w:pos="720"/>
        </w:tabs>
        <w:spacing w:after="240" w:line="276" w:lineRule="auto"/>
        <w:ind w:left="630" w:hanging="630"/>
        <w:jc w:val="both"/>
        <w:rPr>
          <w:rFonts w:ascii="Times New Roman" w:hAnsi="Times New Roman"/>
          <w:sz w:val="24"/>
          <w:szCs w:val="24"/>
        </w:rPr>
      </w:pPr>
      <w:r>
        <w:fldChar w:fldCharType="begin"/>
      </w:r>
      <w:r>
        <w:instrText xml:space="preserve"> HYPERLINK "https://www.mdpi.com/books/person/355" </w:instrText>
      </w:r>
      <w:r>
        <w:fldChar w:fldCharType="separate"/>
      </w:r>
      <w:r>
        <w:rPr>
          <w:rStyle w:val="13"/>
          <w:rFonts w:ascii="Times New Roman" w:hAnsi="Times New Roman"/>
          <w:bCs/>
          <w:color w:val="auto"/>
          <w:sz w:val="24"/>
          <w:szCs w:val="24"/>
          <w:u w:val="none"/>
        </w:rPr>
        <w:t>Douglas L. K</w:t>
      </w:r>
      <w:r>
        <w:rPr>
          <w:rStyle w:val="13"/>
          <w:rFonts w:ascii="Times New Roman" w:hAnsi="Times New Roman"/>
          <w:bCs/>
          <w:color w:val="auto"/>
          <w:sz w:val="24"/>
          <w:szCs w:val="24"/>
          <w:u w:val="none"/>
        </w:rPr>
        <w:fldChar w:fldCharType="end"/>
      </w:r>
      <w:r>
        <w:rPr>
          <w:rFonts w:ascii="Times New Roman" w:hAnsi="Times New Roman"/>
          <w:sz w:val="24"/>
          <w:szCs w:val="24"/>
        </w:rPr>
        <w:t xml:space="preserve">. </w:t>
      </w:r>
      <w:r>
        <w:rPr>
          <w:rFonts w:ascii="Times New Roman" w:hAnsi="Times New Roman"/>
          <w:bCs/>
          <w:sz w:val="24"/>
          <w:szCs w:val="24"/>
        </w:rPr>
        <w:t xml:space="preserve">&amp; </w:t>
      </w:r>
      <w:r>
        <w:fldChar w:fldCharType="begin"/>
      </w:r>
      <w:r>
        <w:instrText xml:space="preserve"> HYPERLINK "https://www.mdpi.com/books/person/364" </w:instrText>
      </w:r>
      <w:r>
        <w:fldChar w:fldCharType="separate"/>
      </w:r>
      <w:r>
        <w:rPr>
          <w:rStyle w:val="13"/>
          <w:rFonts w:ascii="Times New Roman" w:hAnsi="Times New Roman"/>
          <w:bCs/>
          <w:color w:val="auto"/>
          <w:sz w:val="24"/>
          <w:szCs w:val="24"/>
          <w:u w:val="none"/>
        </w:rPr>
        <w:t>Charles W. R</w:t>
      </w:r>
      <w:r>
        <w:rPr>
          <w:rStyle w:val="13"/>
          <w:rFonts w:ascii="Times New Roman" w:hAnsi="Times New Roman"/>
          <w:bCs/>
          <w:color w:val="auto"/>
          <w:sz w:val="24"/>
          <w:szCs w:val="24"/>
          <w:u w:val="none"/>
        </w:rPr>
        <w:fldChar w:fldCharType="end"/>
      </w:r>
      <w:r>
        <w:rPr>
          <w:rFonts w:ascii="Times New Roman" w:hAnsi="Times New Roman"/>
          <w:sz w:val="24"/>
          <w:szCs w:val="24"/>
        </w:rPr>
        <w:t xml:space="preserve">., </w:t>
      </w:r>
      <w:r>
        <w:rPr>
          <w:rFonts w:ascii="Times New Roman" w:hAnsi="Times New Roman"/>
          <w:i/>
          <w:color w:val="000000" w:themeColor="text1"/>
          <w:sz w:val="24"/>
          <w:szCs w:val="24"/>
          <w14:textFill>
            <w14:solidFill>
              <w14:schemeClr w14:val="tx1"/>
            </w14:solidFill>
          </w14:textFill>
        </w:rPr>
        <w:t>Enhancing Soil Health to Mitigate Soil Degradation,</w:t>
      </w:r>
      <w:r>
        <w:rPr>
          <w:rFonts w:ascii="Times New Roman" w:hAnsi="Times New Roman"/>
          <w:color w:val="000000" w:themeColor="text1"/>
          <w:sz w:val="24"/>
          <w:szCs w:val="24"/>
          <w14:textFill>
            <w14:solidFill>
              <w14:schemeClr w14:val="tx1"/>
            </w14:solidFill>
          </w14:textFill>
        </w:rPr>
        <w:t xml:space="preserve"> 2017, 336 ISBN: 9783038423584, 3038423580, </w:t>
      </w:r>
      <w:r>
        <w:fldChar w:fldCharType="begin"/>
      </w:r>
      <w:r>
        <w:instrText xml:space="preserve"> HYPERLINK "https://doi.org/10.3390/books978-3-03842-359-1" </w:instrText>
      </w:r>
      <w:r>
        <w:fldChar w:fldCharType="separate"/>
      </w:r>
      <w:r>
        <w:rPr>
          <w:rStyle w:val="13"/>
          <w:rFonts w:ascii="Times New Roman" w:hAnsi="Times New Roman"/>
          <w:color w:val="auto"/>
          <w:sz w:val="24"/>
          <w:szCs w:val="24"/>
          <w:u w:val="none"/>
        </w:rPr>
        <w:t>https://doi.org/10.3390/books978-3-03842-359-1</w:t>
      </w:r>
      <w:r>
        <w:rPr>
          <w:rStyle w:val="13"/>
          <w:rFonts w:ascii="Times New Roman" w:hAnsi="Times New Roman"/>
          <w:color w:val="auto"/>
          <w:sz w:val="24"/>
          <w:szCs w:val="24"/>
          <w:u w:val="none"/>
        </w:rPr>
        <w:fldChar w:fldCharType="end"/>
      </w:r>
    </w:p>
    <w:p>
      <w:pPr>
        <w:tabs>
          <w:tab w:val="left" w:pos="630"/>
        </w:tabs>
        <w:spacing w:after="240" w:line="276" w:lineRule="auto"/>
        <w:ind w:left="567" w:hanging="567"/>
        <w:jc w:val="both"/>
        <w:rPr>
          <w:rFonts w:ascii="Times New Roman" w:hAnsi="Times New Roman"/>
          <w:b/>
          <w:i/>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Sase, H., Effects of Acidic Substances on Ecosystems. In: Akimoto, H., Tanimoto, H. (eds) </w:t>
      </w:r>
      <w:r>
        <w:rPr>
          <w:rFonts w:ascii="Times New Roman" w:hAnsi="Times New Roman"/>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Handbook of Air Quality and Climate Change</w:t>
      </w:r>
      <w:r>
        <w:rPr>
          <w:rFonts w:ascii="Times New Roman" w:hAnsi="Times New Roman"/>
          <w:color w:val="000000" w:themeColor="text1"/>
          <w:sz w:val="24"/>
          <w:szCs w:val="24"/>
          <w14:textFill>
            <w14:solidFill>
              <w14:schemeClr w14:val="tx1"/>
            </w14:solidFill>
          </w14:textFill>
        </w:rPr>
        <w:t xml:space="preserve">, Springer, Singapore, 2023,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https://doi.org/10.1007/978-981-15-2760-9_26</w:t>
      </w:r>
    </w:p>
    <w:p>
      <w:pPr>
        <w:tabs>
          <w:tab w:val="left" w:pos="630"/>
        </w:tabs>
        <w:spacing w:after="240" w:line="276" w:lineRule="auto"/>
        <w:jc w:val="both"/>
        <w:rPr>
          <w:rFonts w:ascii="Times New Roman" w:hAnsi="Times New Roman"/>
          <w:color w:val="000000" w:themeColor="text1"/>
          <w:sz w:val="24"/>
          <w:szCs w:val="24"/>
          <w14:textFill>
            <w14:solidFill>
              <w14:schemeClr w14:val="tx1"/>
            </w14:solidFill>
          </w14:textFill>
        </w:rPr>
      </w:pPr>
    </w:p>
    <w:p>
      <w:pPr>
        <w:tabs>
          <w:tab w:val="left" w:pos="630"/>
        </w:tabs>
        <w:spacing w:after="240" w:line="276" w:lineRule="auto"/>
        <w:ind w:left="567" w:hanging="567"/>
        <w:jc w:val="both"/>
        <w:rPr>
          <w:rFonts w:ascii="Times New Roman" w:hAnsi="Times New Roman"/>
          <w:b/>
          <w:color w:val="000000" w:themeColor="text1"/>
          <w:sz w:val="24"/>
          <w:szCs w:val="24"/>
          <w14:textFill>
            <w14:solidFill>
              <w14:schemeClr w14:val="tx1"/>
            </w14:solidFill>
          </w14:textFill>
        </w:rPr>
      </w:pPr>
      <w:r>
        <w:rPr>
          <w:rFonts w:ascii="Times New Roman" w:hAnsi="Times New Roman"/>
          <w:b/>
          <w:color w:val="000000" w:themeColor="text1"/>
          <w:sz w:val="24"/>
          <w:szCs w:val="24"/>
          <w14:textFill>
            <w14:solidFill>
              <w14:schemeClr w14:val="tx1"/>
            </w14:solidFill>
          </w14:textFill>
        </w:rPr>
        <w:t>Website</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CDC, 2007a. Giardiasis. </w:t>
      </w:r>
      <w:r>
        <w:rPr>
          <w:rFonts w:ascii="Times New Roman" w:hAnsi="Times New Roman"/>
          <w:i/>
          <w:color w:val="000000" w:themeColor="text1"/>
          <w:sz w:val="24"/>
          <w:szCs w:val="24"/>
          <w14:textFill>
            <w14:solidFill>
              <w14:schemeClr w14:val="tx1"/>
            </w14:solidFill>
          </w14:textFill>
        </w:rPr>
        <w:t>Parasitic Disease Information.</w:t>
      </w:r>
      <w:r>
        <w:rPr>
          <w:rFonts w:ascii="Times New Roman" w:hAnsi="Times New Roman"/>
          <w:color w:val="000000" w:themeColor="text1"/>
          <w:sz w:val="24"/>
          <w:szCs w:val="24"/>
          <w14:textFill>
            <w14:solidFill>
              <w14:schemeClr w14:val="tx1"/>
            </w14:solidFill>
          </w14:textFill>
        </w:rPr>
        <w:t xml:space="preserve"> Giardiasis, Available at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http://www.cdc.gov/NCIDO/DPD/parasites/giardiasis/factsh t. Accessed on 04/09/2011</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CDC, 2007b. </w:t>
      </w:r>
      <w:r>
        <w:rPr>
          <w:rFonts w:ascii="Times New Roman" w:hAnsi="Times New Roman"/>
          <w:i/>
          <w:color w:val="000000" w:themeColor="text1"/>
          <w:sz w:val="24"/>
          <w:szCs w:val="24"/>
          <w14:textFill>
            <w14:solidFill>
              <w14:schemeClr w14:val="tx1"/>
            </w14:solidFill>
          </w14:textFill>
        </w:rPr>
        <w:t>Parasitic Disease Information. Cryptosporidium infection.</w:t>
      </w:r>
      <w:r>
        <w:rPr>
          <w:rFonts w:ascii="Times New Roman" w:hAnsi="Times New Roman"/>
          <w:color w:val="000000" w:themeColor="text1"/>
          <w:sz w:val="24"/>
          <w:szCs w:val="24"/>
          <w14:textFill>
            <w14:solidFill>
              <w14:schemeClr w14:val="tx1"/>
            </w14:solidFill>
          </w14:textFill>
        </w:rPr>
        <w:t xml:space="preserve"> Cryptosporidiosis,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http://www.cdc.gov/NCIDO/DPD/parasites/cryptosporidiosis</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t xml:space="preserve">Currell, C., </w:t>
      </w:r>
      <w:r>
        <w:rPr>
          <w:rFonts w:ascii="Times New Roman" w:hAnsi="Times New Roman"/>
          <w:i/>
          <w:color w:val="000000" w:themeColor="text1"/>
          <w:sz w:val="24"/>
          <w:szCs w:val="24"/>
          <w14:textFill>
            <w14:solidFill>
              <w14:schemeClr w14:val="tx1"/>
            </w14:solidFill>
          </w14:textFill>
        </w:rPr>
        <w:t xml:space="preserve">Manure and Soil Organic Matter: When It Comes to Building Soil Organic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 xml:space="preserve">Matter, </w:t>
      </w:r>
      <w:r>
        <w:rPr>
          <w:rFonts w:ascii="Times New Roman" w:hAnsi="Times New Roman"/>
          <w:i/>
          <w:color w:val="000000" w:themeColor="text1"/>
          <w:sz w:val="24"/>
          <w:szCs w:val="24"/>
          <w14:textFill>
            <w14:solidFill>
              <w14:schemeClr w14:val="tx1"/>
            </w14:solidFill>
          </w14:textFill>
        </w:rPr>
        <w:tab/>
      </w:r>
      <w:r>
        <w:rPr>
          <w:rFonts w:ascii="Times New Roman" w:hAnsi="Times New Roman"/>
          <w:i/>
          <w:color w:val="000000" w:themeColor="text1"/>
          <w:sz w:val="24"/>
          <w:szCs w:val="24"/>
          <w14:textFill>
            <w14:solidFill>
              <w14:schemeClr w14:val="tx1"/>
            </w14:solidFill>
          </w14:textFill>
        </w:rPr>
        <w:t>Manure Sources Are not All Created Equal</w:t>
      </w:r>
      <w:r>
        <w:rPr>
          <w:rFonts w:ascii="Times New Roman" w:hAnsi="Times New Roman"/>
          <w:color w:val="000000" w:themeColor="text1"/>
          <w:sz w:val="24"/>
          <w:szCs w:val="24"/>
          <w14:textFill>
            <w14:solidFill>
              <w14:schemeClr w14:val="tx1"/>
            </w14:solidFill>
          </w14:textFill>
        </w:rPr>
        <w:t xml:space="preserve">; Michigan State University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 xml:space="preserve">Extension: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 xml:space="preserve">East Lansing, MI, USA, 2016, </w:t>
      </w:r>
      <w:r>
        <w:rPr>
          <w:rFonts w:ascii="Times New Roman" w:hAnsi="Times New Roman"/>
          <w:color w:val="000000" w:themeColor="text1"/>
          <w:sz w:val="24"/>
          <w:szCs w:val="24"/>
          <w14:textFill>
            <w14:solidFill>
              <w14:schemeClr w14:val="tx1"/>
            </w14:solidFill>
          </w14:textFill>
        </w:rPr>
        <w:tab/>
      </w:r>
      <w:r>
        <w:rPr>
          <w:rFonts w:ascii="Times New Roman" w:hAnsi="Times New Roman"/>
          <w:color w:val="000000" w:themeColor="text1"/>
          <w:sz w:val="24"/>
          <w:szCs w:val="24"/>
          <w14:textFill>
            <w14:solidFill>
              <w14:schemeClr w14:val="tx1"/>
            </w14:solidFill>
          </w14:textFill>
        </w:rPr>
        <w:t>https://www.canr.msu.edu/news/manure_and_soil_organic_matter</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r>
        <w:rPr>
          <w:rFonts w:ascii="Times New Roman" w:hAnsi="Times New Roman"/>
          <w:color w:val="000000"/>
          <w:sz w:val="24"/>
          <w:szCs w:val="24"/>
          <w:shd w:val="clear" w:color="auto" w:fill="FFFFFF"/>
        </w:rPr>
        <w:t>Malomo GA, Madugu AS and Bolu SA (2018) Sustainable Animal Manure Management Strategies and Practices. Agricultural Waste and Residues. InTech. Available at: http://dx.doi.org/10.5772/intechopen.78645.</w:t>
      </w: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p>
    <w:p>
      <w:pPr>
        <w:tabs>
          <w:tab w:val="left" w:pos="630"/>
        </w:tabs>
        <w:spacing w:after="240" w:line="276" w:lineRule="auto"/>
        <w:ind w:left="567" w:hanging="567"/>
        <w:jc w:val="both"/>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color w:val="000000" w:themeColor="text1"/>
          <w:sz w:val="24"/>
          <w:szCs w:val="24"/>
          <w14:textFill>
            <w14:solidFill>
              <w14:schemeClr w14:val="tx1"/>
            </w14:solidFill>
          </w14:textFill>
        </w:rPr>
      </w:pPr>
    </w:p>
    <w:p>
      <w:pPr>
        <w:spacing w:after="120" w:line="360" w:lineRule="auto"/>
        <w:rPr>
          <w:rFonts w:ascii="Times New Roman" w:hAnsi="Times New Roman"/>
          <w:b/>
          <w:bCs/>
          <w:color w:val="000000"/>
          <w:sz w:val="24"/>
          <w:szCs w:val="24"/>
        </w:rPr>
      </w:pPr>
    </w:p>
    <w:p>
      <w:pPr>
        <w:spacing w:after="120" w:line="360" w:lineRule="auto"/>
        <w:ind w:left="3600"/>
        <w:rPr>
          <w:rFonts w:ascii="Times New Roman" w:hAnsi="Times New Roman"/>
          <w:color w:val="000000"/>
          <w:sz w:val="24"/>
          <w:szCs w:val="24"/>
        </w:rPr>
      </w:pPr>
      <w:r>
        <w:rPr>
          <w:rFonts w:ascii="Times New Roman" w:hAnsi="Times New Roman"/>
          <w:b/>
          <w:bCs/>
          <w:color w:val="000000"/>
          <w:sz w:val="24"/>
          <w:szCs w:val="24"/>
        </w:rPr>
        <w:t>Appendix</w:t>
      </w:r>
      <w:r>
        <w:rPr>
          <w:rFonts w:ascii="Times New Roman" w:hAnsi="Times New Roman"/>
          <w:color w:val="000000"/>
          <w:sz w:val="24"/>
          <w:szCs w:val="24"/>
        </w:rPr>
        <w:t xml:space="preserve"> I</w:t>
      </w:r>
    </w:p>
    <w:p>
      <w:pPr>
        <w:rPr>
          <w:rFonts w:ascii="Times New Roman" w:hAnsi="Times New Roman"/>
          <w:sz w:val="24"/>
          <w:szCs w:val="24"/>
        </w:rPr>
      </w:pPr>
      <w:r>
        <w:rPr>
          <w:rFonts w:ascii="Times New Roman" w:hAnsi="Times New Roman"/>
          <w:sz w:val="24"/>
          <w:szCs w:val="24"/>
        </w:rPr>
        <w:drawing>
          <wp:inline distT="0" distB="0" distL="0" distR="0">
            <wp:extent cx="4856480" cy="3538220"/>
            <wp:effectExtent l="0" t="0" r="1270" b="5080"/>
            <wp:docPr id="25" name="Picture 25" descr="IMG-20230728-WA0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IMG-20230728-WA00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4862951" cy="3543177"/>
                    </a:xfrm>
                    <a:prstGeom prst="rect">
                      <a:avLst/>
                    </a:prstGeom>
                    <a:noFill/>
                    <a:ln>
                      <a:noFill/>
                    </a:ln>
                  </pic:spPr>
                </pic:pic>
              </a:graphicData>
            </a:graphic>
          </wp:inline>
        </w:drawing>
      </w:r>
    </w:p>
    <w:p>
      <w:pPr>
        <w:spacing w:after="120" w:line="360" w:lineRule="auto"/>
        <w:jc w:val="both"/>
        <w:rPr>
          <w:rFonts w:ascii="Times New Roman" w:hAnsi="Times New Roman"/>
          <w:color w:val="000000"/>
          <w:sz w:val="24"/>
          <w:szCs w:val="24"/>
        </w:rPr>
      </w:pPr>
      <w:r>
        <w:rPr>
          <w:rFonts w:ascii="Times New Roman" w:hAnsi="Times New Roman"/>
          <w:b/>
          <w:color w:val="000000"/>
          <w:sz w:val="24"/>
          <w:szCs w:val="24"/>
        </w:rPr>
        <w:t>Appendix</w:t>
      </w:r>
      <w:r>
        <w:rPr>
          <w:rFonts w:ascii="Times New Roman" w:hAnsi="Times New Roman"/>
          <w:b/>
          <w:sz w:val="24"/>
          <w:szCs w:val="24"/>
          <w:lang w:val="en-GB"/>
        </w:rPr>
        <w:t xml:space="preserve"> I &amp; II</w:t>
      </w:r>
      <w:r>
        <w:rPr>
          <w:rFonts w:ascii="Times New Roman" w:hAnsi="Times New Roman"/>
          <w:sz w:val="24"/>
          <w:szCs w:val="24"/>
          <w:lang w:val="en-GB"/>
        </w:rPr>
        <w:t xml:space="preserve"> Showing Bacteria Isolates on Nutrient Agar</w:t>
      </w:r>
    </w:p>
    <w:p>
      <w:pPr>
        <w:spacing w:after="120" w:line="360" w:lineRule="auto"/>
        <w:ind w:left="2880" w:firstLine="720"/>
        <w:jc w:val="both"/>
        <w:rPr>
          <w:rFonts w:ascii="Times New Roman" w:hAnsi="Times New Roman"/>
          <w:color w:val="000000"/>
          <w:sz w:val="24"/>
          <w:szCs w:val="24"/>
        </w:rPr>
      </w:pPr>
      <w:r>
        <w:rPr>
          <w:rFonts w:ascii="Times New Roman" w:hAnsi="Times New Roman"/>
          <w:color w:val="000000"/>
          <w:sz w:val="24"/>
          <w:szCs w:val="24"/>
        </w:rPr>
        <w:t>Appendix II</w:t>
      </w:r>
    </w:p>
    <w:p>
      <w:pPr>
        <w:rPr>
          <w:rFonts w:ascii="Times New Roman" w:hAnsi="Times New Roman"/>
          <w:sz w:val="24"/>
          <w:szCs w:val="24"/>
          <w:lang w:val="en-GB"/>
        </w:rPr>
      </w:pPr>
      <w:r>
        <w:rPr>
          <w:rFonts w:ascii="Times New Roman" w:hAnsi="Times New Roman"/>
          <w:sz w:val="24"/>
          <w:szCs w:val="24"/>
        </w:rPr>
        <w:drawing>
          <wp:inline distT="0" distB="0" distL="0" distR="0">
            <wp:extent cx="4856480" cy="3284220"/>
            <wp:effectExtent l="0" t="0" r="1270" b="0"/>
            <wp:docPr id="24" name="Picture 24" descr="IMG-20230728-WA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MG-20230728-WA000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4858425" cy="3285811"/>
                    </a:xfrm>
                    <a:prstGeom prst="rect">
                      <a:avLst/>
                    </a:prstGeom>
                    <a:noFill/>
                    <a:ln>
                      <a:noFill/>
                    </a:ln>
                  </pic:spPr>
                </pic:pic>
              </a:graphicData>
            </a:graphic>
          </wp:inline>
        </w:drawing>
      </w:r>
    </w:p>
    <w:p>
      <w:pPr>
        <w:spacing w:after="120" w:line="360" w:lineRule="auto"/>
        <w:ind w:left="3600" w:firstLine="720"/>
        <w:jc w:val="both"/>
        <w:rPr>
          <w:rFonts w:ascii="Times New Roman" w:hAnsi="Times New Roman"/>
          <w:color w:val="000000"/>
          <w:sz w:val="24"/>
          <w:szCs w:val="24"/>
        </w:rPr>
      </w:pPr>
      <w:r>
        <w:rPr>
          <w:rFonts w:ascii="Times New Roman" w:hAnsi="Times New Roman"/>
          <w:color w:val="000000"/>
          <w:sz w:val="24"/>
          <w:szCs w:val="24"/>
        </w:rPr>
        <w:t>Appendix III</w:t>
      </w:r>
    </w:p>
    <w:p>
      <w:pPr>
        <w:rPr>
          <w:rFonts w:ascii="Times New Roman" w:hAnsi="Times New Roman"/>
          <w:sz w:val="24"/>
          <w:szCs w:val="24"/>
          <w:lang w:val="en-GB"/>
        </w:rPr>
      </w:pPr>
      <w:r>
        <w:rPr>
          <w:rFonts w:ascii="Times New Roman" w:hAnsi="Times New Roman"/>
          <w:sz w:val="24"/>
          <w:szCs w:val="24"/>
        </w:rPr>
        <w:drawing>
          <wp:inline distT="0" distB="0" distL="0" distR="0">
            <wp:extent cx="6424295" cy="7588250"/>
            <wp:effectExtent l="0" t="0" r="0" b="0"/>
            <wp:docPr id="23" name="Picture 23" descr="IMG-20230728-WA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IMG-20230728-WA00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6424295" cy="7588250"/>
                    </a:xfrm>
                    <a:prstGeom prst="rect">
                      <a:avLst/>
                    </a:prstGeom>
                    <a:noFill/>
                    <a:ln>
                      <a:noFill/>
                    </a:ln>
                  </pic:spPr>
                </pic:pic>
              </a:graphicData>
            </a:graphic>
          </wp:inline>
        </w:drawing>
      </w:r>
    </w:p>
    <w:p>
      <w:pPr>
        <w:spacing w:after="120" w:line="360" w:lineRule="auto"/>
        <w:jc w:val="both"/>
        <w:rPr>
          <w:rFonts w:ascii="Times New Roman" w:hAnsi="Times New Roman"/>
          <w:color w:val="000000"/>
          <w:sz w:val="24"/>
          <w:szCs w:val="24"/>
        </w:rPr>
      </w:pPr>
      <w:r>
        <w:rPr>
          <w:rFonts w:ascii="Times New Roman" w:hAnsi="Times New Roman"/>
          <w:b/>
          <w:color w:val="000000"/>
          <w:sz w:val="24"/>
          <w:szCs w:val="24"/>
        </w:rPr>
        <w:t>Appendix</w:t>
      </w:r>
      <w:r>
        <w:rPr>
          <w:rFonts w:ascii="Times New Roman" w:hAnsi="Times New Roman"/>
          <w:b/>
          <w:sz w:val="24"/>
          <w:szCs w:val="24"/>
          <w:lang w:val="en-GB"/>
        </w:rPr>
        <w:t xml:space="preserve">3 </w:t>
      </w:r>
      <w:r>
        <w:rPr>
          <w:rFonts w:ascii="Times New Roman" w:hAnsi="Times New Roman"/>
          <w:sz w:val="24"/>
          <w:szCs w:val="24"/>
          <w:lang w:val="en-GB"/>
        </w:rPr>
        <w:t xml:space="preserve">Showing Bacteria Isolates: </w:t>
      </w:r>
      <w:r>
        <w:rPr>
          <w:rFonts w:ascii="Times New Roman" w:hAnsi="Times New Roman"/>
          <w:i/>
          <w:sz w:val="24"/>
          <w:szCs w:val="24"/>
          <w:lang w:val="en-GB"/>
        </w:rPr>
        <w:t>Klebsiella spp</w:t>
      </w:r>
      <w:r>
        <w:rPr>
          <w:rFonts w:ascii="Times New Roman" w:hAnsi="Times New Roman"/>
          <w:sz w:val="24"/>
          <w:szCs w:val="24"/>
          <w:lang w:val="en-GB"/>
        </w:rPr>
        <w:t>.</w:t>
      </w:r>
    </w:p>
    <w:p>
      <w:pPr>
        <w:spacing w:after="120" w:line="360" w:lineRule="auto"/>
        <w:ind w:left="2880" w:firstLine="720"/>
        <w:jc w:val="both"/>
        <w:rPr>
          <w:rFonts w:ascii="Times New Roman" w:hAnsi="Times New Roman"/>
          <w:color w:val="000000"/>
          <w:sz w:val="24"/>
          <w:szCs w:val="24"/>
        </w:rPr>
      </w:pPr>
      <w:r>
        <w:rPr>
          <w:rFonts w:ascii="Times New Roman" w:hAnsi="Times New Roman"/>
          <w:color w:val="000000"/>
          <w:sz w:val="24"/>
          <w:szCs w:val="24"/>
        </w:rPr>
        <w:t>Appendix IV</w:t>
      </w:r>
    </w:p>
    <w:p>
      <w:pPr>
        <w:rPr>
          <w:rFonts w:ascii="Times New Roman" w:hAnsi="Times New Roman"/>
          <w:sz w:val="24"/>
          <w:szCs w:val="24"/>
          <w:lang w:val="en-GB"/>
        </w:rPr>
      </w:pPr>
      <w:r>
        <w:rPr>
          <w:rFonts w:ascii="Times New Roman" w:hAnsi="Times New Roman"/>
          <w:sz w:val="24"/>
          <w:szCs w:val="24"/>
        </w:rPr>
        <w:drawing>
          <wp:inline distT="0" distB="0" distL="0" distR="0">
            <wp:extent cx="4749800" cy="3502660"/>
            <wp:effectExtent l="0" t="0" r="0" b="2540"/>
            <wp:docPr id="22" name="Picture 22" descr="IMG-20230728-WA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MG-20230728-WA00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4750323" cy="3503363"/>
                    </a:xfrm>
                    <a:prstGeom prst="rect">
                      <a:avLst/>
                    </a:prstGeom>
                    <a:noFill/>
                    <a:ln>
                      <a:noFill/>
                    </a:ln>
                  </pic:spPr>
                </pic:pic>
              </a:graphicData>
            </a:graphic>
          </wp:inline>
        </w:drawing>
      </w:r>
    </w:p>
    <w:p>
      <w:pPr>
        <w:spacing w:after="120" w:line="360" w:lineRule="auto"/>
        <w:jc w:val="both"/>
        <w:rPr>
          <w:rFonts w:ascii="Times New Roman" w:hAnsi="Times New Roman"/>
          <w:color w:val="000000"/>
          <w:sz w:val="24"/>
          <w:szCs w:val="24"/>
        </w:rPr>
      </w:pPr>
      <w:r>
        <w:rPr>
          <w:rFonts w:ascii="Times New Roman" w:hAnsi="Times New Roman"/>
          <w:b/>
          <w:color w:val="000000"/>
          <w:sz w:val="24"/>
          <w:szCs w:val="24"/>
        </w:rPr>
        <w:t>Appendix</w:t>
      </w:r>
      <w:r>
        <w:rPr>
          <w:rFonts w:ascii="Times New Roman" w:hAnsi="Times New Roman"/>
          <w:b/>
          <w:sz w:val="24"/>
          <w:szCs w:val="24"/>
          <w:lang w:val="en-GB"/>
        </w:rPr>
        <w:t xml:space="preserve"> 4:</w:t>
      </w:r>
      <w:r>
        <w:rPr>
          <w:rFonts w:ascii="Times New Roman" w:hAnsi="Times New Roman"/>
          <w:sz w:val="24"/>
          <w:szCs w:val="24"/>
          <w:lang w:val="en-GB"/>
        </w:rPr>
        <w:t xml:space="preserve"> Showing </w:t>
      </w:r>
      <w:r>
        <w:rPr>
          <w:rFonts w:ascii="Times New Roman" w:hAnsi="Times New Roman"/>
          <w:i/>
          <w:sz w:val="24"/>
          <w:szCs w:val="24"/>
          <w:lang w:val="en-GB"/>
        </w:rPr>
        <w:t xml:space="preserve">Psedomonas spp. </w:t>
      </w:r>
    </w:p>
    <w:p>
      <w:pPr>
        <w:spacing w:after="120" w:line="360" w:lineRule="auto"/>
        <w:ind w:left="2880" w:firstLine="720"/>
        <w:jc w:val="both"/>
        <w:rPr>
          <w:rFonts w:ascii="Times New Roman" w:hAnsi="Times New Roman"/>
          <w:color w:val="000000"/>
          <w:sz w:val="24"/>
          <w:szCs w:val="24"/>
        </w:rPr>
      </w:pPr>
      <w:r>
        <w:rPr>
          <w:rFonts w:ascii="Times New Roman" w:hAnsi="Times New Roman"/>
          <w:color w:val="000000"/>
          <w:sz w:val="24"/>
          <w:szCs w:val="24"/>
        </w:rPr>
        <w:t>Appendix</w:t>
      </w:r>
      <w:r>
        <w:rPr>
          <w:rFonts w:ascii="Times New Roman" w:hAnsi="Times New Roman"/>
          <w:sz w:val="24"/>
          <w:szCs w:val="24"/>
          <w:lang w:val="en-GB"/>
        </w:rPr>
        <w:t xml:space="preserve"> V</w:t>
      </w:r>
    </w:p>
    <w:p>
      <w:pPr>
        <w:rPr>
          <w:rFonts w:ascii="Times New Roman" w:hAnsi="Times New Roman"/>
          <w:sz w:val="24"/>
          <w:szCs w:val="24"/>
          <w:lang w:val="en-GB"/>
        </w:rPr>
      </w:pPr>
      <w:r>
        <w:rPr>
          <w:rFonts w:ascii="Times New Roman" w:hAnsi="Times New Roman"/>
          <w:sz w:val="24"/>
          <w:szCs w:val="24"/>
        </w:rPr>
        <w:drawing>
          <wp:inline distT="0" distB="0" distL="0" distR="0">
            <wp:extent cx="4749800" cy="3206115"/>
            <wp:effectExtent l="0" t="0" r="0" b="0"/>
            <wp:docPr id="20" name="Picture 20" descr="IMG-20230728-WA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IMG-20230728-WA00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4750126" cy="3206335"/>
                    </a:xfrm>
                    <a:prstGeom prst="rect">
                      <a:avLst/>
                    </a:prstGeom>
                    <a:noFill/>
                    <a:ln>
                      <a:noFill/>
                    </a:ln>
                  </pic:spPr>
                </pic:pic>
              </a:graphicData>
            </a:graphic>
          </wp:inline>
        </w:drawing>
      </w:r>
    </w:p>
    <w:p>
      <w:pPr>
        <w:rPr>
          <w:rFonts w:ascii="Times New Roman" w:hAnsi="Times New Roman"/>
          <w:i/>
          <w:sz w:val="24"/>
          <w:szCs w:val="24"/>
          <w:lang w:val="en-GB"/>
        </w:rPr>
      </w:pPr>
      <w:r>
        <w:rPr>
          <w:rFonts w:ascii="Times New Roman" w:hAnsi="Times New Roman"/>
          <w:b/>
          <w:sz w:val="24"/>
          <w:szCs w:val="24"/>
          <w:lang w:val="en-GB"/>
        </w:rPr>
        <w:t>Appendix 5:</w:t>
      </w:r>
      <w:r>
        <w:rPr>
          <w:rFonts w:ascii="Times New Roman" w:hAnsi="Times New Roman"/>
          <w:sz w:val="24"/>
          <w:szCs w:val="24"/>
          <w:lang w:val="en-GB"/>
        </w:rPr>
        <w:t xml:space="preserve"> Showing </w:t>
      </w:r>
      <w:r>
        <w:rPr>
          <w:rFonts w:ascii="Times New Roman" w:hAnsi="Times New Roman"/>
          <w:i/>
          <w:sz w:val="24"/>
          <w:szCs w:val="24"/>
          <w:lang w:val="en-GB"/>
        </w:rPr>
        <w:t>Bacillus spp.</w:t>
      </w:r>
    </w:p>
    <w:p>
      <w:pPr>
        <w:spacing w:after="120" w:line="360" w:lineRule="auto"/>
        <w:ind w:left="1440" w:firstLine="720"/>
        <w:jc w:val="both"/>
        <w:rPr>
          <w:rFonts w:ascii="Times New Roman" w:hAnsi="Times New Roman"/>
          <w:color w:val="000000"/>
          <w:sz w:val="24"/>
          <w:szCs w:val="24"/>
        </w:rPr>
      </w:pPr>
      <w:r>
        <w:rPr>
          <w:rFonts w:ascii="Times New Roman" w:hAnsi="Times New Roman"/>
          <w:b/>
          <w:color w:val="000000"/>
          <w:sz w:val="24"/>
          <w:szCs w:val="24"/>
        </w:rPr>
        <w:t>Appendix</w:t>
      </w:r>
      <w:r>
        <w:rPr>
          <w:rFonts w:ascii="Times New Roman" w:hAnsi="Times New Roman"/>
          <w:b/>
          <w:sz w:val="24"/>
          <w:szCs w:val="24"/>
          <w:lang w:val="en-GB"/>
        </w:rPr>
        <w:t xml:space="preserve"> VI</w:t>
      </w:r>
      <w:r>
        <w:rPr>
          <w:rFonts w:ascii="Times New Roman" w:hAnsi="Times New Roman"/>
          <w:color w:val="000000"/>
          <w:sz w:val="24"/>
          <w:szCs w:val="24"/>
        </w:rPr>
        <w:t xml:space="preserve"> </w:t>
      </w:r>
      <w:r>
        <w:rPr>
          <w:rFonts w:ascii="Times New Roman" w:hAnsi="Times New Roman"/>
          <w:sz w:val="24"/>
          <w:szCs w:val="24"/>
          <w:lang w:val="en-GB"/>
        </w:rPr>
        <w:t xml:space="preserve">showing pure bacteria isolates </w:t>
      </w:r>
    </w:p>
    <w:p>
      <w:pPr>
        <w:rPr>
          <w:rFonts w:ascii="Times New Roman" w:hAnsi="Times New Roman"/>
          <w:sz w:val="24"/>
          <w:szCs w:val="24"/>
          <w:lang w:val="en-GB"/>
        </w:rPr>
      </w:pPr>
      <w:r>
        <w:rPr>
          <w:rFonts w:ascii="Times New Roman" w:hAnsi="Times New Roman"/>
          <w:sz w:val="24"/>
          <w:szCs w:val="24"/>
        </w:rPr>
        <w:drawing>
          <wp:inline distT="0" distB="0" distL="0" distR="0">
            <wp:extent cx="4702175" cy="3336925"/>
            <wp:effectExtent l="0" t="0" r="3175" b="0"/>
            <wp:docPr id="19" name="Picture 19" descr="IMG-20230728-WA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IMG-20230728-WA00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4702504" cy="3336879"/>
                    </a:xfrm>
                    <a:prstGeom prst="rect">
                      <a:avLst/>
                    </a:prstGeom>
                    <a:noFill/>
                    <a:ln>
                      <a:noFill/>
                    </a:ln>
                  </pic:spPr>
                </pic:pic>
              </a:graphicData>
            </a:graphic>
          </wp:inline>
        </w:drawing>
      </w:r>
    </w:p>
    <w:p>
      <w:pPr>
        <w:rPr>
          <w:rFonts w:ascii="Times New Roman" w:hAnsi="Times New Roman"/>
          <w:sz w:val="24"/>
          <w:szCs w:val="24"/>
          <w:lang w:val="en-GB"/>
        </w:rPr>
      </w:pPr>
    </w:p>
    <w:p>
      <w:pPr>
        <w:spacing w:after="120" w:line="360" w:lineRule="auto"/>
        <w:ind w:left="2160" w:firstLine="720"/>
        <w:jc w:val="both"/>
        <w:rPr>
          <w:rFonts w:ascii="Times New Roman" w:hAnsi="Times New Roman"/>
          <w:color w:val="000000"/>
          <w:sz w:val="24"/>
          <w:szCs w:val="24"/>
        </w:rPr>
      </w:pPr>
      <w:r>
        <w:rPr>
          <w:rFonts w:ascii="Times New Roman" w:hAnsi="Times New Roman"/>
          <w:b/>
          <w:color w:val="000000"/>
          <w:sz w:val="24"/>
          <w:szCs w:val="24"/>
        </w:rPr>
        <w:t>Appendix VII:</w:t>
      </w:r>
      <w:r>
        <w:rPr>
          <w:rFonts w:ascii="Times New Roman" w:hAnsi="Times New Roman"/>
          <w:color w:val="000000"/>
          <w:sz w:val="24"/>
          <w:szCs w:val="24"/>
        </w:rPr>
        <w:t xml:space="preserve"> Showing Bacillus spp. </w:t>
      </w:r>
    </w:p>
    <w:p>
      <w:pPr>
        <w:rPr>
          <w:rFonts w:ascii="Times New Roman" w:hAnsi="Times New Roman"/>
          <w:sz w:val="24"/>
          <w:szCs w:val="24"/>
          <w:lang w:val="en-GB"/>
        </w:rPr>
      </w:pPr>
      <w:r>
        <w:rPr>
          <w:rFonts w:ascii="Times New Roman" w:hAnsi="Times New Roman"/>
          <w:sz w:val="24"/>
          <w:szCs w:val="24"/>
        </w:rPr>
        <w:drawing>
          <wp:inline distT="0" distB="0" distL="0" distR="0">
            <wp:extent cx="4702175" cy="3716655"/>
            <wp:effectExtent l="0" t="0" r="3175" b="0"/>
            <wp:docPr id="16" name="Picture 16" descr="IMG-20230728-WA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IMG-20230728-WA001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4702533" cy="3716900"/>
                    </a:xfrm>
                    <a:prstGeom prst="rect">
                      <a:avLst/>
                    </a:prstGeom>
                    <a:noFill/>
                    <a:ln>
                      <a:noFill/>
                    </a:ln>
                  </pic:spPr>
                </pic:pic>
              </a:graphicData>
            </a:graphic>
          </wp:inline>
        </w:drawing>
      </w:r>
    </w:p>
    <w:p>
      <w:pPr>
        <w:spacing w:after="120" w:line="360" w:lineRule="auto"/>
        <w:ind w:left="2880" w:firstLine="720"/>
        <w:jc w:val="both"/>
        <w:rPr>
          <w:rFonts w:ascii="Times New Roman" w:hAnsi="Times New Roman"/>
          <w:b/>
          <w:color w:val="000000"/>
          <w:sz w:val="24"/>
          <w:szCs w:val="24"/>
        </w:rPr>
      </w:pPr>
      <w:r>
        <w:rPr>
          <w:rFonts w:ascii="Times New Roman" w:hAnsi="Times New Roman"/>
          <w:b/>
          <w:color w:val="000000"/>
          <w:sz w:val="24"/>
          <w:szCs w:val="24"/>
        </w:rPr>
        <w:t>Appendix VIII</w:t>
      </w:r>
    </w:p>
    <w:p>
      <w:pPr>
        <w:rPr>
          <w:rFonts w:ascii="Times New Roman" w:hAnsi="Times New Roman"/>
          <w:sz w:val="24"/>
          <w:szCs w:val="24"/>
          <w:lang w:val="en-GB"/>
        </w:rPr>
      </w:pPr>
      <w:r>
        <w:rPr>
          <w:rFonts w:ascii="Times New Roman" w:hAnsi="Times New Roman"/>
          <w:sz w:val="24"/>
          <w:szCs w:val="24"/>
        </w:rPr>
        <w:drawing>
          <wp:inline distT="0" distB="0" distL="0" distR="0">
            <wp:extent cx="4643120" cy="3419475"/>
            <wp:effectExtent l="0" t="0" r="5080" b="9525"/>
            <wp:docPr id="15" name="Picture 15" descr="IMG-20230728-WA0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IMG-20230728-WA001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4643288" cy="3420121"/>
                    </a:xfrm>
                    <a:prstGeom prst="rect">
                      <a:avLst/>
                    </a:prstGeom>
                    <a:noFill/>
                    <a:ln>
                      <a:noFill/>
                    </a:ln>
                  </pic:spPr>
                </pic:pic>
              </a:graphicData>
            </a:graphic>
          </wp:inline>
        </w:drawing>
      </w:r>
    </w:p>
    <w:p>
      <w:pPr>
        <w:rPr>
          <w:rFonts w:ascii="Times New Roman" w:hAnsi="Times New Roman"/>
          <w:sz w:val="24"/>
          <w:szCs w:val="24"/>
          <w:lang w:val="en-GB"/>
        </w:rPr>
      </w:pPr>
    </w:p>
    <w:p>
      <w:pPr>
        <w:spacing w:after="120" w:line="360" w:lineRule="auto"/>
        <w:ind w:left="2880" w:firstLine="720"/>
        <w:jc w:val="both"/>
        <w:rPr>
          <w:rFonts w:ascii="Times New Roman" w:hAnsi="Times New Roman"/>
          <w:b/>
          <w:color w:val="000000"/>
          <w:sz w:val="24"/>
          <w:szCs w:val="24"/>
        </w:rPr>
      </w:pPr>
      <w:r>
        <w:rPr>
          <w:rFonts w:ascii="Times New Roman" w:hAnsi="Times New Roman"/>
          <w:b/>
          <w:color w:val="000000"/>
          <w:sz w:val="24"/>
          <w:szCs w:val="24"/>
        </w:rPr>
        <w:t>Appendix IX</w:t>
      </w:r>
    </w:p>
    <w:p>
      <w:pPr>
        <w:rPr>
          <w:rFonts w:ascii="Times New Roman" w:hAnsi="Times New Roman"/>
          <w:sz w:val="24"/>
          <w:szCs w:val="24"/>
          <w:lang w:val="en-GB"/>
        </w:rPr>
      </w:pPr>
      <w:r>
        <w:rPr>
          <w:rFonts w:ascii="Times New Roman" w:hAnsi="Times New Roman"/>
          <w:sz w:val="24"/>
          <w:szCs w:val="24"/>
        </w:rPr>
        <w:drawing>
          <wp:inline distT="0" distB="0" distL="0" distR="0">
            <wp:extent cx="4702175" cy="3633470"/>
            <wp:effectExtent l="0" t="0" r="3175" b="5080"/>
            <wp:docPr id="14" name="Picture 14" descr="IMG-20230728-WA0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IMG-20230728-WA00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4702462" cy="3633720"/>
                    </a:xfrm>
                    <a:prstGeom prst="rect">
                      <a:avLst/>
                    </a:prstGeom>
                    <a:noFill/>
                    <a:ln>
                      <a:noFill/>
                    </a:ln>
                  </pic:spPr>
                </pic:pic>
              </a:graphicData>
            </a:graphic>
          </wp:inline>
        </w:drawing>
      </w:r>
    </w:p>
    <w:p>
      <w:pPr>
        <w:spacing w:after="120" w:line="360" w:lineRule="auto"/>
        <w:ind w:left="2880" w:firstLine="720"/>
        <w:jc w:val="both"/>
        <w:rPr>
          <w:rFonts w:ascii="Times New Roman" w:hAnsi="Times New Roman"/>
          <w:b/>
          <w:color w:val="000000"/>
          <w:sz w:val="24"/>
          <w:szCs w:val="24"/>
        </w:rPr>
      </w:pPr>
      <w:r>
        <w:rPr>
          <w:rFonts w:ascii="Times New Roman" w:hAnsi="Times New Roman"/>
          <w:b/>
          <w:color w:val="000000"/>
          <w:sz w:val="24"/>
          <w:szCs w:val="24"/>
        </w:rPr>
        <w:t>Appendix X</w:t>
      </w:r>
    </w:p>
    <w:p>
      <w:pPr>
        <w:rPr>
          <w:rFonts w:ascii="Times New Roman" w:hAnsi="Times New Roman"/>
          <w:sz w:val="24"/>
          <w:szCs w:val="24"/>
          <w:lang w:val="en-GB"/>
        </w:rPr>
      </w:pPr>
      <w:r>
        <w:rPr>
          <w:rFonts w:ascii="Times New Roman" w:hAnsi="Times New Roman"/>
          <w:sz w:val="24"/>
          <w:szCs w:val="24"/>
        </w:rPr>
        <w:drawing>
          <wp:inline distT="0" distB="0" distL="0" distR="0">
            <wp:extent cx="4535805" cy="3348355"/>
            <wp:effectExtent l="0" t="0" r="0" b="4445"/>
            <wp:docPr id="12" name="Picture 12" descr="IMG-20230728-WA0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IMG-20230728-WA00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4536244" cy="3348746"/>
                    </a:xfrm>
                    <a:prstGeom prst="rect">
                      <a:avLst/>
                    </a:prstGeom>
                    <a:noFill/>
                    <a:ln>
                      <a:noFill/>
                    </a:ln>
                  </pic:spPr>
                </pic:pic>
              </a:graphicData>
            </a:graphic>
          </wp:inline>
        </w:drawing>
      </w:r>
    </w:p>
    <w:p>
      <w:pPr>
        <w:spacing w:after="120" w:line="360" w:lineRule="auto"/>
        <w:jc w:val="both"/>
        <w:rPr>
          <w:rFonts w:ascii="Times New Roman" w:hAnsi="Times New Roman"/>
          <w:color w:val="000000"/>
          <w:sz w:val="24"/>
          <w:szCs w:val="24"/>
        </w:rPr>
      </w:pPr>
    </w:p>
    <w:p>
      <w:pPr>
        <w:spacing w:after="120" w:line="360" w:lineRule="auto"/>
        <w:ind w:left="2880" w:firstLine="720"/>
        <w:jc w:val="both"/>
        <w:rPr>
          <w:rFonts w:ascii="Times New Roman" w:hAnsi="Times New Roman"/>
          <w:b/>
          <w:color w:val="000000"/>
          <w:sz w:val="24"/>
          <w:szCs w:val="24"/>
        </w:rPr>
      </w:pPr>
      <w:r>
        <w:rPr>
          <w:rFonts w:ascii="Times New Roman" w:hAnsi="Times New Roman"/>
          <w:b/>
          <w:color w:val="000000"/>
          <w:sz w:val="24"/>
          <w:szCs w:val="24"/>
        </w:rPr>
        <w:t>Appendix XI</w:t>
      </w:r>
    </w:p>
    <w:p>
      <w:pPr>
        <w:rPr>
          <w:rFonts w:ascii="Times New Roman" w:hAnsi="Times New Roman"/>
          <w:sz w:val="24"/>
          <w:szCs w:val="24"/>
          <w:lang w:val="en-GB"/>
        </w:rPr>
      </w:pPr>
      <w:r>
        <w:rPr>
          <w:rFonts w:ascii="Times New Roman" w:hAnsi="Times New Roman"/>
          <w:sz w:val="24"/>
          <w:szCs w:val="24"/>
        </w:rPr>
        <w:drawing>
          <wp:inline distT="0" distB="0" distL="0" distR="0">
            <wp:extent cx="4535805" cy="3681095"/>
            <wp:effectExtent l="0" t="0" r="0" b="0"/>
            <wp:docPr id="11" name="Picture 11" descr="IMG-20230728-WA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IMG-20230728-WA002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4536595" cy="3681529"/>
                    </a:xfrm>
                    <a:prstGeom prst="rect">
                      <a:avLst/>
                    </a:prstGeom>
                    <a:noFill/>
                    <a:ln>
                      <a:noFill/>
                    </a:ln>
                  </pic:spPr>
                </pic:pic>
              </a:graphicData>
            </a:graphic>
          </wp:inline>
        </w:drawing>
      </w:r>
    </w:p>
    <w:p>
      <w:pPr>
        <w:spacing w:after="120" w:line="360" w:lineRule="auto"/>
        <w:ind w:left="2160" w:firstLine="720"/>
        <w:jc w:val="both"/>
        <w:rPr>
          <w:rFonts w:ascii="Times New Roman" w:hAnsi="Times New Roman"/>
          <w:b/>
          <w:color w:val="000000"/>
          <w:sz w:val="24"/>
          <w:szCs w:val="24"/>
        </w:rPr>
      </w:pPr>
      <w:r>
        <w:rPr>
          <w:rFonts w:ascii="Times New Roman" w:hAnsi="Times New Roman"/>
          <w:b/>
          <w:color w:val="000000"/>
          <w:sz w:val="24"/>
          <w:szCs w:val="24"/>
        </w:rPr>
        <w:t>Appendix XII</w:t>
      </w:r>
    </w:p>
    <w:p>
      <w:pPr>
        <w:rPr>
          <w:rFonts w:ascii="Times New Roman" w:hAnsi="Times New Roman"/>
          <w:sz w:val="24"/>
          <w:szCs w:val="24"/>
          <w:lang w:val="en-GB"/>
        </w:rPr>
      </w:pPr>
      <w:r>
        <w:rPr>
          <w:rFonts w:ascii="Times New Roman" w:hAnsi="Times New Roman"/>
          <w:sz w:val="24"/>
          <w:szCs w:val="24"/>
        </w:rPr>
        <w:drawing>
          <wp:inline distT="0" distB="0" distL="0" distR="0">
            <wp:extent cx="4845050" cy="3609975"/>
            <wp:effectExtent l="0" t="0" r="0" b="9525"/>
            <wp:docPr id="8" name="Picture 8" descr="IMG-20230728-WA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IMG-20230728-WA000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4844963" cy="3609973"/>
                    </a:xfrm>
                    <a:prstGeom prst="rect">
                      <a:avLst/>
                    </a:prstGeom>
                    <a:noFill/>
                    <a:ln>
                      <a:noFill/>
                    </a:ln>
                  </pic:spPr>
                </pic:pic>
              </a:graphicData>
            </a:graphic>
          </wp:inline>
        </w:drawing>
      </w:r>
    </w:p>
    <w:p>
      <w:pPr>
        <w:rPr>
          <w:rFonts w:ascii="Times New Roman" w:hAnsi="Times New Roman"/>
          <w:sz w:val="24"/>
          <w:szCs w:val="24"/>
          <w:lang w:val="en-GB"/>
        </w:rPr>
      </w:pPr>
      <w:r>
        <w:rPr>
          <w:rFonts w:ascii="Times New Roman" w:hAnsi="Times New Roman"/>
          <w:sz w:val="24"/>
          <w:szCs w:val="24"/>
          <w:lang w:val="en-GB"/>
        </w:rPr>
        <w:t>Goat litters plot</w:t>
      </w:r>
    </w:p>
    <w:p>
      <w:pPr>
        <w:spacing w:after="120" w:line="360" w:lineRule="auto"/>
        <w:ind w:left="1440" w:firstLine="720"/>
        <w:jc w:val="both"/>
        <w:rPr>
          <w:rFonts w:ascii="Times New Roman" w:hAnsi="Times New Roman"/>
          <w:color w:val="000000"/>
          <w:sz w:val="24"/>
          <w:szCs w:val="24"/>
        </w:rPr>
      </w:pPr>
      <w:r>
        <w:rPr>
          <w:rFonts w:ascii="Times New Roman" w:hAnsi="Times New Roman"/>
          <w:b/>
          <w:color w:val="000000"/>
          <w:sz w:val="24"/>
          <w:szCs w:val="24"/>
        </w:rPr>
        <w:t>Appendix XIII</w:t>
      </w:r>
      <w:r>
        <w:rPr>
          <w:rFonts w:ascii="Times New Roman" w:hAnsi="Times New Roman"/>
          <w:color w:val="000000" w:themeColor="text1"/>
          <w:sz w:val="24"/>
          <w:szCs w:val="24"/>
          <w14:textFill>
            <w14:solidFill>
              <w14:schemeClr w14:val="tx1"/>
            </w14:solidFill>
          </w14:textFill>
        </w:rPr>
        <w:t>: showing poultry litters site</w:t>
      </w:r>
    </w:p>
    <w:p>
      <w:pPr>
        <w:rPr>
          <w:rFonts w:ascii="Times New Roman" w:hAnsi="Times New Roman"/>
          <w:sz w:val="24"/>
          <w:szCs w:val="24"/>
          <w:lang w:val="en-GB"/>
        </w:rPr>
      </w:pPr>
      <w:r>
        <w:rPr>
          <w:rFonts w:ascii="Times New Roman" w:hAnsi="Times New Roman"/>
          <w:sz w:val="24"/>
          <w:szCs w:val="24"/>
        </w:rPr>
        <w:drawing>
          <wp:inline distT="0" distB="0" distL="0" distR="0">
            <wp:extent cx="4845050" cy="3360420"/>
            <wp:effectExtent l="0" t="0" r="0" b="0"/>
            <wp:docPr id="7" name="Picture 7" descr="IMG-20230728-WA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MG-20230728-WA000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4845216" cy="3360774"/>
                    </a:xfrm>
                    <a:prstGeom prst="rect">
                      <a:avLst/>
                    </a:prstGeom>
                    <a:noFill/>
                    <a:ln>
                      <a:noFill/>
                    </a:ln>
                  </pic:spPr>
                </pic:pic>
              </a:graphicData>
            </a:graphic>
          </wp:inline>
        </w:drawing>
      </w:r>
      <w:bookmarkEnd w:id="60"/>
    </w:p>
    <w:p>
      <w:pPr>
        <w:ind w:left="2880" w:firstLine="720"/>
        <w:rPr>
          <w:rFonts w:ascii="Times New Roman" w:hAnsi="Times New Roman"/>
          <w:b/>
          <w:sz w:val="24"/>
          <w:szCs w:val="24"/>
          <w:lang w:val="en-GB"/>
        </w:rPr>
      </w:pPr>
      <w:r>
        <w:rPr>
          <w:rFonts w:ascii="Times New Roman" w:hAnsi="Times New Roman"/>
          <w:b/>
          <w:sz w:val="24"/>
          <w:szCs w:val="24"/>
          <w:lang w:val="en-GB"/>
        </w:rPr>
        <w:t>Appendix XIV</w:t>
      </w:r>
    </w:p>
    <w:p>
      <w:pPr>
        <w:rPr>
          <w:rFonts w:ascii="Times New Roman" w:hAnsi="Times New Roman"/>
          <w:b/>
          <w:sz w:val="24"/>
          <w:szCs w:val="24"/>
          <w:lang w:val="en-GB"/>
        </w:rPr>
      </w:pPr>
      <w:r>
        <w:rPr>
          <w:rFonts w:ascii="Times New Roman" w:hAnsi="Times New Roman"/>
          <w:b/>
          <w:sz w:val="24"/>
          <w:szCs w:val="24"/>
          <w:lang w:val="en-GB"/>
        </w:rPr>
        <w:t>Integrity test for five bacterial samples</w:t>
      </w:r>
    </w:p>
    <w:p>
      <w:pPr>
        <w:spacing w:after="120" w:line="360" w:lineRule="auto"/>
        <w:jc w:val="both"/>
        <w:rPr>
          <w:rFonts w:ascii="Times New Roman" w:hAnsi="Times New Roman"/>
          <w:color w:val="000000"/>
          <w:sz w:val="24"/>
          <w:szCs w:val="24"/>
        </w:rPr>
      </w:pPr>
      <w:r>
        <w:rPr>
          <w:rFonts w:ascii="Times New Roman" w:hAnsi="Times New Roman"/>
          <w:color w:val="000000"/>
          <w:sz w:val="24"/>
          <w:szCs w:val="24"/>
        </w:rPr>
        <w:drawing>
          <wp:inline distT="0" distB="0" distL="0" distR="0">
            <wp:extent cx="5723890" cy="618680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a:xfrm>
                      <a:off x="0" y="0"/>
                      <a:ext cx="5723890" cy="6186805"/>
                    </a:xfrm>
                    <a:prstGeom prst="rect">
                      <a:avLst/>
                    </a:prstGeom>
                    <a:noFill/>
                    <a:ln>
                      <a:noFill/>
                    </a:ln>
                  </pic:spPr>
                </pic:pic>
              </a:graphicData>
            </a:graphic>
          </wp:inline>
        </w:drawing>
      </w:r>
    </w:p>
    <w:p>
      <w:pPr>
        <w:spacing w:after="120" w:line="360" w:lineRule="auto"/>
        <w:rPr>
          <w:rFonts w:ascii="Times New Roman" w:hAnsi="Times New Roman"/>
          <w:color w:val="000000"/>
          <w:sz w:val="24"/>
          <w:szCs w:val="24"/>
        </w:rPr>
      </w:pPr>
    </w:p>
    <w:p>
      <w:pPr>
        <w:spacing w:after="120" w:line="360" w:lineRule="auto"/>
        <w:rPr>
          <w:rFonts w:ascii="Times New Roman" w:hAnsi="Times New Roman"/>
          <w:color w:val="000000"/>
          <w:sz w:val="24"/>
          <w:szCs w:val="24"/>
        </w:rPr>
      </w:pPr>
    </w:p>
    <w:p>
      <w:pPr>
        <w:spacing w:after="120" w:line="360" w:lineRule="auto"/>
        <w:rPr>
          <w:rFonts w:ascii="Times New Roman" w:hAnsi="Times New Roman"/>
          <w:b/>
          <w:sz w:val="24"/>
          <w:szCs w:val="24"/>
          <w:u w:val="single"/>
        </w:rPr>
      </w:pPr>
    </w:p>
    <w:p>
      <w:pPr>
        <w:spacing w:after="120" w:line="360" w:lineRule="auto"/>
        <w:rPr>
          <w:rFonts w:ascii="Times New Roman" w:hAnsi="Times New Roman"/>
          <w:b/>
          <w:sz w:val="24"/>
          <w:szCs w:val="24"/>
        </w:rPr>
      </w:pPr>
    </w:p>
    <w:p>
      <w:pPr>
        <w:spacing w:after="120" w:line="360" w:lineRule="auto"/>
        <w:jc w:val="center"/>
        <w:rPr>
          <w:rFonts w:ascii="Times New Roman" w:hAnsi="Times New Roman"/>
          <w:b/>
          <w:sz w:val="24"/>
          <w:szCs w:val="24"/>
        </w:rPr>
      </w:pPr>
      <w:r>
        <w:rPr>
          <w:rFonts w:ascii="Times New Roman" w:hAnsi="Times New Roman"/>
          <w:b/>
          <w:sz w:val="24"/>
          <w:szCs w:val="24"/>
        </w:rPr>
        <w:t>Appendix XV</w:t>
      </w:r>
    </w:p>
    <w:p>
      <w:pPr>
        <w:spacing w:after="120" w:line="360" w:lineRule="auto"/>
        <w:rPr>
          <w:rFonts w:ascii="Times New Roman" w:hAnsi="Times New Roman"/>
          <w:color w:val="000000"/>
          <w:sz w:val="24"/>
          <w:szCs w:val="24"/>
        </w:rPr>
      </w:pPr>
      <w:r>
        <w:rPr>
          <w:rFonts w:ascii="Times New Roman" w:hAnsi="Times New Roman"/>
          <w:b/>
          <w:sz w:val="24"/>
          <w:szCs w:val="24"/>
        </w:rPr>
        <w:t>Summary of sequencing result</w:t>
      </w:r>
    </w:p>
    <w:p>
      <w:pPr>
        <w:spacing w:after="0" w:line="240" w:lineRule="auto"/>
        <w:rPr>
          <w:rFonts w:ascii="Times New Roman" w:hAnsi="Times New Roman"/>
          <w:sz w:val="24"/>
          <w:szCs w:val="24"/>
        </w:rPr>
      </w:pPr>
      <w:r>
        <w:rPr>
          <w:rFonts w:ascii="Times New Roman" w:hAnsi="Times New Roman"/>
          <w:sz w:val="24"/>
          <w:szCs w:val="24"/>
        </w:rPr>
        <w:t>&gt;</w:t>
      </w:r>
      <w:r>
        <w:rPr>
          <w:rFonts w:ascii="Times New Roman" w:hAnsi="Times New Roman"/>
          <w:color w:val="222222"/>
          <w:sz w:val="24"/>
          <w:szCs w:val="24"/>
          <w:shd w:val="clear" w:color="auto" w:fill="FFFFFF"/>
        </w:rPr>
        <w:t xml:space="preserve">OP320372| </w:t>
      </w:r>
      <w:r>
        <w:rPr>
          <w:rFonts w:ascii="Times New Roman" w:hAnsi="Times New Roman"/>
          <w:i/>
          <w:sz w:val="24"/>
          <w:szCs w:val="24"/>
        </w:rPr>
        <w:t>Pseudomonas aeruginosa</w:t>
      </w:r>
      <w:r>
        <w:rPr>
          <w:rFonts w:ascii="Times New Roman" w:hAnsi="Times New Roman"/>
          <w:sz w:val="24"/>
          <w:szCs w:val="24"/>
        </w:rPr>
        <w:t xml:space="preserve"> strain UI-ANSCB-01 16S ribosomal RNA gene, partial sequence</w:t>
      </w:r>
    </w:p>
    <w:p>
      <w:pPr>
        <w:spacing w:after="0" w:line="240" w:lineRule="auto"/>
        <w:rPr>
          <w:rFonts w:ascii="Times New Roman" w:hAnsi="Times New Roman"/>
          <w:sz w:val="24"/>
          <w:szCs w:val="24"/>
        </w:rPr>
      </w:pPr>
      <w:r>
        <w:rPr>
          <w:rFonts w:ascii="Times New Roman" w:hAnsi="Times New Roman"/>
          <w:sz w:val="24"/>
          <w:szCs w:val="24"/>
        </w:rPr>
        <w:t>GCTTGCTCCTGGATTCAGCGGCGGACGGGTGAGTAATGCCTAGGAATCTTCCTGGTAGTGGGGGATAACGTCCGGAAACGGGCGCTAATACCGCATACGTCCTGAGGGAGAAAGTGGGGGATCTTCGGACCTCACGCTATCAGATGAGCCTAGGTCGGATTAGCTAGTTGGTGGGGTAAAGGCCTACCAAGGCGACGATCCGTAACTGGTCTGAGAGGATGATCAGTCACACTGGAACTGAGACACGGTCCAGACTCCTACGGGAGGCAGCAGTGGGGAATATTGGACAATGGGCGCAAGCCTGATCCAGCCATGCCGCGTGTGTGAAGAAGGTCTTCGGATTGTAAAGCACTTTAAGTTGGGAGGAAGGGCAGTAAGTTAATACCTTGCTGTTTTGACGTTACCAACAGAATAAGCACCGGCTAACTTCGTGCCAGCAGCCGCGGTAATACGAAGGGTGCAAGCGTTAATCGGAATTACTGGGCGTAAAGCGCGCGTAGGTGGTTCAGCAAGTTGGATGTGAAATCCCCGGGCTCAACCTGGGAACTGCATCCAAAACTACTGAGCTAGAGTACGGTAGAGGGTGGTGGAATTTCCTGTGTAGCGGTGAAATGCGTAGATATAGGAAGGAACACCAGTGGCGAAGGCGACCACCTGGACTGTACTGACACTGAGGTGCGAAAGCGTGGGGAGCAAACAGGATTAGATACCCTGGTAGTCCACGCCGTAAACGATGTCGACTAGCCGTTGGGATCCTTGAGATCTTAGTGGCGCAGCTAACGCGATAAGTCGACCGCCTGGGGAGTACGGCCGCAAGGTTAAAACTCAAATAATTGACGGGGGCCCGCACAAGCGGTGGAGCATGTGGTTTAATTCGAAGCAACGCGAAGAACCTTACCTGGCCTTGACATGCAGAGAACTTTCCAGAGATGGATTGGTGCCTTCGGGAACTCAGACACAGGTGCTGCATGGCTGTCGTCAGCTCGTGTCGTGAGATGTTGGGTTAAGTCCCGTAACGAGCGCAACCCTTGTCCTTAGTTACCAGCACCTCGGGTGGGCACTCTAAGGAGACTGCCGGTGACAAACCGGAGGAAGGTGGGGATGACGTCAAGTCATCATGGCCCTTACGGCCAGGGCTACACACGTGCTACAATGGTCGGTACAAAGGGTTGCCAAGCCGCGAGGTGGAGCTAATCCCATAAAACCGATCGTAGTCCGGATCGCAGTCTGCAACTCGACTGCGTGAAGTCGGAATCGCTAGTAATCGTGAATCAGAATGTCACGGTGAATACGTTCCCGGGCCTTGTACACACCGCCCGTCACACCATGGGAGTGGGTTGCTCCAGAAGTAGCTAGTCTAACCGCAAGGGGGACGGTTACCACGGAGTGATTCATGACTGGGGTGAAG</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&gt;</w:t>
      </w:r>
      <w:r>
        <w:rPr>
          <w:rFonts w:ascii="Times New Roman" w:hAnsi="Times New Roman"/>
          <w:color w:val="222222"/>
          <w:sz w:val="24"/>
          <w:szCs w:val="24"/>
          <w:shd w:val="clear" w:color="auto" w:fill="FFFFFF"/>
        </w:rPr>
        <w:t>OP320373|</w:t>
      </w:r>
      <w:r>
        <w:rPr>
          <w:rFonts w:ascii="Times New Roman" w:hAnsi="Times New Roman"/>
          <w:i/>
          <w:sz w:val="24"/>
          <w:szCs w:val="24"/>
        </w:rPr>
        <w:t>Bacillus cereus</w:t>
      </w:r>
      <w:r>
        <w:rPr>
          <w:rFonts w:ascii="Times New Roman" w:hAnsi="Times New Roman"/>
          <w:sz w:val="24"/>
          <w:szCs w:val="24"/>
        </w:rPr>
        <w:t xml:space="preserve"> strain UI-ANSCB-02 16S ribosomal RNA gene, partial sequence</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CGGCGTGCCTAATACATGCAGTCGAGCGAATGGATTGAGAGCTTGCTCTTATGAAGTTAGCGGCGGACGGGTGAGTAACACGTGGGTAACCTGCCCATAAGACTGGGATAACTCCGGGAAACCGGGGCTAATACCGGATAACATTTTGAACCGCATGGTTCGAAATTGAAAGGCGGCTTCGGCTGTCACTTATGGATGGACCCGCGTCGCATTAGCTAGTTGGTGAGGTAACGGCTCACCAAGGCAACGATGCGTAGCCGACCTGAGAGGGTGATCGGCCACACTGGGACTGAGACACGGCCCAGACTCCTACGGGAGGCAGCAGTAGGGAATCTTCCGCAATGGACGAAAGTCTGACGGAGCAACGCCGCGTGAGTGATGAAGGCTTTCGGGTCGTAAAACTCTGTTGTTAGGGAAGAACAAGTGCTAGTTGAATAAGCTGGCACCTTGACGGTACCTAACCAGAAAGCCACGGCTAACTACGTGCCAGCAGCCGCGGTAATACGTAGGTGGCAAGCGTTATCCGGAATTATTGGGCGTAAAGCGCGCGCAGGTGGTTTCTTAAGTCTGATGTGAAAGCCCACGGCTCAACCGTGGAGGGTCATTGGAAACTGGGAGACTTGAGTGCAGAAGAGGAAAGTGGAATTCCATGTGTAGCGGTGAAATGCGTAGAGATATGGAGGAACACCAGTGGCGAAGGCGACTTTCTGGTCTGTAACTGACACTGAGGCGCGAAAGCGTGGGGAGCAAACAGGATTAGATACCCTGGTAGTCCACGCCGTAAACGATGAGTGCTAAGTGTTAGAGGGTTTCCGCCCTTTAGTGCTGAAGTTAACGCATTAAGCACTCCGCCTGGGGAGTACGGCCGCAAGGCTGAAACTCAAAGGAATTGACGGGGGCCCGCACAAGCGGTGGAGCATGTGGTTTAATTCGAAGCAACGCGAAGAACCTTACCAGGTCTTGACATCCTCTGAAAACCCTAGAGATAGGGCTTCTCCTTCGGGAGCAGAGTGACAGGTGGTGCATGGTTGTCGTCAGCTCGTGTCGTGAGATGTTGGGTTAAGTCCCGCAACGAGCGCAACCCTTGATCTTAGTTGCCATCATTAAGTTGGGCACTCTAAGGTGACTGCCGGTGACAAACCGGAGGAAGGTGGGGATGACGTCAAATCATCATGCCCCTTATGACCTGGGCTACACACGTGCTACAATGGACGGTACAAAGAGCTGCAAGACCGCGAGGTGGAGCTAATCTCATAAAACCGTTCTCAGTTCGGATTGTAGGCTGCAACTCGCCTACATGAAGCTGGAATCGCTAGTAATCGCGGATCAGCATGCCGCGGTGAATACGTTCCCGGGCCTTGTACACACCGCCCGTCACACCACGAGAGTTTGTAACACCCGAAGTCGGTGGGGTAACCTTTTGGAGCCAGCCGCCTAA</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&gt;</w:t>
      </w:r>
      <w:r>
        <w:rPr>
          <w:rFonts w:ascii="Times New Roman" w:hAnsi="Times New Roman"/>
          <w:color w:val="222222"/>
          <w:sz w:val="24"/>
          <w:szCs w:val="24"/>
          <w:shd w:val="clear" w:color="auto" w:fill="FFFFFF"/>
        </w:rPr>
        <w:t>OP320374|</w:t>
      </w:r>
      <w:r>
        <w:rPr>
          <w:rFonts w:ascii="Times New Roman" w:hAnsi="Times New Roman"/>
          <w:i/>
          <w:sz w:val="24"/>
          <w:szCs w:val="24"/>
        </w:rPr>
        <w:t>Klebsiella pneumoniae</w:t>
      </w:r>
      <w:r>
        <w:rPr>
          <w:rFonts w:ascii="Times New Roman" w:hAnsi="Times New Roman"/>
          <w:sz w:val="24"/>
          <w:szCs w:val="24"/>
        </w:rPr>
        <w:t xml:space="preserve"> UI-ANSNFB-03 16S ribosomal RNA gene, partial sequence</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GGCGGCAGGCCTAACACATGCAAGTCGAGCGGTAGCACAGAGAGCTTGCTCTCCGGTGACGAGCGGCGGACGGGTGAGTAATGTCTGGGAAACTGCCTGATGGAGGGGGATAACTACTGGAAACGGTAGCTAATACCGCATAACGTCGCAAGACCAAAGTGGGGGACCTTCGGGCCTCATGCCATCAGATGTGCCCAAATGGGATTAGCTAGTAGGTGGGGTAACGGCTCACCTAGGCGACGATCCCTAGCTGGTCTGAGAGGATGACCAGCCACACTGGAACTGAGACACGGTCCAGACTCCTACGGGAGGCAGCAGTGGGGATATTGCACAATGGGCGCAAGCCTGATGCAGCCATGCCGCGTGTGTGAAGAAGGCCTTCGGGTTGTAAAGCACTTTCAGCGGGGAGGAAGGCGATGAGGTTAATAACCTCATCGATTGACGTTACCCTGCAGAAGAAGCACCGGCTAACTCCGTGCCAGCAGCCGCGGTAATACGGAGGGTGCAAGCGTTAATCGGAATTACTGGGCGTAAAGCGCACGCAGGCGGTCTGTCAAGTCGGATGTGAAATCCCCGGGCTCAACCTGGGAACTGCATTCGAAACTGGCAGGCTAGAGCTTGTAGAGGGGGGTAGAATTCCAGGTGTAGCGGTGAAATGCGTAGAGATCTGGAGGAATACCGGTGGCGAACGCGGCCCCCTGGACAAAGACTGACGCTCAGGTGCGAAAGCGTGGGGAGCAAACAGGATTAGATACCCTGGTAGTCCACGCCGTAAACGATGTCGATTTGGAGGTTGTGCCCTTGAGGCGTGGCTTCCGGAGCTAACGCGTTAAATCGACCGCCTGGGGAGTACGGCCGCAAGGTTAAAACTCAAATGAATTGACGGGGGCCCGCACAAGCGGTGGAGCATGTGGTTTAATTCGATGCAACGCGAAGAACCTTACCTGGTCTTGACATCCACAGACTTTCCAGAGATGGATTGGTGCCTTCGGGAACTCTGAGACAGGTGCTGCATGGCTGTCGTCAGCTCGTGTTGTGAAATGTTGGGTTAAGTCCCGCAACGAGCGCAACCCTTATCCTTTGTTGCCAGCGGTTAGGCCGGGAACTCAAAGGAGACTGCCAGTGATAAACTGGAGGAAGGTGGGGATGACGTCAAGTCATCATGGCCCTTACGACCAGGGCTACACACGTGCTACAATGGCATATACAAAGAGAAGCGACCTCGCGAGAGCAAGCGGACCTCATAAAGTATGTCGTAGTCCGGATTGGAGTCTGCAACTCGACTCCATGAAGTCGGAATCGCTAGTAATCGTAGATCAGAATGCTACGGTGAATACGTTCCCGGGCCTTGTACACACCGCCCGTCACACCATGGGAGTGGGTTGCAAAAGAAGTAGGTAGCTTAACCTTCGGGAGGGCGCTTACCACTTTGTGATTCATGACTGGGGTGAAGTCGTAACAAGGTAACCGTAGGGGAACCTGCGG</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&gt;</w:t>
      </w:r>
      <w:r>
        <w:rPr>
          <w:rFonts w:ascii="Times New Roman" w:hAnsi="Times New Roman"/>
          <w:color w:val="222222"/>
          <w:sz w:val="24"/>
          <w:szCs w:val="24"/>
          <w:shd w:val="clear" w:color="auto" w:fill="FFFFFF"/>
        </w:rPr>
        <w:t>OP320375|</w:t>
      </w:r>
      <w:r>
        <w:rPr>
          <w:rFonts w:ascii="Times New Roman" w:hAnsi="Times New Roman"/>
          <w:sz w:val="24"/>
          <w:szCs w:val="24"/>
        </w:rPr>
        <w:t xml:space="preserve"> </w:t>
      </w:r>
      <w:r>
        <w:rPr>
          <w:rFonts w:ascii="Times New Roman" w:hAnsi="Times New Roman"/>
          <w:i/>
          <w:sz w:val="24"/>
          <w:szCs w:val="24"/>
        </w:rPr>
        <w:t>Bacillus subtilis</w:t>
      </w:r>
      <w:r>
        <w:rPr>
          <w:rFonts w:ascii="Times New Roman" w:hAnsi="Times New Roman"/>
          <w:sz w:val="24"/>
          <w:szCs w:val="24"/>
        </w:rPr>
        <w:t xml:space="preserve"> UI-ANSPSB-04 16S ribosomal RNA gene, partial sequence</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GCAAGTCGAGCGGACAGATGGGAGCTTGCTCCCTGATGTTAGCGGCGGACGGGTGAGTAACACGTGGGTAACCTGCCTGTAAGACTGGGATAACTCCGGGAAACCGGGGCTAATACCGGATGCTTGTTTGAACCGCATGGTTCAGACATAAAAGGTGGCTTCGGCTACCACTTACAGATGGACCCGCGGCGCATTAGCTAGTTGGTGAGGTAACGGCTCACCAAGGCGACGATGCGTAGCCGACCTGAGAGGGTGATCGGCCACACTGGGACTGAGACACGGCCCAGACTCCTACGGGAGGCAGCAGTAGGGAATCTTCCGCAATGGACGAAAGTCTGACGGAGCAACGCCGCGTGAGTGATGAAGGTTTTCGGATCGTAAAGCTCTGTTGTTAGGGAAGAACAAGTACCGTTCAAATAGGGCGGCACCTTGACGGTACCTAACCAGAAAGCCACGGCTAACTACGTGCCAGCAGCCGCGGTAATACGTAGGTGGCAAGCGTTGTCCGGAATTATTGGGCGTAAAGGGCTCGCAGGCGGTTTCTTAAGTCTGATGTGAAAGCCCCCGGCTCAACCGGGGAGGGTCATTGGAAACTGGGGAACTTGAGTGCAGAAGAGGAGAGTGGAATTCCACGTGTAGCGGTGAAATGCGTAGAGATGTGGAGGAACACCAGTGGCGAAGGCGACTCTCTGGTCTGTAACTGACGCTGAGGAGCGAAAGCGTGGGGAGCGAACAGGATTAGATACCCTGGTAGTCCACGCCGTAAACGATGAGTGCTAAGTGTTAGGGGGTTTCCGCCCCTTAGTGCTGCAGCTAACGCATTAAGCACTCCGCCTGGGGAGTACGGTCGCAAGACTGAAACTCAAAGGATTTGACGGGGGCCCGCACAAGCCGGTGGAGCATGTGGTTTAATTCGAAGCAACGCGAAGAACCTTACCAGGTCTTGACATCCTCTGACAATCCTAGAGATAGGACGTCCCCTTCGGGGGCAGAGTGACAGGTGGTGCATGGGTTGTCGTCAGCTCGTGTCGTGAGATGTTGGGTTAAGTCCCGCAACGAGCGCAACCCTTGATCTTAGTTGCCAGCATTCAGTTGGGCACTCTAAGGTGACTGCCGGTGACAAACCGGAGGAAGGTGGGGATGACGTCAAATCATCATGCCCCTTATGACCTGGGCTACACACGTGCTACAATGGACAGAACAAAGGGCAGCGAAACCGCGAGGTTAAGCCAATCCCACAAATCTGTTCTCAGTTCGGATCGCAGTCTGCAACTCGACTGCGTGAAGCTGGAATCGCTAGTAATCGCGGATCAGCATGCCGCGGTGAATACGTTCCCGGGCCTTGTACACACCGCCCGTCACACCACGAGAGTTTGTAACACCCGAAGTCGGTGAGGTAACC</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pPr>
      <w:r>
        <w:rPr>
          <w:rFonts w:ascii="Times New Roman" w:hAnsi="Times New Roman"/>
          <w:sz w:val="24"/>
          <w:szCs w:val="24"/>
        </w:rPr>
        <w:t>&gt;</w:t>
      </w:r>
      <w:r>
        <w:rPr>
          <w:rFonts w:ascii="Times New Roman" w:hAnsi="Times New Roman"/>
          <w:color w:val="222222"/>
          <w:sz w:val="24"/>
          <w:szCs w:val="24"/>
          <w:shd w:val="clear" w:color="auto" w:fill="FFFFFF"/>
        </w:rPr>
        <w:t>OP320376|</w:t>
      </w:r>
      <w:r>
        <w:rPr>
          <w:rFonts w:ascii="Times New Roman" w:hAnsi="Times New Roman"/>
          <w:sz w:val="24"/>
          <w:szCs w:val="24"/>
        </w:rPr>
        <w:t xml:space="preserve"> </w:t>
      </w:r>
      <w:r>
        <w:rPr>
          <w:rFonts w:ascii="Times New Roman" w:hAnsi="Times New Roman"/>
          <w:i/>
          <w:sz w:val="24"/>
          <w:szCs w:val="24"/>
        </w:rPr>
        <w:t>Bacillus thuringiensis</w:t>
      </w:r>
      <w:r>
        <w:rPr>
          <w:rFonts w:ascii="Times New Roman" w:hAnsi="Times New Roman"/>
          <w:sz w:val="24"/>
          <w:szCs w:val="24"/>
        </w:rPr>
        <w:t xml:space="preserve"> UI-ANSAC-05 16S ribosomal RNA gene, partial sequence</w:t>
      </w:r>
    </w:p>
    <w:p>
      <w:pPr>
        <w:spacing w:after="0" w:line="240" w:lineRule="auto"/>
        <w:rPr>
          <w:rFonts w:ascii="Times New Roman" w:hAnsi="Times New Roman"/>
          <w:sz w:val="24"/>
          <w:szCs w:val="24"/>
        </w:rPr>
      </w:pPr>
    </w:p>
    <w:p>
      <w:pPr>
        <w:spacing w:after="0" w:line="240" w:lineRule="auto"/>
        <w:rPr>
          <w:rFonts w:ascii="Times New Roman" w:hAnsi="Times New Roman"/>
          <w:sz w:val="24"/>
          <w:szCs w:val="24"/>
        </w:rPr>
        <w:sectPr>
          <w:pgSz w:w="12240" w:h="15840"/>
          <w:pgMar w:top="1440" w:right="1440" w:bottom="1440" w:left="1440" w:header="720" w:footer="720" w:gutter="0"/>
          <w:cols w:space="720" w:num="1"/>
          <w:docGrid w:linePitch="360" w:charSpace="0"/>
        </w:sectPr>
      </w:pPr>
      <w:r>
        <w:rPr>
          <w:rFonts w:ascii="Times New Roman" w:hAnsi="Times New Roman"/>
          <w:sz w:val="24"/>
          <w:szCs w:val="24"/>
        </w:rPr>
        <w:t>CGGCGTGCCTAATACATGCAGTCGAGCGAATGGATTAAGAGCTTGCTCTTATGAAGTTAGCGGCGGACGGGTGAGTAACACGTGGGTAACCTGCCCATAAGACTGGGATAACTCCGGGAAACCGGGGCTAATACCGGATAACATTTTGAACTGCATGGTTCGAAATTGAAAGGCGGCTTCGGCTGTCACTTATGGATGGACCCGCGTCGCATTAGCTAGTTGGTGAGGTAACGGCTCACCAAGGCAACGATGCGTAGCCGACCTGAGAGGGTGATCGGCCACACTGGGACTGAGACACGGCCCAGACTCCTACGGGAGGCAGCAGTAGGGAATCTTCCGCAATGGACGAAAGTCTGACGGAGCAACGCCGCGTGAGTGATGAAGGCTTTCGGGTCGTAAAACTCTGTTGTTAGGGAAGAACAAGTGCTAGTTGAATAAGCTGGCACCTTGACGGTACCTAACCAGAAAGCCACGGCTAACTACGTGCCAGCAGCCGCGGTAATACGTAGGTGGCAAGCGTTATCCGGAATTATTGGGCGTAAAGCGCGCGCAGGTGGTTTCTTAAGTCTGATGTGAAAGCCCACGGCTCAACCGTGGAGGGTCATTGGAAACTGGGAGACTTGAGTGCAGAAGAGGAAAGTGGAATTCCATGTGTAGCGGTGAAATGCGTAGAGATATGGAGGAACACCAGTGGCGAAGGCGACTTTCTGGTCTGTAACTGACACTGAGGCGCGAAAGCGTGGGGAGCAAACAGGATTAGATACCCTGGTAGTCCACGCCGTAAACGATGAGTGCTAAGTGTTAGAGGGTTTCCGCCCTTTAGTGCTGAAGTTAACGCATTAAGCACTCCGCCTGGGGAGTACGGCCGCAAGGCTGAAACTCAAAGGAATTGACGGGGGCCCGCACAAGCGGTGGAGCATGTGGTTTAATTCGAAGCAACGCGAAGAACCTTACCAGGTCTTGACATCCTCTGAAAACCCTAGAGATAGGGCTTCTCCTTCGGGAGCAGAGTGACAGGTGGTGCATGGTTGTCGTCAGCTCGTGTCGTGAGATGTTGGGTTAAGTCCCGCAACGAGCGCAACCCTTGATCTTAGTTGCCATCATTAAGTTGGGCACTCTAAGGTGACTGCCGGTGACAAACCGGAGGAAGGTGGGGATGACGTCAAATCATCATGCCCCTTATGACCTGGGCTACACACGTGCTACAATGGACGGTACAAAGAGCTGCAAGACCGCGAGGTGGAGCTAATCTCATAAAACCGTTCTCAGTTCGGATTGTAGGCTGCAACTCGCCTACATGAAGCTGGAATCGCTAGTAATCGCGGATCAGCATGCCGCGGTGAATACGTTCCCGGGCCTTGTACACACCGCCCGTCACACCACGAGAGTTTGTAACACCCGAAGTCGGTGGGGTAACCTTTTTGGAGCCAGCCGC</w:t>
      </w:r>
    </w:p>
    <w:p>
      <w:pPr>
        <w:tabs>
          <w:tab w:val="left" w:pos="3510"/>
        </w:tabs>
        <w:spacing w:after="200" w:line="276" w:lineRule="auto"/>
        <w:rPr>
          <w:rFonts w:ascii="Times New Roman" w:hAnsi="Times New Roman" w:eastAsia="Times New Roman"/>
          <w:b/>
          <w:sz w:val="24"/>
          <w:szCs w:val="24"/>
        </w:rPr>
        <w:sectPr>
          <w:pgSz w:w="12240" w:h="15840"/>
          <w:pgMar w:top="1440" w:right="1440" w:bottom="1440" w:left="1440" w:header="720" w:footer="720" w:gutter="0"/>
          <w:pgNumType w:start="143"/>
          <w:cols w:space="720" w:num="1"/>
          <w:docGrid w:linePitch="360" w:charSpace="0"/>
        </w:sectPr>
      </w:pPr>
      <w:r>
        <w:rPr>
          <w:rFonts w:ascii="Times New Roman" w:hAnsi="Times New Roman"/>
          <w:b/>
          <w:sz w:val="24"/>
          <w:szCs w:val="24"/>
          <w:u w:val="single"/>
        </w:rPr>
        <mc:AlternateContent>
          <mc:Choice Requires="wpc">
            <w:drawing>
              <wp:anchor distT="0" distB="0" distL="114300" distR="114300" simplePos="0" relativeHeight="251669504" behindDoc="0" locked="0" layoutInCell="1" allowOverlap="1">
                <wp:simplePos x="0" y="0"/>
                <wp:positionH relativeFrom="column">
                  <wp:posOffset>-180975</wp:posOffset>
                </wp:positionH>
                <wp:positionV relativeFrom="paragraph">
                  <wp:posOffset>-266700</wp:posOffset>
                </wp:positionV>
                <wp:extent cx="6122035" cy="6946900"/>
                <wp:effectExtent l="0" t="0" r="2540" b="0"/>
                <wp:wrapNone/>
                <wp:docPr id="75" name="Canvas 7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 name="Rectangle 5"/>
                        <wps:cNvSpPr>
                          <a:spLocks noChangeArrowheads="1"/>
                        </wps:cNvSpPr>
                        <wps:spPr bwMode="auto">
                          <a:xfrm>
                            <a:off x="0" y="0"/>
                            <a:ext cx="4417695" cy="5557520"/>
                          </a:xfrm>
                          <a:prstGeom prst="rect">
                            <a:avLst/>
                          </a:prstGeom>
                          <a:solidFill>
                            <a:srgbClr val="FFFFFF"/>
                          </a:solidFill>
                          <a:ln>
                            <a:noFill/>
                          </a:ln>
                        </wps:spPr>
                        <wps:bodyPr rot="0" vert="horz" wrap="square" lIns="91440" tIns="45720" rIns="91440" bIns="45720" anchor="t" anchorCtr="0" upright="1">
                          <a:noAutofit/>
                        </wps:bodyPr>
                      </wps:wsp>
                      <wps:wsp>
                        <wps:cNvPr id="4" name="Rectangle 6"/>
                        <wps:cNvSpPr>
                          <a:spLocks noChangeArrowheads="1"/>
                        </wps:cNvSpPr>
                        <wps:spPr bwMode="auto">
                          <a:xfrm>
                            <a:off x="666115" y="205105"/>
                            <a:ext cx="2793365" cy="259080"/>
                          </a:xfrm>
                          <a:prstGeom prst="rect">
                            <a:avLst/>
                          </a:prstGeom>
                          <a:noFill/>
                          <a:ln>
                            <a:noFill/>
                          </a:ln>
                        </wps:spPr>
                        <wps:txbx>
                          <w:txbxContent>
                            <w:p>
                              <w:r>
                                <w:rPr>
                                  <w:rFonts w:ascii="Arial" w:hAnsi="Arial" w:cs="Arial"/>
                                  <w:color w:val="000000"/>
                                  <w:sz w:val="20"/>
                                  <w:szCs w:val="20"/>
                                </w:rPr>
                                <w:t xml:space="preserve"> MW380578|Bacillus thuringiensis strain SEM1H4</w:t>
                              </w:r>
                            </w:p>
                          </w:txbxContent>
                        </wps:txbx>
                        <wps:bodyPr rot="0" vert="horz" wrap="none" lIns="0" tIns="0" rIns="0" bIns="0" anchor="t" anchorCtr="0">
                          <a:spAutoFit/>
                        </wps:bodyPr>
                      </wps:wsp>
                      <wps:wsp>
                        <wps:cNvPr id="9" name="Freeform 7"/>
                        <wps:cNvSpPr/>
                        <wps:spPr bwMode="auto">
                          <a:xfrm>
                            <a:off x="654685" y="280035"/>
                            <a:ext cx="0" cy="111760"/>
                          </a:xfrm>
                          <a:custGeom>
                            <a:avLst/>
                            <a:gdLst>
                              <a:gd name="T0" fmla="*/ 176 h 176"/>
                              <a:gd name="T1" fmla="*/ 0 h 176"/>
                              <a:gd name="T2" fmla="*/ 0 h 176"/>
                            </a:gdLst>
                            <a:ahLst/>
                            <a:cxnLst>
                              <a:cxn ang="0">
                                <a:pos x="0" y="T0"/>
                              </a:cxn>
                              <a:cxn ang="0">
                                <a:pos x="0" y="T1"/>
                              </a:cxn>
                              <a:cxn ang="0">
                                <a:pos x="0" y="T2"/>
                              </a:cxn>
                            </a:cxnLst>
                            <a:rect l="0" t="0" r="r" b="b"/>
                            <a:pathLst>
                              <a:path h="176">
                                <a:moveTo>
                                  <a:pt x="0" y="176"/>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10" name="Rectangle 8"/>
                        <wps:cNvSpPr>
                          <a:spLocks noChangeArrowheads="1"/>
                        </wps:cNvSpPr>
                        <wps:spPr bwMode="auto">
                          <a:xfrm>
                            <a:off x="666115" y="438150"/>
                            <a:ext cx="2440305" cy="259080"/>
                          </a:xfrm>
                          <a:prstGeom prst="rect">
                            <a:avLst/>
                          </a:prstGeom>
                          <a:noFill/>
                          <a:ln>
                            <a:noFill/>
                          </a:ln>
                        </wps:spPr>
                        <wps:txbx>
                          <w:txbxContent>
                            <w:p>
                              <w:r>
                                <w:rPr>
                                  <w:rFonts w:ascii="Arial" w:hAnsi="Arial" w:cs="Arial"/>
                                  <w:color w:val="000000"/>
                                  <w:sz w:val="20"/>
                                  <w:szCs w:val="20"/>
                                </w:rPr>
                                <w:t xml:space="preserve"> KJ524500|Bacillus thuringiensis strain BF2</w:t>
                              </w:r>
                            </w:p>
                          </w:txbxContent>
                        </wps:txbx>
                        <wps:bodyPr rot="0" vert="horz" wrap="none" lIns="0" tIns="0" rIns="0" bIns="0" anchor="t" anchorCtr="0">
                          <a:spAutoFit/>
                        </wps:bodyPr>
                      </wps:wsp>
                      <wps:wsp>
                        <wps:cNvPr id="13" name="Freeform 9"/>
                        <wps:cNvSpPr/>
                        <wps:spPr bwMode="auto">
                          <a:xfrm>
                            <a:off x="654685" y="400685"/>
                            <a:ext cx="0" cy="112395"/>
                          </a:xfrm>
                          <a:custGeom>
                            <a:avLst/>
                            <a:gdLst>
                              <a:gd name="T0" fmla="*/ 0 h 177"/>
                              <a:gd name="T1" fmla="*/ 177 h 177"/>
                              <a:gd name="T2" fmla="*/ 177 h 177"/>
                            </a:gdLst>
                            <a:ahLst/>
                            <a:cxnLst>
                              <a:cxn ang="0">
                                <a:pos x="0" y="T0"/>
                              </a:cxn>
                              <a:cxn ang="0">
                                <a:pos x="0" y="T1"/>
                              </a:cxn>
                              <a:cxn ang="0">
                                <a:pos x="0" y="T2"/>
                              </a:cxn>
                            </a:cxnLst>
                            <a:rect l="0" t="0" r="r" b="b"/>
                            <a:pathLst>
                              <a:path h="177">
                                <a:moveTo>
                                  <a:pt x="0" y="0"/>
                                </a:moveTo>
                                <a:lnTo>
                                  <a:pt x="0" y="177"/>
                                </a:lnTo>
                                <a:lnTo>
                                  <a:pt x="0" y="177"/>
                                </a:lnTo>
                              </a:path>
                            </a:pathLst>
                          </a:custGeom>
                          <a:noFill/>
                          <a:ln w="0">
                            <a:solidFill>
                              <a:srgbClr val="000000"/>
                            </a:solidFill>
                            <a:prstDash val="solid"/>
                            <a:round/>
                          </a:ln>
                        </wps:spPr>
                        <wps:bodyPr rot="0" vert="horz" wrap="square" lIns="91440" tIns="45720" rIns="91440" bIns="45720" anchor="t" anchorCtr="0" upright="1">
                          <a:noAutofit/>
                        </wps:bodyPr>
                      </wps:wsp>
                      <wps:wsp>
                        <wps:cNvPr id="17" name="Rectangle 10"/>
                        <wps:cNvSpPr>
                          <a:spLocks noChangeArrowheads="1"/>
                        </wps:cNvSpPr>
                        <wps:spPr bwMode="auto">
                          <a:xfrm>
                            <a:off x="666115" y="671195"/>
                            <a:ext cx="5455920" cy="259080"/>
                          </a:xfrm>
                          <a:prstGeom prst="rect">
                            <a:avLst/>
                          </a:prstGeom>
                          <a:noFill/>
                          <a:ln>
                            <a:noFill/>
                          </a:ln>
                        </wps:spPr>
                        <wps:txbx>
                          <w:txbxContent>
                            <w:p>
                              <w:r>
                                <w:rPr>
                                  <w:rFonts w:ascii="Arial" w:hAnsi="Arial" w:cs="Arial"/>
                                  <w:b/>
                                  <w:bCs/>
                                  <w:color w:val="FF0000"/>
                                  <w:sz w:val="20"/>
                                  <w:szCs w:val="20"/>
                                </w:rPr>
                                <w:t xml:space="preserve"> OP320376| Bacillus thuringiensis UI-ANSAC-05 16S ribosomal RNA gene partial sequence</w:t>
                              </w:r>
                            </w:p>
                          </w:txbxContent>
                        </wps:txbx>
                        <wps:bodyPr rot="0" vert="horz" wrap="none" lIns="0" tIns="0" rIns="0" bIns="0" anchor="t" anchorCtr="0">
                          <a:spAutoFit/>
                        </wps:bodyPr>
                      </wps:wsp>
                      <wps:wsp>
                        <wps:cNvPr id="18" name="Line 11"/>
                        <wps:cNvCnPr>
                          <a:cxnSpLocks noChangeShapeType="1"/>
                        </wps:cNvCnPr>
                        <wps:spPr bwMode="auto">
                          <a:xfrm>
                            <a:off x="654685" y="746125"/>
                            <a:ext cx="0" cy="0"/>
                          </a:xfrm>
                          <a:prstGeom prst="line">
                            <a:avLst/>
                          </a:prstGeom>
                          <a:noFill/>
                          <a:ln w="0">
                            <a:solidFill>
                              <a:srgbClr val="000000"/>
                            </a:solidFill>
                            <a:prstDash val="solid"/>
                            <a:round/>
                          </a:ln>
                        </wps:spPr>
                        <wps:bodyPr/>
                      </wps:wsp>
                      <wps:wsp>
                        <wps:cNvPr id="21" name="Rectangle 12"/>
                        <wps:cNvSpPr>
                          <a:spLocks noChangeArrowheads="1"/>
                        </wps:cNvSpPr>
                        <wps:spPr bwMode="auto">
                          <a:xfrm>
                            <a:off x="666115" y="904240"/>
                            <a:ext cx="2800350" cy="259080"/>
                          </a:xfrm>
                          <a:prstGeom prst="rect">
                            <a:avLst/>
                          </a:prstGeom>
                          <a:noFill/>
                          <a:ln>
                            <a:noFill/>
                          </a:ln>
                        </wps:spPr>
                        <wps:txbx>
                          <w:txbxContent>
                            <w:p>
                              <w:r>
                                <w:rPr>
                                  <w:rFonts w:ascii="Arial" w:hAnsi="Arial" w:cs="Arial"/>
                                  <w:color w:val="000000"/>
                                  <w:sz w:val="20"/>
                                  <w:szCs w:val="20"/>
                                </w:rPr>
                                <w:t xml:space="preserve"> KT714044|Bacillus thuringiensis strain VKK-BB-1</w:t>
                              </w:r>
                            </w:p>
                          </w:txbxContent>
                        </wps:txbx>
                        <wps:bodyPr rot="0" vert="horz" wrap="none" lIns="0" tIns="0" rIns="0" bIns="0" anchor="t" anchorCtr="0">
                          <a:spAutoFit/>
                        </wps:bodyPr>
                      </wps:wsp>
                      <wps:wsp>
                        <wps:cNvPr id="32" name="Freeform 13"/>
                        <wps:cNvSpPr/>
                        <wps:spPr bwMode="auto">
                          <a:xfrm>
                            <a:off x="654685" y="634365"/>
                            <a:ext cx="0" cy="344805"/>
                          </a:xfrm>
                          <a:custGeom>
                            <a:avLst/>
                            <a:gdLst>
                              <a:gd name="T0" fmla="*/ 0 h 543"/>
                              <a:gd name="T1" fmla="*/ 543 h 543"/>
                              <a:gd name="T2" fmla="*/ 543 h 543"/>
                            </a:gdLst>
                            <a:ahLst/>
                            <a:cxnLst>
                              <a:cxn ang="0">
                                <a:pos x="0" y="T0"/>
                              </a:cxn>
                              <a:cxn ang="0">
                                <a:pos x="0" y="T1"/>
                              </a:cxn>
                              <a:cxn ang="0">
                                <a:pos x="0" y="T2"/>
                              </a:cxn>
                            </a:cxnLst>
                            <a:rect l="0" t="0" r="r" b="b"/>
                            <a:pathLst>
                              <a:path h="543">
                                <a:moveTo>
                                  <a:pt x="0" y="0"/>
                                </a:moveTo>
                                <a:lnTo>
                                  <a:pt x="0" y="543"/>
                                </a:lnTo>
                                <a:lnTo>
                                  <a:pt x="0" y="543"/>
                                </a:lnTo>
                              </a:path>
                            </a:pathLst>
                          </a:custGeom>
                          <a:noFill/>
                          <a:ln w="0">
                            <a:solidFill>
                              <a:srgbClr val="000000"/>
                            </a:solidFill>
                            <a:prstDash val="solid"/>
                            <a:round/>
                          </a:ln>
                        </wps:spPr>
                        <wps:bodyPr rot="0" vert="horz" wrap="square" lIns="91440" tIns="45720" rIns="91440" bIns="45720" anchor="t" anchorCtr="0" upright="1">
                          <a:noAutofit/>
                        </wps:bodyPr>
                      </wps:wsp>
                      <wps:wsp>
                        <wps:cNvPr id="33" name="Rectangle 14"/>
                        <wps:cNvSpPr>
                          <a:spLocks noChangeArrowheads="1"/>
                        </wps:cNvSpPr>
                        <wps:spPr bwMode="auto">
                          <a:xfrm>
                            <a:off x="671830" y="1137920"/>
                            <a:ext cx="2793365" cy="259080"/>
                          </a:xfrm>
                          <a:prstGeom prst="rect">
                            <a:avLst/>
                          </a:prstGeom>
                          <a:noFill/>
                          <a:ln>
                            <a:noFill/>
                          </a:ln>
                        </wps:spPr>
                        <wps:txbx>
                          <w:txbxContent>
                            <w:p>
                              <w:r>
                                <w:rPr>
                                  <w:rFonts w:ascii="Arial" w:hAnsi="Arial" w:cs="Arial"/>
                                  <w:color w:val="000000"/>
                                  <w:sz w:val="20"/>
                                  <w:szCs w:val="20"/>
                                </w:rPr>
                                <w:t xml:space="preserve"> CP071743|Bacillus thuringiensis strain TAND672</w:t>
                              </w:r>
                            </w:p>
                          </w:txbxContent>
                        </wps:txbx>
                        <wps:bodyPr rot="0" vert="horz" wrap="none" lIns="0" tIns="0" rIns="0" bIns="0" anchor="t" anchorCtr="0">
                          <a:spAutoFit/>
                        </wps:bodyPr>
                      </wps:wsp>
                      <wps:wsp>
                        <wps:cNvPr id="34" name="Freeform 15"/>
                        <wps:cNvSpPr/>
                        <wps:spPr bwMode="auto">
                          <a:xfrm>
                            <a:off x="654685" y="755015"/>
                            <a:ext cx="5715" cy="457200"/>
                          </a:xfrm>
                          <a:custGeom>
                            <a:avLst/>
                            <a:gdLst>
                              <a:gd name="T0" fmla="*/ 0 w 9"/>
                              <a:gd name="T1" fmla="*/ 0 h 720"/>
                              <a:gd name="T2" fmla="*/ 0 w 9"/>
                              <a:gd name="T3" fmla="*/ 720 h 720"/>
                              <a:gd name="T4" fmla="*/ 9 w 9"/>
                              <a:gd name="T5" fmla="*/ 720 h 720"/>
                            </a:gdLst>
                            <a:ahLst/>
                            <a:cxnLst>
                              <a:cxn ang="0">
                                <a:pos x="T0" y="T1"/>
                              </a:cxn>
                              <a:cxn ang="0">
                                <a:pos x="T2" y="T3"/>
                              </a:cxn>
                              <a:cxn ang="0">
                                <a:pos x="T4" y="T5"/>
                              </a:cxn>
                            </a:cxnLst>
                            <a:rect l="0" t="0" r="r" b="b"/>
                            <a:pathLst>
                              <a:path w="9" h="720">
                                <a:moveTo>
                                  <a:pt x="0" y="0"/>
                                </a:moveTo>
                                <a:lnTo>
                                  <a:pt x="0" y="720"/>
                                </a:lnTo>
                                <a:lnTo>
                                  <a:pt x="9" y="720"/>
                                </a:lnTo>
                              </a:path>
                            </a:pathLst>
                          </a:custGeom>
                          <a:noFill/>
                          <a:ln w="0">
                            <a:solidFill>
                              <a:srgbClr val="000000"/>
                            </a:solidFill>
                            <a:prstDash val="solid"/>
                            <a:round/>
                          </a:ln>
                        </wps:spPr>
                        <wps:bodyPr rot="0" vert="horz" wrap="square" lIns="91440" tIns="45720" rIns="91440" bIns="45720" anchor="t" anchorCtr="0" upright="1">
                          <a:noAutofit/>
                        </wps:bodyPr>
                      </wps:wsp>
                      <wps:wsp>
                        <wps:cNvPr id="35" name="Rectangle 16"/>
                        <wps:cNvSpPr>
                          <a:spLocks noChangeArrowheads="1"/>
                        </wps:cNvSpPr>
                        <wps:spPr bwMode="auto">
                          <a:xfrm>
                            <a:off x="666115" y="1370965"/>
                            <a:ext cx="2433320" cy="259080"/>
                          </a:xfrm>
                          <a:prstGeom prst="rect">
                            <a:avLst/>
                          </a:prstGeom>
                          <a:noFill/>
                          <a:ln>
                            <a:noFill/>
                          </a:ln>
                        </wps:spPr>
                        <wps:txbx>
                          <w:txbxContent>
                            <w:p>
                              <w:r>
                                <w:rPr>
                                  <w:rFonts w:ascii="Arial" w:hAnsi="Arial" w:cs="Arial"/>
                                  <w:color w:val="000000"/>
                                  <w:sz w:val="20"/>
                                  <w:szCs w:val="20"/>
                                </w:rPr>
                                <w:t xml:space="preserve"> JX010983|Bacillus thuringiensis strain B62</w:t>
                              </w:r>
                            </w:p>
                          </w:txbxContent>
                        </wps:txbx>
                        <wps:bodyPr rot="0" vert="horz" wrap="none" lIns="0" tIns="0" rIns="0" bIns="0" anchor="t" anchorCtr="0">
                          <a:spAutoFit/>
                        </wps:bodyPr>
                      </wps:wsp>
                      <wps:wsp>
                        <wps:cNvPr id="37" name="Freeform 17"/>
                        <wps:cNvSpPr/>
                        <wps:spPr bwMode="auto">
                          <a:xfrm>
                            <a:off x="654685" y="867410"/>
                            <a:ext cx="0" cy="577850"/>
                          </a:xfrm>
                          <a:custGeom>
                            <a:avLst/>
                            <a:gdLst>
                              <a:gd name="T0" fmla="*/ 0 h 910"/>
                              <a:gd name="T1" fmla="*/ 910 h 910"/>
                              <a:gd name="T2" fmla="*/ 910 h 910"/>
                            </a:gdLst>
                            <a:ahLst/>
                            <a:cxnLst>
                              <a:cxn ang="0">
                                <a:pos x="0" y="T0"/>
                              </a:cxn>
                              <a:cxn ang="0">
                                <a:pos x="0" y="T1"/>
                              </a:cxn>
                              <a:cxn ang="0">
                                <a:pos x="0" y="T2"/>
                              </a:cxn>
                            </a:cxnLst>
                            <a:rect l="0" t="0" r="r" b="b"/>
                            <a:pathLst>
                              <a:path h="910">
                                <a:moveTo>
                                  <a:pt x="0" y="0"/>
                                </a:moveTo>
                                <a:lnTo>
                                  <a:pt x="0" y="910"/>
                                </a:lnTo>
                                <a:lnTo>
                                  <a:pt x="0" y="910"/>
                                </a:lnTo>
                              </a:path>
                            </a:pathLst>
                          </a:custGeom>
                          <a:noFill/>
                          <a:ln w="0">
                            <a:solidFill>
                              <a:srgbClr val="000000"/>
                            </a:solidFill>
                            <a:prstDash val="solid"/>
                            <a:round/>
                          </a:ln>
                        </wps:spPr>
                        <wps:bodyPr rot="0" vert="horz" wrap="square" lIns="91440" tIns="45720" rIns="91440" bIns="45720" anchor="t" anchorCtr="0" upright="1">
                          <a:noAutofit/>
                        </wps:bodyPr>
                      </wps:wsp>
                      <wps:wsp>
                        <wps:cNvPr id="38" name="Rectangle 18"/>
                        <wps:cNvSpPr>
                          <a:spLocks noChangeArrowheads="1"/>
                        </wps:cNvSpPr>
                        <wps:spPr bwMode="auto">
                          <a:xfrm>
                            <a:off x="671830" y="1604010"/>
                            <a:ext cx="2722880" cy="259080"/>
                          </a:xfrm>
                          <a:prstGeom prst="rect">
                            <a:avLst/>
                          </a:prstGeom>
                          <a:noFill/>
                          <a:ln>
                            <a:noFill/>
                          </a:ln>
                        </wps:spPr>
                        <wps:txbx>
                          <w:txbxContent>
                            <w:p>
                              <w:r>
                                <w:rPr>
                                  <w:rFonts w:ascii="Arial" w:hAnsi="Arial" w:cs="Arial"/>
                                  <w:color w:val="000000"/>
                                  <w:sz w:val="20"/>
                                  <w:szCs w:val="20"/>
                                </w:rPr>
                                <w:t xml:space="preserve"> CP043234|Bacillus thuringiensis strain Bt-GS57</w:t>
                              </w:r>
                            </w:p>
                          </w:txbxContent>
                        </wps:txbx>
                        <wps:bodyPr rot="0" vert="horz" wrap="none" lIns="0" tIns="0" rIns="0" bIns="0" anchor="t" anchorCtr="0">
                          <a:spAutoFit/>
                        </wps:bodyPr>
                      </wps:wsp>
                      <wps:wsp>
                        <wps:cNvPr id="39" name="Freeform 19"/>
                        <wps:cNvSpPr/>
                        <wps:spPr bwMode="auto">
                          <a:xfrm>
                            <a:off x="654685" y="988695"/>
                            <a:ext cx="5715" cy="689610"/>
                          </a:xfrm>
                          <a:custGeom>
                            <a:avLst/>
                            <a:gdLst>
                              <a:gd name="T0" fmla="*/ 0 w 9"/>
                              <a:gd name="T1" fmla="*/ 0 h 1086"/>
                              <a:gd name="T2" fmla="*/ 0 w 9"/>
                              <a:gd name="T3" fmla="*/ 1086 h 1086"/>
                              <a:gd name="T4" fmla="*/ 9 w 9"/>
                              <a:gd name="T5" fmla="*/ 1086 h 1086"/>
                            </a:gdLst>
                            <a:ahLst/>
                            <a:cxnLst>
                              <a:cxn ang="0">
                                <a:pos x="T0" y="T1"/>
                              </a:cxn>
                              <a:cxn ang="0">
                                <a:pos x="T2" y="T3"/>
                              </a:cxn>
                              <a:cxn ang="0">
                                <a:pos x="T4" y="T5"/>
                              </a:cxn>
                            </a:cxnLst>
                            <a:rect l="0" t="0" r="r" b="b"/>
                            <a:pathLst>
                              <a:path w="9" h="1086">
                                <a:moveTo>
                                  <a:pt x="0" y="0"/>
                                </a:moveTo>
                                <a:lnTo>
                                  <a:pt x="0" y="1086"/>
                                </a:lnTo>
                                <a:lnTo>
                                  <a:pt x="9" y="1086"/>
                                </a:lnTo>
                              </a:path>
                            </a:pathLst>
                          </a:custGeom>
                          <a:noFill/>
                          <a:ln w="0">
                            <a:solidFill>
                              <a:srgbClr val="000000"/>
                            </a:solidFill>
                            <a:prstDash val="solid"/>
                            <a:round/>
                          </a:ln>
                        </wps:spPr>
                        <wps:bodyPr rot="0" vert="horz" wrap="square" lIns="91440" tIns="45720" rIns="91440" bIns="45720" anchor="t" anchorCtr="0" upright="1">
                          <a:noAutofit/>
                        </wps:bodyPr>
                      </wps:wsp>
                      <wps:wsp>
                        <wps:cNvPr id="40" name="Rectangle 20"/>
                        <wps:cNvSpPr>
                          <a:spLocks noChangeArrowheads="1"/>
                        </wps:cNvSpPr>
                        <wps:spPr bwMode="auto">
                          <a:xfrm>
                            <a:off x="666115" y="1837055"/>
                            <a:ext cx="2496820" cy="259080"/>
                          </a:xfrm>
                          <a:prstGeom prst="rect">
                            <a:avLst/>
                          </a:prstGeom>
                          <a:noFill/>
                          <a:ln>
                            <a:noFill/>
                          </a:ln>
                        </wps:spPr>
                        <wps:txbx>
                          <w:txbxContent>
                            <w:p>
                              <w:r>
                                <w:rPr>
                                  <w:rFonts w:ascii="Arial" w:hAnsi="Arial" w:cs="Arial"/>
                                  <w:color w:val="000000"/>
                                  <w:sz w:val="20"/>
                                  <w:szCs w:val="20"/>
                                </w:rPr>
                                <w:t xml:space="preserve"> MW380582|Bacillus thuringiensis strain 211</w:t>
                              </w:r>
                            </w:p>
                          </w:txbxContent>
                        </wps:txbx>
                        <wps:bodyPr rot="0" vert="horz" wrap="none" lIns="0" tIns="0" rIns="0" bIns="0" anchor="t" anchorCtr="0">
                          <a:spAutoFit/>
                        </wps:bodyPr>
                      </wps:wsp>
                      <wps:wsp>
                        <wps:cNvPr id="41" name="Freeform 21"/>
                        <wps:cNvSpPr/>
                        <wps:spPr bwMode="auto">
                          <a:xfrm>
                            <a:off x="654685" y="1911350"/>
                            <a:ext cx="0" cy="233680"/>
                          </a:xfrm>
                          <a:custGeom>
                            <a:avLst/>
                            <a:gdLst>
                              <a:gd name="T0" fmla="*/ 368 h 368"/>
                              <a:gd name="T1" fmla="*/ 0 h 368"/>
                              <a:gd name="T2" fmla="*/ 0 h 368"/>
                            </a:gdLst>
                            <a:ahLst/>
                            <a:cxnLst>
                              <a:cxn ang="0">
                                <a:pos x="0" y="T0"/>
                              </a:cxn>
                              <a:cxn ang="0">
                                <a:pos x="0" y="T1"/>
                              </a:cxn>
                              <a:cxn ang="0">
                                <a:pos x="0" y="T2"/>
                              </a:cxn>
                            </a:cxnLst>
                            <a:rect l="0" t="0" r="r" b="b"/>
                            <a:pathLst>
                              <a:path h="368">
                                <a:moveTo>
                                  <a:pt x="0" y="368"/>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42" name="Rectangle 22"/>
                        <wps:cNvSpPr>
                          <a:spLocks noChangeArrowheads="1"/>
                        </wps:cNvSpPr>
                        <wps:spPr bwMode="auto">
                          <a:xfrm>
                            <a:off x="671830" y="2070100"/>
                            <a:ext cx="3146425" cy="259080"/>
                          </a:xfrm>
                          <a:prstGeom prst="rect">
                            <a:avLst/>
                          </a:prstGeom>
                          <a:noFill/>
                          <a:ln>
                            <a:noFill/>
                          </a:ln>
                        </wps:spPr>
                        <wps:txbx>
                          <w:txbxContent>
                            <w:p>
                              <w:r>
                                <w:rPr>
                                  <w:rFonts w:ascii="Arial" w:hAnsi="Arial" w:cs="Arial"/>
                                  <w:color w:val="000000"/>
                                  <w:sz w:val="20"/>
                                  <w:szCs w:val="20"/>
                                </w:rPr>
                                <w:t xml:space="preserve"> MZ411685|Bacillus thuringiensis strain Sikkim2102 100</w:t>
                              </w:r>
                            </w:p>
                          </w:txbxContent>
                        </wps:txbx>
                        <wps:bodyPr rot="0" vert="horz" wrap="none" lIns="0" tIns="0" rIns="0" bIns="0" anchor="t" anchorCtr="0">
                          <a:spAutoFit/>
                        </wps:bodyPr>
                      </wps:wsp>
                      <wps:wsp>
                        <wps:cNvPr id="43" name="Freeform 23"/>
                        <wps:cNvSpPr/>
                        <wps:spPr bwMode="auto">
                          <a:xfrm>
                            <a:off x="660400" y="2145030"/>
                            <a:ext cx="0" cy="233045"/>
                          </a:xfrm>
                          <a:custGeom>
                            <a:avLst/>
                            <a:gdLst>
                              <a:gd name="T0" fmla="*/ 367 h 367"/>
                              <a:gd name="T1" fmla="*/ 0 h 367"/>
                              <a:gd name="T2" fmla="*/ 0 h 367"/>
                            </a:gdLst>
                            <a:ahLst/>
                            <a:cxnLst>
                              <a:cxn ang="0">
                                <a:pos x="0" y="T0"/>
                              </a:cxn>
                              <a:cxn ang="0">
                                <a:pos x="0" y="T1"/>
                              </a:cxn>
                              <a:cxn ang="0">
                                <a:pos x="0" y="T2"/>
                              </a:cxn>
                            </a:cxnLst>
                            <a:rect l="0" t="0" r="r" b="b"/>
                            <a:pathLst>
                              <a:path h="367">
                                <a:moveTo>
                                  <a:pt x="0" y="367"/>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44" name="Rectangle 24"/>
                        <wps:cNvSpPr>
                          <a:spLocks noChangeArrowheads="1"/>
                        </wps:cNvSpPr>
                        <wps:spPr bwMode="auto">
                          <a:xfrm>
                            <a:off x="671830" y="2303145"/>
                            <a:ext cx="2751455" cy="259080"/>
                          </a:xfrm>
                          <a:prstGeom prst="rect">
                            <a:avLst/>
                          </a:prstGeom>
                          <a:noFill/>
                          <a:ln>
                            <a:noFill/>
                          </a:ln>
                        </wps:spPr>
                        <wps:txbx>
                          <w:txbxContent>
                            <w:p>
                              <w:r>
                                <w:rPr>
                                  <w:rFonts w:ascii="Arial" w:hAnsi="Arial" w:cs="Arial"/>
                                  <w:color w:val="000000"/>
                                  <w:sz w:val="20"/>
                                  <w:szCs w:val="20"/>
                                </w:rPr>
                                <w:t xml:space="preserve"> KY000700|Bacillus thuringiensis strain OM9 107</w:t>
                              </w:r>
                            </w:p>
                          </w:txbxContent>
                        </wps:txbx>
                        <wps:bodyPr rot="0" vert="horz" wrap="none" lIns="0" tIns="0" rIns="0" bIns="0" anchor="t" anchorCtr="0">
                          <a:spAutoFit/>
                        </wps:bodyPr>
                      </wps:wsp>
                      <wps:wsp>
                        <wps:cNvPr id="45" name="Freeform 25"/>
                        <wps:cNvSpPr/>
                        <wps:spPr bwMode="auto">
                          <a:xfrm>
                            <a:off x="660400" y="2378075"/>
                            <a:ext cx="0" cy="111760"/>
                          </a:xfrm>
                          <a:custGeom>
                            <a:avLst/>
                            <a:gdLst>
                              <a:gd name="T0" fmla="*/ 176 h 176"/>
                              <a:gd name="T1" fmla="*/ 0 h 176"/>
                              <a:gd name="T2" fmla="*/ 0 h 176"/>
                            </a:gdLst>
                            <a:ahLst/>
                            <a:cxnLst>
                              <a:cxn ang="0">
                                <a:pos x="0" y="T0"/>
                              </a:cxn>
                              <a:cxn ang="0">
                                <a:pos x="0" y="T1"/>
                              </a:cxn>
                              <a:cxn ang="0">
                                <a:pos x="0" y="T2"/>
                              </a:cxn>
                            </a:cxnLst>
                            <a:rect l="0" t="0" r="r" b="b"/>
                            <a:pathLst>
                              <a:path h="176">
                                <a:moveTo>
                                  <a:pt x="0" y="176"/>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46" name="Rectangle 26"/>
                        <wps:cNvSpPr>
                          <a:spLocks noChangeArrowheads="1"/>
                        </wps:cNvSpPr>
                        <wps:spPr bwMode="auto">
                          <a:xfrm>
                            <a:off x="671830" y="2536190"/>
                            <a:ext cx="2666365" cy="259080"/>
                          </a:xfrm>
                          <a:prstGeom prst="rect">
                            <a:avLst/>
                          </a:prstGeom>
                          <a:noFill/>
                          <a:ln>
                            <a:noFill/>
                          </a:ln>
                        </wps:spPr>
                        <wps:txbx>
                          <w:txbxContent>
                            <w:p>
                              <w:r>
                                <w:rPr>
                                  <w:rFonts w:ascii="Arial" w:hAnsi="Arial" w:cs="Arial"/>
                                  <w:color w:val="000000"/>
                                  <w:sz w:val="20"/>
                                  <w:szCs w:val="20"/>
                                </w:rPr>
                                <w:t xml:space="preserve"> OM648225|Bacillus thuringiensis strain SXFB3</w:t>
                              </w:r>
                            </w:p>
                          </w:txbxContent>
                        </wps:txbx>
                        <wps:bodyPr rot="0" vert="horz" wrap="none" lIns="0" tIns="0" rIns="0" bIns="0" anchor="t" anchorCtr="0">
                          <a:spAutoFit/>
                        </wps:bodyPr>
                      </wps:wsp>
                      <wps:wsp>
                        <wps:cNvPr id="47" name="Freeform 27"/>
                        <wps:cNvSpPr/>
                        <wps:spPr bwMode="auto">
                          <a:xfrm>
                            <a:off x="660400" y="2499360"/>
                            <a:ext cx="0" cy="111760"/>
                          </a:xfrm>
                          <a:custGeom>
                            <a:avLst/>
                            <a:gdLst>
                              <a:gd name="T0" fmla="*/ 0 h 176"/>
                              <a:gd name="T1" fmla="*/ 176 h 176"/>
                              <a:gd name="T2" fmla="*/ 176 h 176"/>
                            </a:gdLst>
                            <a:ahLst/>
                            <a:cxnLst>
                              <a:cxn ang="0">
                                <a:pos x="0" y="T0"/>
                              </a:cxn>
                              <a:cxn ang="0">
                                <a:pos x="0" y="T1"/>
                              </a:cxn>
                              <a:cxn ang="0">
                                <a:pos x="0" y="T2"/>
                              </a:cxn>
                            </a:cxnLst>
                            <a:rect l="0" t="0" r="r" b="b"/>
                            <a:pathLst>
                              <a:path h="176">
                                <a:moveTo>
                                  <a:pt x="0" y="0"/>
                                </a:moveTo>
                                <a:lnTo>
                                  <a:pt x="0" y="176"/>
                                </a:lnTo>
                                <a:lnTo>
                                  <a:pt x="0" y="176"/>
                                </a:lnTo>
                              </a:path>
                            </a:pathLst>
                          </a:custGeom>
                          <a:noFill/>
                          <a:ln w="0">
                            <a:solidFill>
                              <a:srgbClr val="000000"/>
                            </a:solidFill>
                            <a:prstDash val="solid"/>
                            <a:round/>
                          </a:ln>
                        </wps:spPr>
                        <wps:bodyPr rot="0" vert="horz" wrap="square" lIns="91440" tIns="45720" rIns="91440" bIns="45720" anchor="t" anchorCtr="0" upright="1">
                          <a:noAutofit/>
                        </wps:bodyPr>
                      </wps:wsp>
                      <wps:wsp>
                        <wps:cNvPr id="48" name="Line 28"/>
                        <wps:cNvCnPr>
                          <a:cxnSpLocks noChangeShapeType="1"/>
                        </wps:cNvCnPr>
                        <wps:spPr bwMode="auto">
                          <a:xfrm>
                            <a:off x="660400" y="2378075"/>
                            <a:ext cx="0" cy="233045"/>
                          </a:xfrm>
                          <a:prstGeom prst="line">
                            <a:avLst/>
                          </a:prstGeom>
                          <a:noFill/>
                          <a:ln w="0">
                            <a:solidFill>
                              <a:srgbClr val="000000"/>
                            </a:solidFill>
                            <a:prstDash val="solid"/>
                            <a:round/>
                          </a:ln>
                        </wps:spPr>
                        <wps:bodyPr/>
                      </wps:wsp>
                      <wps:wsp>
                        <wps:cNvPr id="49" name="Freeform 29"/>
                        <wps:cNvSpPr/>
                        <wps:spPr bwMode="auto">
                          <a:xfrm>
                            <a:off x="654685" y="2153920"/>
                            <a:ext cx="5715" cy="224155"/>
                          </a:xfrm>
                          <a:custGeom>
                            <a:avLst/>
                            <a:gdLst>
                              <a:gd name="T0" fmla="*/ 0 w 9"/>
                              <a:gd name="T1" fmla="*/ 0 h 353"/>
                              <a:gd name="T2" fmla="*/ 0 w 9"/>
                              <a:gd name="T3" fmla="*/ 353 h 353"/>
                              <a:gd name="T4" fmla="*/ 9 w 9"/>
                              <a:gd name="T5" fmla="*/ 353 h 353"/>
                            </a:gdLst>
                            <a:ahLst/>
                            <a:cxnLst>
                              <a:cxn ang="0">
                                <a:pos x="T0" y="T1"/>
                              </a:cxn>
                              <a:cxn ang="0">
                                <a:pos x="T2" y="T3"/>
                              </a:cxn>
                              <a:cxn ang="0">
                                <a:pos x="T4" y="T5"/>
                              </a:cxn>
                            </a:cxnLst>
                            <a:rect l="0" t="0" r="r" b="b"/>
                            <a:pathLst>
                              <a:path w="9" h="353">
                                <a:moveTo>
                                  <a:pt x="0" y="0"/>
                                </a:moveTo>
                                <a:lnTo>
                                  <a:pt x="0" y="353"/>
                                </a:lnTo>
                                <a:lnTo>
                                  <a:pt x="9" y="353"/>
                                </a:lnTo>
                              </a:path>
                            </a:pathLst>
                          </a:custGeom>
                          <a:noFill/>
                          <a:ln w="0">
                            <a:solidFill>
                              <a:srgbClr val="000000"/>
                            </a:solidFill>
                            <a:prstDash val="solid"/>
                            <a:round/>
                          </a:ln>
                        </wps:spPr>
                        <wps:bodyPr rot="0" vert="horz" wrap="square" lIns="91440" tIns="45720" rIns="91440" bIns="45720" anchor="t" anchorCtr="0" upright="1">
                          <a:noAutofit/>
                        </wps:bodyPr>
                      </wps:wsp>
                      <wps:wsp>
                        <wps:cNvPr id="50" name="Rectangle 30"/>
                        <wps:cNvSpPr>
                          <a:spLocks noChangeArrowheads="1"/>
                        </wps:cNvSpPr>
                        <wps:spPr bwMode="auto">
                          <a:xfrm>
                            <a:off x="666115" y="2769235"/>
                            <a:ext cx="2666365" cy="259080"/>
                          </a:xfrm>
                          <a:prstGeom prst="rect">
                            <a:avLst/>
                          </a:prstGeom>
                          <a:noFill/>
                          <a:ln>
                            <a:noFill/>
                          </a:ln>
                        </wps:spPr>
                        <wps:txbx>
                          <w:txbxContent>
                            <w:p>
                              <w:r>
                                <w:rPr>
                                  <w:rFonts w:ascii="Arial" w:hAnsi="Arial" w:cs="Arial"/>
                                  <w:color w:val="000000"/>
                                  <w:sz w:val="20"/>
                                  <w:szCs w:val="20"/>
                                </w:rPr>
                                <w:t xml:space="preserve"> KR708902|Bacillus thuringiensis strain CGPY1</w:t>
                              </w:r>
                            </w:p>
                          </w:txbxContent>
                        </wps:txbx>
                        <wps:bodyPr rot="0" vert="horz" wrap="none" lIns="0" tIns="0" rIns="0" bIns="0" anchor="t" anchorCtr="0">
                          <a:spAutoFit/>
                        </wps:bodyPr>
                      </wps:wsp>
                      <wps:wsp>
                        <wps:cNvPr id="51" name="Freeform 31"/>
                        <wps:cNvSpPr/>
                        <wps:spPr bwMode="auto">
                          <a:xfrm>
                            <a:off x="654685" y="2844165"/>
                            <a:ext cx="0" cy="111760"/>
                          </a:xfrm>
                          <a:custGeom>
                            <a:avLst/>
                            <a:gdLst>
                              <a:gd name="T0" fmla="*/ 176 h 176"/>
                              <a:gd name="T1" fmla="*/ 0 h 176"/>
                              <a:gd name="T2" fmla="*/ 0 h 176"/>
                            </a:gdLst>
                            <a:ahLst/>
                            <a:cxnLst>
                              <a:cxn ang="0">
                                <a:pos x="0" y="T0"/>
                              </a:cxn>
                              <a:cxn ang="0">
                                <a:pos x="0" y="T1"/>
                              </a:cxn>
                              <a:cxn ang="0">
                                <a:pos x="0" y="T2"/>
                              </a:cxn>
                            </a:cxnLst>
                            <a:rect l="0" t="0" r="r" b="b"/>
                            <a:pathLst>
                              <a:path h="176">
                                <a:moveTo>
                                  <a:pt x="0" y="176"/>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52" name="Rectangle 32"/>
                        <wps:cNvSpPr>
                          <a:spLocks noChangeArrowheads="1"/>
                        </wps:cNvSpPr>
                        <wps:spPr bwMode="auto">
                          <a:xfrm>
                            <a:off x="666115" y="3002915"/>
                            <a:ext cx="2666365" cy="259080"/>
                          </a:xfrm>
                          <a:prstGeom prst="rect">
                            <a:avLst/>
                          </a:prstGeom>
                          <a:noFill/>
                          <a:ln>
                            <a:noFill/>
                          </a:ln>
                        </wps:spPr>
                        <wps:txbx>
                          <w:txbxContent>
                            <w:p>
                              <w:r>
                                <w:rPr>
                                  <w:rFonts w:ascii="Arial" w:hAnsi="Arial" w:cs="Arial"/>
                                  <w:color w:val="000000"/>
                                  <w:sz w:val="20"/>
                                  <w:szCs w:val="20"/>
                                </w:rPr>
                                <w:t xml:space="preserve"> OM648227|Bacillus thuringiensis strain SXFB7</w:t>
                              </w:r>
                            </w:p>
                          </w:txbxContent>
                        </wps:txbx>
                        <wps:bodyPr rot="0" vert="horz" wrap="none" lIns="0" tIns="0" rIns="0" bIns="0" anchor="t" anchorCtr="0">
                          <a:spAutoFit/>
                        </wps:bodyPr>
                      </wps:wsp>
                      <wps:wsp>
                        <wps:cNvPr id="53" name="Freeform 33"/>
                        <wps:cNvSpPr/>
                        <wps:spPr bwMode="auto">
                          <a:xfrm>
                            <a:off x="654685" y="2965450"/>
                            <a:ext cx="0" cy="111760"/>
                          </a:xfrm>
                          <a:custGeom>
                            <a:avLst/>
                            <a:gdLst>
                              <a:gd name="T0" fmla="*/ 0 h 176"/>
                              <a:gd name="T1" fmla="*/ 176 h 176"/>
                              <a:gd name="T2" fmla="*/ 176 h 176"/>
                            </a:gdLst>
                            <a:ahLst/>
                            <a:cxnLst>
                              <a:cxn ang="0">
                                <a:pos x="0" y="T0"/>
                              </a:cxn>
                              <a:cxn ang="0">
                                <a:pos x="0" y="T1"/>
                              </a:cxn>
                              <a:cxn ang="0">
                                <a:pos x="0" y="T2"/>
                              </a:cxn>
                            </a:cxnLst>
                            <a:rect l="0" t="0" r="r" b="b"/>
                            <a:pathLst>
                              <a:path h="176">
                                <a:moveTo>
                                  <a:pt x="0" y="0"/>
                                </a:moveTo>
                                <a:lnTo>
                                  <a:pt x="0" y="176"/>
                                </a:lnTo>
                                <a:lnTo>
                                  <a:pt x="0" y="176"/>
                                </a:lnTo>
                              </a:path>
                            </a:pathLst>
                          </a:custGeom>
                          <a:noFill/>
                          <a:ln w="0">
                            <a:solidFill>
                              <a:srgbClr val="000000"/>
                            </a:solidFill>
                            <a:prstDash val="solid"/>
                            <a:round/>
                          </a:ln>
                        </wps:spPr>
                        <wps:bodyPr rot="0" vert="horz" wrap="square" lIns="91440" tIns="45720" rIns="91440" bIns="45720" anchor="t" anchorCtr="0" upright="1">
                          <a:noAutofit/>
                        </wps:bodyPr>
                      </wps:wsp>
                      <wps:wsp>
                        <wps:cNvPr id="54" name="Rectangle 34"/>
                        <wps:cNvSpPr>
                          <a:spLocks noChangeArrowheads="1"/>
                        </wps:cNvSpPr>
                        <wps:spPr bwMode="auto">
                          <a:xfrm>
                            <a:off x="666115" y="3235960"/>
                            <a:ext cx="2772410" cy="259080"/>
                          </a:xfrm>
                          <a:prstGeom prst="rect">
                            <a:avLst/>
                          </a:prstGeom>
                          <a:noFill/>
                          <a:ln>
                            <a:noFill/>
                          </a:ln>
                        </wps:spPr>
                        <wps:txbx>
                          <w:txbxContent>
                            <w:p>
                              <w:r>
                                <w:rPr>
                                  <w:rFonts w:ascii="Arial" w:hAnsi="Arial" w:cs="Arial"/>
                                  <w:color w:val="000000"/>
                                  <w:sz w:val="20"/>
                                  <w:szCs w:val="20"/>
                                </w:rPr>
                                <w:t xml:space="preserve"> KJ676099|Bacillus thuringiensis strain HTS-S-38</w:t>
                              </w:r>
                            </w:p>
                          </w:txbxContent>
                        </wps:txbx>
                        <wps:bodyPr rot="0" vert="horz" wrap="none" lIns="0" tIns="0" rIns="0" bIns="0" anchor="t" anchorCtr="0">
                          <a:spAutoFit/>
                        </wps:bodyPr>
                      </wps:wsp>
                      <wps:wsp>
                        <wps:cNvPr id="55" name="Freeform 35"/>
                        <wps:cNvSpPr/>
                        <wps:spPr bwMode="auto">
                          <a:xfrm>
                            <a:off x="654685" y="3310255"/>
                            <a:ext cx="0" cy="233045"/>
                          </a:xfrm>
                          <a:custGeom>
                            <a:avLst/>
                            <a:gdLst>
                              <a:gd name="T0" fmla="*/ 367 h 367"/>
                              <a:gd name="T1" fmla="*/ 0 h 367"/>
                              <a:gd name="T2" fmla="*/ 0 h 367"/>
                            </a:gdLst>
                            <a:ahLst/>
                            <a:cxnLst>
                              <a:cxn ang="0">
                                <a:pos x="0" y="T0"/>
                              </a:cxn>
                              <a:cxn ang="0">
                                <a:pos x="0" y="T1"/>
                              </a:cxn>
                              <a:cxn ang="0">
                                <a:pos x="0" y="T2"/>
                              </a:cxn>
                            </a:cxnLst>
                            <a:rect l="0" t="0" r="r" b="b"/>
                            <a:pathLst>
                              <a:path h="367">
                                <a:moveTo>
                                  <a:pt x="0" y="367"/>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56" name="Rectangle 36"/>
                        <wps:cNvSpPr>
                          <a:spLocks noChangeArrowheads="1"/>
                        </wps:cNvSpPr>
                        <wps:spPr bwMode="auto">
                          <a:xfrm>
                            <a:off x="666115" y="3469005"/>
                            <a:ext cx="2609850" cy="259080"/>
                          </a:xfrm>
                          <a:prstGeom prst="rect">
                            <a:avLst/>
                          </a:prstGeom>
                          <a:noFill/>
                          <a:ln>
                            <a:noFill/>
                          </a:ln>
                        </wps:spPr>
                        <wps:txbx>
                          <w:txbxContent>
                            <w:p>
                              <w:r>
                                <w:rPr>
                                  <w:rFonts w:ascii="Arial" w:hAnsi="Arial" w:cs="Arial"/>
                                  <w:color w:val="000000"/>
                                  <w:sz w:val="20"/>
                                  <w:szCs w:val="20"/>
                                </w:rPr>
                                <w:t xml:space="preserve"> MW192905|Bacillus thuringiensis strain UD36</w:t>
                              </w:r>
                            </w:p>
                          </w:txbxContent>
                        </wps:txbx>
                        <wps:bodyPr rot="0" vert="horz" wrap="none" lIns="0" tIns="0" rIns="0" bIns="0" anchor="t" anchorCtr="0">
                          <a:spAutoFit/>
                        </wps:bodyPr>
                      </wps:wsp>
                      <wps:wsp>
                        <wps:cNvPr id="57" name="Freeform 37"/>
                        <wps:cNvSpPr/>
                        <wps:spPr bwMode="auto">
                          <a:xfrm>
                            <a:off x="654685" y="3543300"/>
                            <a:ext cx="0" cy="111760"/>
                          </a:xfrm>
                          <a:custGeom>
                            <a:avLst/>
                            <a:gdLst>
                              <a:gd name="T0" fmla="*/ 176 h 176"/>
                              <a:gd name="T1" fmla="*/ 0 h 176"/>
                              <a:gd name="T2" fmla="*/ 0 h 176"/>
                            </a:gdLst>
                            <a:ahLst/>
                            <a:cxnLst>
                              <a:cxn ang="0">
                                <a:pos x="0" y="T0"/>
                              </a:cxn>
                              <a:cxn ang="0">
                                <a:pos x="0" y="T1"/>
                              </a:cxn>
                              <a:cxn ang="0">
                                <a:pos x="0" y="T2"/>
                              </a:cxn>
                            </a:cxnLst>
                            <a:rect l="0" t="0" r="r" b="b"/>
                            <a:pathLst>
                              <a:path h="176">
                                <a:moveTo>
                                  <a:pt x="0" y="176"/>
                                </a:moveTo>
                                <a:lnTo>
                                  <a:pt x="0" y="0"/>
                                </a:lnTo>
                                <a:lnTo>
                                  <a:pt x="0" y="0"/>
                                </a:lnTo>
                              </a:path>
                            </a:pathLst>
                          </a:custGeom>
                          <a:noFill/>
                          <a:ln w="0">
                            <a:solidFill>
                              <a:srgbClr val="000000"/>
                            </a:solidFill>
                            <a:prstDash val="solid"/>
                            <a:round/>
                          </a:ln>
                        </wps:spPr>
                        <wps:bodyPr rot="0" vert="horz" wrap="square" lIns="91440" tIns="45720" rIns="91440" bIns="45720" anchor="t" anchorCtr="0" upright="1">
                          <a:noAutofit/>
                        </wps:bodyPr>
                      </wps:wsp>
                      <wps:wsp>
                        <wps:cNvPr id="58" name="Rectangle 38"/>
                        <wps:cNvSpPr>
                          <a:spLocks noChangeArrowheads="1"/>
                        </wps:cNvSpPr>
                        <wps:spPr bwMode="auto">
                          <a:xfrm>
                            <a:off x="666115" y="3702050"/>
                            <a:ext cx="2779395" cy="259080"/>
                          </a:xfrm>
                          <a:prstGeom prst="rect">
                            <a:avLst/>
                          </a:prstGeom>
                          <a:noFill/>
                          <a:ln>
                            <a:noFill/>
                          </a:ln>
                        </wps:spPr>
                        <wps:txbx>
                          <w:txbxContent>
                            <w:p>
                              <w:r>
                                <w:rPr>
                                  <w:rFonts w:ascii="Arial" w:hAnsi="Arial" w:cs="Arial"/>
                                  <w:color w:val="000000"/>
                                  <w:sz w:val="20"/>
                                  <w:szCs w:val="20"/>
                                </w:rPr>
                                <w:t xml:space="preserve"> KF935650|Bacillus thuringiensis strain NBIN-863</w:t>
                              </w:r>
                            </w:p>
                          </w:txbxContent>
                        </wps:txbx>
                        <wps:bodyPr rot="0" vert="horz" wrap="none" lIns="0" tIns="0" rIns="0" bIns="0" anchor="t" anchorCtr="0">
                          <a:spAutoFit/>
                        </wps:bodyPr>
                      </wps:wsp>
                      <wps:wsp>
                        <wps:cNvPr id="59" name="Freeform 39"/>
                        <wps:cNvSpPr/>
                        <wps:spPr bwMode="auto">
                          <a:xfrm>
                            <a:off x="654685" y="3664585"/>
                            <a:ext cx="0" cy="111760"/>
                          </a:xfrm>
                          <a:custGeom>
                            <a:avLst/>
                            <a:gdLst>
                              <a:gd name="T0" fmla="*/ 0 h 176"/>
                              <a:gd name="T1" fmla="*/ 176 h 176"/>
                              <a:gd name="T2" fmla="*/ 176 h 176"/>
                            </a:gdLst>
                            <a:ahLst/>
                            <a:cxnLst>
                              <a:cxn ang="0">
                                <a:pos x="0" y="T0"/>
                              </a:cxn>
                              <a:cxn ang="0">
                                <a:pos x="0" y="T1"/>
                              </a:cxn>
                              <a:cxn ang="0">
                                <a:pos x="0" y="T2"/>
                              </a:cxn>
                            </a:cxnLst>
                            <a:rect l="0" t="0" r="r" b="b"/>
                            <a:pathLst>
                              <a:path h="176">
                                <a:moveTo>
                                  <a:pt x="0" y="0"/>
                                </a:moveTo>
                                <a:lnTo>
                                  <a:pt x="0" y="176"/>
                                </a:lnTo>
                                <a:lnTo>
                                  <a:pt x="0" y="176"/>
                                </a:lnTo>
                              </a:path>
                            </a:pathLst>
                          </a:custGeom>
                          <a:noFill/>
                          <a:ln w="0">
                            <a:solidFill>
                              <a:srgbClr val="000000"/>
                            </a:solidFill>
                            <a:prstDash val="solid"/>
                            <a:round/>
                          </a:ln>
                        </wps:spPr>
                        <wps:bodyPr rot="0" vert="horz" wrap="square" lIns="91440" tIns="45720" rIns="91440" bIns="45720" anchor="t" anchorCtr="0" upright="1">
                          <a:noAutofit/>
                        </wps:bodyPr>
                      </wps:wsp>
                      <wps:wsp>
                        <wps:cNvPr id="60" name="Rectangle 40"/>
                        <wps:cNvSpPr>
                          <a:spLocks noChangeArrowheads="1"/>
                        </wps:cNvSpPr>
                        <wps:spPr bwMode="auto">
                          <a:xfrm>
                            <a:off x="666115" y="3935095"/>
                            <a:ext cx="2666365" cy="259080"/>
                          </a:xfrm>
                          <a:prstGeom prst="rect">
                            <a:avLst/>
                          </a:prstGeom>
                          <a:noFill/>
                          <a:ln>
                            <a:noFill/>
                          </a:ln>
                        </wps:spPr>
                        <wps:txbx>
                          <w:txbxContent>
                            <w:p>
                              <w:r>
                                <w:rPr>
                                  <w:rFonts w:ascii="Arial" w:hAnsi="Arial" w:cs="Arial"/>
                                  <w:color w:val="000000"/>
                                  <w:sz w:val="20"/>
                                  <w:szCs w:val="20"/>
                                </w:rPr>
                                <w:t xml:space="preserve"> OM648228|Bacillus thuringiensis strain SXFB8</w:t>
                              </w:r>
                            </w:p>
                          </w:txbxContent>
                        </wps:txbx>
                        <wps:bodyPr rot="0" vert="horz" wrap="none" lIns="0" tIns="0" rIns="0" bIns="0" anchor="t" anchorCtr="0">
                          <a:spAutoFit/>
                        </wps:bodyPr>
                      </wps:wsp>
                      <wps:wsp>
                        <wps:cNvPr id="61" name="Freeform 41"/>
                        <wps:cNvSpPr/>
                        <wps:spPr bwMode="auto">
                          <a:xfrm>
                            <a:off x="654685" y="2153920"/>
                            <a:ext cx="0" cy="1855470"/>
                          </a:xfrm>
                          <a:custGeom>
                            <a:avLst/>
                            <a:gdLst>
                              <a:gd name="T0" fmla="*/ 0 h 2922"/>
                              <a:gd name="T1" fmla="*/ 2922 h 2922"/>
                              <a:gd name="T2" fmla="*/ 2922 h 2922"/>
                            </a:gdLst>
                            <a:ahLst/>
                            <a:cxnLst>
                              <a:cxn ang="0">
                                <a:pos x="0" y="T0"/>
                              </a:cxn>
                              <a:cxn ang="0">
                                <a:pos x="0" y="T1"/>
                              </a:cxn>
                              <a:cxn ang="0">
                                <a:pos x="0" y="T2"/>
                              </a:cxn>
                            </a:cxnLst>
                            <a:rect l="0" t="0" r="r" b="b"/>
                            <a:pathLst>
                              <a:path h="2922">
                                <a:moveTo>
                                  <a:pt x="0" y="0"/>
                                </a:moveTo>
                                <a:lnTo>
                                  <a:pt x="0" y="2922"/>
                                </a:lnTo>
                                <a:lnTo>
                                  <a:pt x="0" y="2922"/>
                                </a:lnTo>
                              </a:path>
                            </a:pathLst>
                          </a:custGeom>
                          <a:noFill/>
                          <a:ln w="0">
                            <a:solidFill>
                              <a:srgbClr val="000000"/>
                            </a:solidFill>
                            <a:prstDash val="solid"/>
                            <a:round/>
                          </a:ln>
                        </wps:spPr>
                        <wps:bodyPr rot="0" vert="horz" wrap="square" lIns="91440" tIns="45720" rIns="91440" bIns="45720" anchor="t" anchorCtr="0" upright="1">
                          <a:noAutofit/>
                        </wps:bodyPr>
                      </wps:wsp>
                      <wps:wsp>
                        <wps:cNvPr id="62" name="Line 42"/>
                        <wps:cNvCnPr>
                          <a:cxnSpLocks noChangeShapeType="1"/>
                        </wps:cNvCnPr>
                        <wps:spPr bwMode="auto">
                          <a:xfrm>
                            <a:off x="654685" y="288925"/>
                            <a:ext cx="0" cy="1874520"/>
                          </a:xfrm>
                          <a:prstGeom prst="line">
                            <a:avLst/>
                          </a:prstGeom>
                          <a:noFill/>
                          <a:ln w="0">
                            <a:solidFill>
                              <a:srgbClr val="000000"/>
                            </a:solidFill>
                            <a:prstDash val="solid"/>
                            <a:round/>
                          </a:ln>
                        </wps:spPr>
                        <wps:bodyPr/>
                      </wps:wsp>
                      <wps:wsp>
                        <wps:cNvPr id="63" name="Freeform 43"/>
                        <wps:cNvSpPr/>
                        <wps:spPr bwMode="auto">
                          <a:xfrm>
                            <a:off x="649605" y="2145030"/>
                            <a:ext cx="5080" cy="1043940"/>
                          </a:xfrm>
                          <a:custGeom>
                            <a:avLst/>
                            <a:gdLst>
                              <a:gd name="T0" fmla="*/ 0 w 8"/>
                              <a:gd name="T1" fmla="*/ 1644 h 1644"/>
                              <a:gd name="T2" fmla="*/ 0 w 8"/>
                              <a:gd name="T3" fmla="*/ 0 h 1644"/>
                              <a:gd name="T4" fmla="*/ 8 w 8"/>
                              <a:gd name="T5" fmla="*/ 0 h 1644"/>
                            </a:gdLst>
                            <a:ahLst/>
                            <a:cxnLst>
                              <a:cxn ang="0">
                                <a:pos x="T0" y="T1"/>
                              </a:cxn>
                              <a:cxn ang="0">
                                <a:pos x="T2" y="T3"/>
                              </a:cxn>
                              <a:cxn ang="0">
                                <a:pos x="T4" y="T5"/>
                              </a:cxn>
                            </a:cxnLst>
                            <a:rect l="0" t="0" r="r" b="b"/>
                            <a:pathLst>
                              <a:path w="8" h="1644">
                                <a:moveTo>
                                  <a:pt x="0" y="1644"/>
                                </a:moveTo>
                                <a:lnTo>
                                  <a:pt x="0" y="0"/>
                                </a:lnTo>
                                <a:lnTo>
                                  <a:pt x="8" y="0"/>
                                </a:lnTo>
                              </a:path>
                            </a:pathLst>
                          </a:custGeom>
                          <a:noFill/>
                          <a:ln w="0">
                            <a:solidFill>
                              <a:srgbClr val="000000"/>
                            </a:solidFill>
                            <a:prstDash val="solid"/>
                            <a:round/>
                          </a:ln>
                        </wps:spPr>
                        <wps:bodyPr rot="0" vert="horz" wrap="square" lIns="91440" tIns="45720" rIns="91440" bIns="45720" anchor="t" anchorCtr="0" upright="1">
                          <a:noAutofit/>
                        </wps:bodyPr>
                      </wps:wsp>
                      <wps:wsp>
                        <wps:cNvPr id="64" name="Rectangle 44"/>
                        <wps:cNvSpPr>
                          <a:spLocks noChangeArrowheads="1"/>
                        </wps:cNvSpPr>
                        <wps:spPr bwMode="auto">
                          <a:xfrm>
                            <a:off x="660400" y="4168140"/>
                            <a:ext cx="2687320" cy="259080"/>
                          </a:xfrm>
                          <a:prstGeom prst="rect">
                            <a:avLst/>
                          </a:prstGeom>
                          <a:noFill/>
                          <a:ln>
                            <a:noFill/>
                          </a:ln>
                        </wps:spPr>
                        <wps:txbx>
                          <w:txbxContent>
                            <w:p>
                              <w:r>
                                <w:rPr>
                                  <w:rFonts w:ascii="Arial" w:hAnsi="Arial" w:cs="Arial"/>
                                  <w:color w:val="000000"/>
                                  <w:sz w:val="20"/>
                                  <w:szCs w:val="20"/>
                                </w:rPr>
                                <w:t xml:space="preserve"> CP016588|Bacillus thuringiensis strain KNU-07</w:t>
                              </w:r>
                            </w:p>
                          </w:txbxContent>
                        </wps:txbx>
                        <wps:bodyPr rot="0" vert="horz" wrap="none" lIns="0" tIns="0" rIns="0" bIns="0" anchor="t" anchorCtr="0">
                          <a:spAutoFit/>
                        </wps:bodyPr>
                      </wps:wsp>
                      <wps:wsp>
                        <wps:cNvPr id="65" name="Freeform 45"/>
                        <wps:cNvSpPr/>
                        <wps:spPr bwMode="auto">
                          <a:xfrm>
                            <a:off x="649605" y="3198495"/>
                            <a:ext cx="0" cy="1044575"/>
                          </a:xfrm>
                          <a:custGeom>
                            <a:avLst/>
                            <a:gdLst>
                              <a:gd name="T0" fmla="*/ 0 h 1645"/>
                              <a:gd name="T1" fmla="*/ 1645 h 1645"/>
                              <a:gd name="T2" fmla="*/ 1645 h 1645"/>
                            </a:gdLst>
                            <a:ahLst/>
                            <a:cxnLst>
                              <a:cxn ang="0">
                                <a:pos x="0" y="T0"/>
                              </a:cxn>
                              <a:cxn ang="0">
                                <a:pos x="0" y="T1"/>
                              </a:cxn>
                              <a:cxn ang="0">
                                <a:pos x="0" y="T2"/>
                              </a:cxn>
                            </a:cxnLst>
                            <a:rect l="0" t="0" r="r" b="b"/>
                            <a:pathLst>
                              <a:path h="1645">
                                <a:moveTo>
                                  <a:pt x="0" y="0"/>
                                </a:moveTo>
                                <a:lnTo>
                                  <a:pt x="0" y="1645"/>
                                </a:lnTo>
                                <a:lnTo>
                                  <a:pt x="0" y="1645"/>
                                </a:lnTo>
                              </a:path>
                            </a:pathLst>
                          </a:custGeom>
                          <a:noFill/>
                          <a:ln w="0">
                            <a:solidFill>
                              <a:srgbClr val="000000"/>
                            </a:solidFill>
                            <a:prstDash val="solid"/>
                            <a:round/>
                          </a:ln>
                        </wps:spPr>
                        <wps:bodyPr rot="0" vert="horz" wrap="square" lIns="91440" tIns="45720" rIns="91440" bIns="45720" anchor="t" anchorCtr="0" upright="1">
                          <a:noAutofit/>
                        </wps:bodyPr>
                      </wps:wsp>
                      <wps:wsp>
                        <wps:cNvPr id="66" name="Freeform 46"/>
                        <wps:cNvSpPr/>
                        <wps:spPr bwMode="auto">
                          <a:xfrm>
                            <a:off x="222250" y="3188970"/>
                            <a:ext cx="427355" cy="643255"/>
                          </a:xfrm>
                          <a:custGeom>
                            <a:avLst/>
                            <a:gdLst>
                              <a:gd name="T0" fmla="*/ 0 w 673"/>
                              <a:gd name="T1" fmla="*/ 1013 h 1013"/>
                              <a:gd name="T2" fmla="*/ 0 w 673"/>
                              <a:gd name="T3" fmla="*/ 0 h 1013"/>
                              <a:gd name="T4" fmla="*/ 673 w 673"/>
                              <a:gd name="T5" fmla="*/ 0 h 1013"/>
                            </a:gdLst>
                            <a:ahLst/>
                            <a:cxnLst>
                              <a:cxn ang="0">
                                <a:pos x="T0" y="T1"/>
                              </a:cxn>
                              <a:cxn ang="0">
                                <a:pos x="T2" y="T3"/>
                              </a:cxn>
                              <a:cxn ang="0">
                                <a:pos x="T4" y="T5"/>
                              </a:cxn>
                            </a:cxnLst>
                            <a:rect l="0" t="0" r="r" b="b"/>
                            <a:pathLst>
                              <a:path w="673" h="1013">
                                <a:moveTo>
                                  <a:pt x="0" y="1013"/>
                                </a:moveTo>
                                <a:lnTo>
                                  <a:pt x="0" y="0"/>
                                </a:lnTo>
                                <a:lnTo>
                                  <a:pt x="673" y="0"/>
                                </a:lnTo>
                              </a:path>
                            </a:pathLst>
                          </a:custGeom>
                          <a:noFill/>
                          <a:ln w="0">
                            <a:solidFill>
                              <a:srgbClr val="000000"/>
                            </a:solidFill>
                            <a:prstDash val="solid"/>
                            <a:round/>
                          </a:ln>
                        </wps:spPr>
                        <wps:bodyPr rot="0" vert="horz" wrap="square" lIns="91440" tIns="45720" rIns="91440" bIns="45720" anchor="t" anchorCtr="0" upright="1">
                          <a:noAutofit/>
                        </wps:bodyPr>
                      </wps:wsp>
                      <wps:wsp>
                        <wps:cNvPr id="67" name="Rectangle 47"/>
                        <wps:cNvSpPr>
                          <a:spLocks noChangeArrowheads="1"/>
                        </wps:cNvSpPr>
                        <wps:spPr bwMode="auto">
                          <a:xfrm>
                            <a:off x="676910" y="4401185"/>
                            <a:ext cx="5172075" cy="259080"/>
                          </a:xfrm>
                          <a:prstGeom prst="rect">
                            <a:avLst/>
                          </a:prstGeom>
                          <a:noFill/>
                          <a:ln>
                            <a:noFill/>
                          </a:ln>
                        </wps:spPr>
                        <wps:txbx>
                          <w:txbxContent>
                            <w:p>
                              <w:r>
                                <w:rPr>
                                  <w:rFonts w:ascii="Arial" w:hAnsi="Arial" w:cs="Arial"/>
                                  <w:color w:val="000000"/>
                                  <w:sz w:val="20"/>
                                  <w:szCs w:val="20"/>
                                </w:rPr>
                                <w:t xml:space="preserve"> MZ802725| Escherichia coli strain UCTH-01-CR 16S ribosomal RNA gene partial sequence</w:t>
                              </w:r>
                            </w:p>
                          </w:txbxContent>
                        </wps:txbx>
                        <wps:bodyPr rot="0" vert="horz" wrap="none" lIns="0" tIns="0" rIns="0" bIns="0" anchor="t" anchorCtr="0">
                          <a:spAutoFit/>
                        </wps:bodyPr>
                      </wps:wsp>
                      <wps:wsp>
                        <wps:cNvPr id="68" name="Freeform 48"/>
                        <wps:cNvSpPr/>
                        <wps:spPr bwMode="auto">
                          <a:xfrm>
                            <a:off x="222250" y="3841750"/>
                            <a:ext cx="443865" cy="634365"/>
                          </a:xfrm>
                          <a:custGeom>
                            <a:avLst/>
                            <a:gdLst>
                              <a:gd name="T0" fmla="*/ 0 w 699"/>
                              <a:gd name="T1" fmla="*/ 0 h 999"/>
                              <a:gd name="T2" fmla="*/ 0 w 699"/>
                              <a:gd name="T3" fmla="*/ 999 h 999"/>
                              <a:gd name="T4" fmla="*/ 699 w 699"/>
                              <a:gd name="T5" fmla="*/ 999 h 999"/>
                            </a:gdLst>
                            <a:ahLst/>
                            <a:cxnLst>
                              <a:cxn ang="0">
                                <a:pos x="T0" y="T1"/>
                              </a:cxn>
                              <a:cxn ang="0">
                                <a:pos x="T2" y="T3"/>
                              </a:cxn>
                              <a:cxn ang="0">
                                <a:pos x="T4" y="T5"/>
                              </a:cxn>
                            </a:cxnLst>
                            <a:rect l="0" t="0" r="r" b="b"/>
                            <a:pathLst>
                              <a:path w="699" h="999">
                                <a:moveTo>
                                  <a:pt x="0" y="0"/>
                                </a:moveTo>
                                <a:lnTo>
                                  <a:pt x="0" y="999"/>
                                </a:lnTo>
                                <a:lnTo>
                                  <a:pt x="699" y="999"/>
                                </a:lnTo>
                              </a:path>
                            </a:pathLst>
                          </a:custGeom>
                          <a:noFill/>
                          <a:ln w="0">
                            <a:solidFill>
                              <a:srgbClr val="000000"/>
                            </a:solidFill>
                            <a:prstDash val="solid"/>
                            <a:round/>
                          </a:ln>
                        </wps:spPr>
                        <wps:bodyPr rot="0" vert="horz" wrap="square" lIns="91440" tIns="45720" rIns="91440" bIns="45720" anchor="t" anchorCtr="0" upright="1">
                          <a:noAutofit/>
                        </wps:bodyPr>
                      </wps:wsp>
                      <wps:wsp>
                        <wps:cNvPr id="69" name="Rectangle 49"/>
                        <wps:cNvSpPr>
                          <a:spLocks noChangeArrowheads="1"/>
                        </wps:cNvSpPr>
                        <wps:spPr bwMode="auto">
                          <a:xfrm>
                            <a:off x="571500" y="2480310"/>
                            <a:ext cx="125095" cy="250190"/>
                          </a:xfrm>
                          <a:prstGeom prst="rect">
                            <a:avLst/>
                          </a:prstGeom>
                          <a:noFill/>
                          <a:ln>
                            <a:noFill/>
                          </a:ln>
                        </wps:spPr>
                        <wps:txbx>
                          <w:txbxContent>
                            <w:p>
                              <w:r>
                                <w:rPr>
                                  <w:rFonts w:ascii="Tahoma" w:hAnsi="Tahoma" w:cs="Tahoma"/>
                                  <w:color w:val="000000"/>
                                  <w:sz w:val="18"/>
                                  <w:szCs w:val="18"/>
                                </w:rPr>
                                <w:t>59</w:t>
                              </w:r>
                            </w:p>
                          </w:txbxContent>
                        </wps:txbx>
                        <wps:bodyPr rot="0" vert="horz" wrap="none" lIns="0" tIns="0" rIns="0" bIns="0" anchor="t" anchorCtr="0">
                          <a:spAutoFit/>
                        </wps:bodyPr>
                      </wps:wsp>
                      <wps:wsp>
                        <wps:cNvPr id="70" name="Rectangle 50"/>
                        <wps:cNvSpPr>
                          <a:spLocks noChangeArrowheads="1"/>
                        </wps:cNvSpPr>
                        <wps:spPr bwMode="auto">
                          <a:xfrm>
                            <a:off x="565785" y="1930400"/>
                            <a:ext cx="125095" cy="250190"/>
                          </a:xfrm>
                          <a:prstGeom prst="rect">
                            <a:avLst/>
                          </a:prstGeom>
                          <a:noFill/>
                          <a:ln>
                            <a:noFill/>
                          </a:ln>
                        </wps:spPr>
                        <wps:txbx>
                          <w:txbxContent>
                            <w:p>
                              <w:r>
                                <w:rPr>
                                  <w:rFonts w:ascii="Tahoma" w:hAnsi="Tahoma" w:cs="Tahoma"/>
                                  <w:color w:val="000000"/>
                                  <w:sz w:val="18"/>
                                  <w:szCs w:val="18"/>
                                </w:rPr>
                                <w:t>54</w:t>
                              </w:r>
                            </w:p>
                          </w:txbxContent>
                        </wps:txbx>
                        <wps:bodyPr rot="0" vert="horz" wrap="none" lIns="0" tIns="0" rIns="0" bIns="0" anchor="t" anchorCtr="0">
                          <a:spAutoFit/>
                        </wps:bodyPr>
                      </wps:wsp>
                      <wps:wsp>
                        <wps:cNvPr id="71" name="Line 51"/>
                        <wps:cNvCnPr>
                          <a:cxnSpLocks noChangeShapeType="1"/>
                        </wps:cNvCnPr>
                        <wps:spPr bwMode="auto">
                          <a:xfrm>
                            <a:off x="332740" y="4830445"/>
                            <a:ext cx="66675" cy="0"/>
                          </a:xfrm>
                          <a:prstGeom prst="line">
                            <a:avLst/>
                          </a:prstGeom>
                          <a:noFill/>
                          <a:ln w="10795" cap="sq">
                            <a:solidFill>
                              <a:srgbClr val="000000"/>
                            </a:solidFill>
                            <a:prstDash val="solid"/>
                            <a:miter lim="800000"/>
                          </a:ln>
                        </wps:spPr>
                        <wps:bodyPr/>
                      </wps:wsp>
                      <wps:wsp>
                        <wps:cNvPr id="72" name="Line 52"/>
                        <wps:cNvCnPr>
                          <a:cxnSpLocks noChangeShapeType="1"/>
                        </wps:cNvCnPr>
                        <wps:spPr bwMode="auto">
                          <a:xfrm>
                            <a:off x="332740" y="4792980"/>
                            <a:ext cx="0" cy="74295"/>
                          </a:xfrm>
                          <a:prstGeom prst="line">
                            <a:avLst/>
                          </a:prstGeom>
                          <a:noFill/>
                          <a:ln w="10795" cap="sq">
                            <a:solidFill>
                              <a:srgbClr val="000000"/>
                            </a:solidFill>
                            <a:prstDash val="solid"/>
                            <a:miter lim="800000"/>
                          </a:ln>
                        </wps:spPr>
                        <wps:bodyPr/>
                      </wps:wsp>
                      <wps:wsp>
                        <wps:cNvPr id="73" name="Line 53"/>
                        <wps:cNvCnPr>
                          <a:cxnSpLocks noChangeShapeType="1"/>
                        </wps:cNvCnPr>
                        <wps:spPr bwMode="auto">
                          <a:xfrm>
                            <a:off x="399415" y="4792980"/>
                            <a:ext cx="0" cy="74295"/>
                          </a:xfrm>
                          <a:prstGeom prst="line">
                            <a:avLst/>
                          </a:prstGeom>
                          <a:noFill/>
                          <a:ln w="10795" cap="sq">
                            <a:solidFill>
                              <a:srgbClr val="000000"/>
                            </a:solidFill>
                            <a:prstDash val="solid"/>
                            <a:miter lim="800000"/>
                          </a:ln>
                        </wps:spPr>
                        <wps:bodyPr/>
                      </wps:wsp>
                      <wps:wsp>
                        <wps:cNvPr id="74" name="Rectangle 54"/>
                        <wps:cNvSpPr>
                          <a:spLocks noChangeArrowheads="1"/>
                        </wps:cNvSpPr>
                        <wps:spPr bwMode="auto">
                          <a:xfrm>
                            <a:off x="299720" y="5007610"/>
                            <a:ext cx="247650" cy="259080"/>
                          </a:xfrm>
                          <a:prstGeom prst="rect">
                            <a:avLst/>
                          </a:prstGeom>
                          <a:noFill/>
                          <a:ln>
                            <a:noFill/>
                          </a:ln>
                        </wps:spPr>
                        <wps:txbx>
                          <w:txbxContent>
                            <w:p>
                              <w:r>
                                <w:rPr>
                                  <w:rFonts w:ascii="MS Sans Serif" w:hAnsi="MS Sans Serif" w:cs="MS Sans Serif"/>
                                  <w:color w:val="000000"/>
                                  <w:sz w:val="20"/>
                                  <w:szCs w:val="20"/>
                                </w:rPr>
                                <w:t>0.02</w:t>
                              </w:r>
                            </w:p>
                          </w:txbxContent>
                        </wps:txbx>
                        <wps:bodyPr rot="0" vert="horz" wrap="none" lIns="0" tIns="0" rIns="0" bIns="0" anchor="t" anchorCtr="0">
                          <a:spAutoFit/>
                        </wps:bodyPr>
                      </wps:wsp>
                    </wpc:wpc>
                  </a:graphicData>
                </a:graphic>
              </wp:anchor>
            </w:drawing>
          </mc:Choice>
          <mc:Fallback>
            <w:pict>
              <v:group id="_x0000_s1026" o:spid="_x0000_s1026" o:spt="203" style="position:absolute;left:0pt;margin-left:-14.25pt;margin-top:-21pt;height:547pt;width:482.05pt;z-index:251669504;mso-width-relative:page;mso-height-relative:page;" coordsize="6122035,6946900" editas="canvas" o:gfxdata="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">
                <o:lock v:ext="edit" aspectratio="f"/>
                <v:shape id="_x0000_s1026" o:spid="_x0000_s1026" style="position:absolute;left:0;top:0;height:6946900;width:6122035;" filled="f" stroked="f" coordsize="21600,21600" o:gfxdata="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">
                  <v:fill on="f" focussize="0,0"/>
                  <v:stroke on="f"/>
                  <v:imagedata o:title=""/>
                  <o:lock v:ext="edit" aspectratio="t"/>
                </v:shape>
                <v:rect id="Rectangle 5" o:spid="_x0000_s1026" o:spt="1" style="position:absolute;left:0;top:0;height:5557520;width:4417695;" fillcolor="#FFFFFF" filled="t" stroked="f" coordsize="21600,21600" o:gfxdata="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Kuo7VnZAAAADAEAAA8AAAAA&#10;AAAAAQAgAAAAIgAAAGRycy9kb3ducmV2LnhtbFBLAQIUABQAAAAIAIdO4kDKuQB5EwIAACoEAAAO&#10;AAAAAAAAAAEAIAAAACgBAABkcnMvZTJvRG9jLnhtbFBLBQYAAAAABgAGAFkBAACtBQAAAAA=&#10;">
                  <v:fill on="t" focussize="0,0"/>
                  <v:stroke on="f"/>
                  <v:imagedata o:title=""/>
                  <o:lock v:ext="edit" aspectratio="f"/>
                </v:rect>
                <v:rect id="Rectangle 6" o:spid="_x0000_s1026" o:spt="1" style="position:absolute;left:666115;top:205105;height:259080;width:279336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qi9wvYAAAADAEAAA8AAAAAAAAAAQAgAAAAIgAAAGRycy9kb3ducmV2&#10;LnhtbFBLAQIUABQAAAAIAIdO4kCZrgQA/AEAAPcDAAAOAAAAAAAAAAEAIAAAACcBAABkcnMvZTJv&#10;RG9jLnhtbFBLBQYAAAAABgAGAFkBAACVBQAAAAA=&#10;">
                  <v:fill on="f" focussize="0,0"/>
                  <v:stroke on="f"/>
                  <v:imagedata o:title=""/>
                  <o:lock v:ext="edit" aspectratio="f"/>
                  <v:textbox inset="0mm,0mm,0mm,0mm" style="mso-fit-shape-to-text:t;">
                    <w:txbxContent>
                      <w:p>
                        <w:r>
                          <w:rPr>
                            <w:rFonts w:ascii="Arial" w:hAnsi="Arial" w:cs="Arial"/>
                            <w:color w:val="000000"/>
                            <w:sz w:val="20"/>
                            <w:szCs w:val="20"/>
                          </w:rPr>
                          <w:t xml:space="preserve"> MW380578|Bacillus thuringiensis strain SEM1H4</w:t>
                        </w:r>
                      </w:p>
                    </w:txbxContent>
                  </v:textbox>
                </v:rect>
                <v:shape id="Freeform 7" o:spid="_x0000_s1026" o:spt="100" style="position:absolute;left:654685;top:280035;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mCw/59sAAAAMAQAADwAAAAAAAAABACAAAAAiAAAAZHJzL2Rvd25yZXYueG1sUEsB&#10;AhQAFAAAAAgAh07iQDMxw82dAgAA/QUAAA4AAAAAAAAAAQAgAAAAKgEAAGRycy9lMm9Eb2MueG1s&#10;UEsFBgAAAAAGAAYAWQEAADkGAAAAAA==&#10;" path="m0,176l0,0,0,0e">
                  <v:path o:connectlocs="0,111760;0,0;0,0" o:connectangles="0,0,0"/>
                  <v:fill on="f" focussize="0,0"/>
                  <v:stroke weight="0pt" color="#000000" joinstyle="round"/>
                  <v:imagedata o:title=""/>
                  <o:lock v:ext="edit" aspectratio="f"/>
                </v:shape>
                <v:rect id="Rectangle 8" o:spid="_x0000_s1026" o:spt="1" style="position:absolute;left:666115;top:438150;height:259080;width:244030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qi9wvYAAAADAEAAA8AAAAAAAAAAQAgAAAAIgAAAGRycy9kb3ducmV2&#10;LnhtbFBLAQIUABQAAAAIAIdO4kD6svIK/AEAAPgDAAAOAAAAAAAAAAEAIAAAACcBAABkcnMvZTJv&#10;RG9jLnhtbFBLBQYAAAAABgAGAFkBAACVBQAAAAA=&#10;">
                  <v:fill on="f" focussize="0,0"/>
                  <v:stroke on="f"/>
                  <v:imagedata o:title=""/>
                  <o:lock v:ext="edit" aspectratio="f"/>
                  <v:textbox inset="0mm,0mm,0mm,0mm" style="mso-fit-shape-to-text:t;">
                    <w:txbxContent>
                      <w:p>
                        <w:r>
                          <w:rPr>
                            <w:rFonts w:ascii="Arial" w:hAnsi="Arial" w:cs="Arial"/>
                            <w:color w:val="000000"/>
                            <w:sz w:val="20"/>
                            <w:szCs w:val="20"/>
                          </w:rPr>
                          <w:t xml:space="preserve"> KJ524500|Bacillus thuringiensis strain BF2</w:t>
                        </w:r>
                      </w:p>
                    </w:txbxContent>
                  </v:textbox>
                </v:rect>
                <v:shape id="Freeform 9" o:spid="_x0000_s1026" o:spt="100" style="position:absolute;left:654685;top:400685;height:112395;width:0;" filled="f" stroked="t" coordsize="1,177" o:gfxdata="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B2jjIR2gAAAAwBAAAPAAAAAAAAAAEAIAAAACIAAABkcnMvZG93bnJldi54bWxQSwEC&#10;FAAUAAAACACHTuJAKVWXm50CAAACBgAADgAAAAAAAAABACAAAAApAQAAZHJzL2Uyb0RvYy54bWxQ&#10;SwUGAAAAAAYABgBZAQAAOAYAAAAA&#10;" path="m0,0l0,177,0,177e">
                  <v:path o:connectlocs="0,0;0,112395;0,112395" o:connectangles="0,0,0"/>
                  <v:fill on="f" focussize="0,0"/>
                  <v:stroke weight="0pt" color="#000000" joinstyle="round"/>
                  <v:imagedata o:title=""/>
                  <o:lock v:ext="edit" aspectratio="f"/>
                </v:shape>
                <v:rect id="Rectangle 10" o:spid="_x0000_s1026" o:spt="1" style="position:absolute;left:666115;top:671195;height:259080;width:545592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qdxrqP0BAAD5AwAADgAAAAAAAAABACAAAAAnAQAAZHJzL2Uy&#10;b0RvYy54bWxQSwUGAAAAAAYABgBZAQAAlgUAAAAA&#10;">
                  <v:fill on="f" focussize="0,0"/>
                  <v:stroke on="f"/>
                  <v:imagedata o:title=""/>
                  <o:lock v:ext="edit" aspectratio="f"/>
                  <v:textbox inset="0mm,0mm,0mm,0mm" style="mso-fit-shape-to-text:t;">
                    <w:txbxContent>
                      <w:p>
                        <w:r>
                          <w:rPr>
                            <w:rFonts w:ascii="Arial" w:hAnsi="Arial" w:cs="Arial"/>
                            <w:b/>
                            <w:bCs/>
                            <w:color w:val="FF0000"/>
                            <w:sz w:val="20"/>
                            <w:szCs w:val="20"/>
                          </w:rPr>
                          <w:t xml:space="preserve"> OP320376| Bacillus thuringiensis UI-ANSAC-05 16S ribosomal RNA gene partial sequence</w:t>
                        </w:r>
                      </w:p>
                    </w:txbxContent>
                  </v:textbox>
                </v:rect>
                <v:line id="Line 11" o:spid="_x0000_s1026" o:spt="20" style="position:absolute;left:654685;top:746125;height:0;width:0;" filled="f" stroked="t" coordsize="21600,21600" o:gfxdata="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uqUYItoAAAAMAQAADwAAAAAA&#10;AAABACAAAAAiAAAAZHJzL2Rvd25yZXYueG1sUEsBAhQAFAAAAAgAh07iQPjjrb/YAQAAuwMAAA4A&#10;AAAAAAAAAQAgAAAAKQEAAGRycy9lMm9Eb2MueG1sUEsFBgAAAAAGAAYAWQEAAHMFAAAAAA==&#10;">
                  <v:fill on="f" focussize="0,0"/>
                  <v:stroke weight="0pt" color="#000000" joinstyle="round"/>
                  <v:imagedata o:title=""/>
                  <o:lock v:ext="edit" aspectratio="f"/>
                </v:line>
                <v:rect id="Rectangle 12" o:spid="_x0000_s1026" o:spt="1" style="position:absolute;left:666115;top:904240;height:259080;width:280035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t71xv0BAAD5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KT714044|Bacillus thuringiensis strain VKK-BB-1</w:t>
                        </w:r>
                      </w:p>
                    </w:txbxContent>
                  </v:textbox>
                </v:rect>
                <v:shape id="Freeform 13" o:spid="_x0000_s1026" o:spt="100" style="position:absolute;left:654685;top:634365;height:344805;width:0;" filled="f" stroked="t" coordsize="1,543" o:gfxdata="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fgd0S9oAAAAMAQAADwAAAAAAAAABACAAAAAiAAAAZHJzL2Rvd25yZXYueG1s&#10;UEsBAhQAFAAAAAgAh07iQPfdXEShAgAAAwYAAA4AAAAAAAAAAQAgAAAAKQEAAGRycy9lMm9Eb2Mu&#10;eG1sUEsFBgAAAAAGAAYAWQEAADwGAAAAAA==&#10;" path="m0,0l0,543,0,543e">
                  <v:path o:connectlocs="0,0;0,344805;0,344805" o:connectangles="0,0,0"/>
                  <v:fill on="f" focussize="0,0"/>
                  <v:stroke weight="0pt" color="#000000" joinstyle="round"/>
                  <v:imagedata o:title=""/>
                  <o:lock v:ext="edit" aspectratio="f"/>
                </v:shape>
                <v:rect id="Rectangle 14" o:spid="_x0000_s1026" o:spt="1" style="position:absolute;left:671830;top:1137920;height:259080;width:279336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qi9wvYAAAADAEAAA8AAAAAAAAAAQAgAAAAIgAAAGRycy9kb3du&#10;cmV2LnhtbFBLAQIUABQAAAAIAIdO4kAxYYsd/wEAAPoDAAAOAAAAAAAAAAEAIAAAACcBAABkcnMv&#10;ZTJvRG9jLnhtbFBLBQYAAAAABgAGAFkBAACYBQAAAAA=&#10;">
                  <v:fill on="f" focussize="0,0"/>
                  <v:stroke on="f"/>
                  <v:imagedata o:title=""/>
                  <o:lock v:ext="edit" aspectratio="f"/>
                  <v:textbox inset="0mm,0mm,0mm,0mm" style="mso-fit-shape-to-text:t;">
                    <w:txbxContent>
                      <w:p>
                        <w:r>
                          <w:rPr>
                            <w:rFonts w:ascii="Arial" w:hAnsi="Arial" w:cs="Arial"/>
                            <w:color w:val="000000"/>
                            <w:sz w:val="20"/>
                            <w:szCs w:val="20"/>
                          </w:rPr>
                          <w:t xml:space="preserve"> CP071743|Bacillus thuringiensis strain TAND672</w:t>
                        </w:r>
                      </w:p>
                    </w:txbxContent>
                  </v:textbox>
                </v:rect>
                <v:shape id="Freeform 15" o:spid="_x0000_s1026" o:spt="100" style="position:absolute;left:654685;top:755015;height:457200;width:5715;" filled="f" stroked="t" coordsize="9,720" o:gfxdata="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9&#10;dnZN3AAAAAwBAAAPAAAAAAAAAAEAIAAAACIAAABkcnMvZG93bnJldi54bWxQSwECFAAUAAAACACH&#10;TuJAxcvv1csCAAByBgAADgAAAAAAAAABACAAAAArAQAAZHJzL2Uyb0RvYy54bWxQSwUGAAAAAAYA&#10;BgBZAQAAaAYAAAAA&#10;" path="m0,0l0,720,9,720e">
                  <v:path o:connectlocs="0,0;0,457200;5715,457200" o:connectangles="0,0,0"/>
                  <v:fill on="f" focussize="0,0"/>
                  <v:stroke weight="0pt" color="#000000" joinstyle="round"/>
                  <v:imagedata o:title=""/>
                  <o:lock v:ext="edit" aspectratio="f"/>
                </v:shape>
                <v:rect id="Rectangle 16" o:spid="_x0000_s1026" o:spt="1" style="position:absolute;left:666115;top:1370965;height:259080;width:243332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qi9wvYAAAADAEAAA8AAAAAAAAAAQAgAAAAIgAAAGRycy9kb3du&#10;cmV2LnhtbFBLAQIUABQAAAAIAIdO4kBMexLp/wEAAPoDAAAOAAAAAAAAAAEAIAAAACcBAABkcnMv&#10;ZTJvRG9jLnhtbFBLBQYAAAAABgAGAFkBAACYBQAAAAA=&#10;">
                  <v:fill on="f" focussize="0,0"/>
                  <v:stroke on="f"/>
                  <v:imagedata o:title=""/>
                  <o:lock v:ext="edit" aspectratio="f"/>
                  <v:textbox inset="0mm,0mm,0mm,0mm" style="mso-fit-shape-to-text:t;">
                    <w:txbxContent>
                      <w:p>
                        <w:r>
                          <w:rPr>
                            <w:rFonts w:ascii="Arial" w:hAnsi="Arial" w:cs="Arial"/>
                            <w:color w:val="000000"/>
                            <w:sz w:val="20"/>
                            <w:szCs w:val="20"/>
                          </w:rPr>
                          <w:t xml:space="preserve"> JX010983|Bacillus thuringiensis strain B62</w:t>
                        </w:r>
                      </w:p>
                    </w:txbxContent>
                  </v:textbox>
                </v:rect>
                <v:shape id="Freeform 17" o:spid="_x0000_s1026" o:spt="100" style="position:absolute;left:654685;top:867410;height:577850;width:0;" filled="f" stroked="t" coordsize="1,910" o:gfxdata="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CVTkEt2gAAAAwBAAAPAAAAAAAAAAEAIAAAACIAAABkcnMvZG93bnJldi54bWxQSwEC&#10;FAAUAAAACACHTuJA8v8o450CAAADBgAADgAAAAAAAAABACAAAAApAQAAZHJzL2Uyb0RvYy54bWxQ&#10;SwUGAAAAAAYABgBZAQAAOAYAAAAA&#10;" path="m0,0l0,910,0,910e">
                  <v:path o:connectlocs="0,0;0,577850;0,577850" o:connectangles="0,0,0"/>
                  <v:fill on="f" focussize="0,0"/>
                  <v:stroke weight="0pt" color="#000000" joinstyle="round"/>
                  <v:imagedata o:title=""/>
                  <o:lock v:ext="edit" aspectratio="f"/>
                </v:shape>
                <v:rect id="Rectangle 18" o:spid="_x0000_s1026" o:spt="1" style="position:absolute;left:671830;top:1604010;height:259080;width:272288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Hs74pf0BAAD6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CP043234|Bacillus thuringiensis strain Bt-GS57</w:t>
                        </w:r>
                      </w:p>
                    </w:txbxContent>
                  </v:textbox>
                </v:rect>
                <v:shape id="Freeform 19" o:spid="_x0000_s1026" o:spt="100" style="position:absolute;left:654685;top:988695;height:689610;width:5715;" filled="f" stroked="t" coordsize="9,1086" o:gfxdata="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Z&#10;GQZN2AAAAAwBAAAPAAAAAAAAAAEAIAAAACIAAABkcnMvZG93bnJldi54bWxQSwECFAAUAAAACACH&#10;TuJASAyPYc8CAAB6BgAADgAAAAAAAAABACAAAAAnAQAAZHJzL2Uyb0RvYy54bWxQSwUGAAAAAAYA&#10;BgBZAQAAaAYAAAAA&#10;" path="m0,0l0,1086,9,1086e">
                  <v:path o:connectlocs="0,0;0,689610;5715,689610" o:connectangles="0,0,0"/>
                  <v:fill on="f" focussize="0,0"/>
                  <v:stroke weight="0pt" color="#000000" joinstyle="round"/>
                  <v:imagedata o:title=""/>
                  <o:lock v:ext="edit" aspectratio="f"/>
                </v:shape>
                <v:rect id="Rectangle 20" o:spid="_x0000_s1026" o:spt="1" style="position:absolute;left:666115;top:1837055;height:259080;width:249682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qL3C9gAAAAMAQAADwAAAAAAAAABACAAAAAiAAAAZHJzL2Rvd25y&#10;ZXYueG1sUEsBAhQAFAAAAAgAh07iQITuCzr+AQAA+gMAAA4AAAAAAAAAAQAgAAAAJwEAAGRycy9l&#10;Mm9Eb2MueG1sUEsFBgAAAAAGAAYAWQEAAJcFAAAAAA==&#10;">
                  <v:fill on="f" focussize="0,0"/>
                  <v:stroke on="f"/>
                  <v:imagedata o:title=""/>
                  <o:lock v:ext="edit" aspectratio="f"/>
                  <v:textbox inset="0mm,0mm,0mm,0mm" style="mso-fit-shape-to-text:t;">
                    <w:txbxContent>
                      <w:p>
                        <w:r>
                          <w:rPr>
                            <w:rFonts w:ascii="Arial" w:hAnsi="Arial" w:cs="Arial"/>
                            <w:color w:val="000000"/>
                            <w:sz w:val="20"/>
                            <w:szCs w:val="20"/>
                          </w:rPr>
                          <w:t xml:space="preserve"> MW380582|Bacillus thuringiensis strain 211</w:t>
                        </w:r>
                      </w:p>
                    </w:txbxContent>
                  </v:textbox>
                </v:rect>
                <v:shape id="Freeform 21" o:spid="_x0000_s1026" o:spt="100" style="position:absolute;left:654685;top:1911350;height:233680;width:0;" filled="f" stroked="t" coordsize="1,368" o:gfxdata="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Fc+JrbcAAAADAEAAA8AAAAAAAAAAQAgAAAAIgAAAGRycy9kb3ducmV2Lnht&#10;bFBLAQIUABQAAAAIAIdO4kAL4uz4oAIAAAAGAAAOAAAAAAAAAAEAIAAAACsBAABkcnMvZTJvRG9j&#10;LnhtbFBLBQYAAAAABgAGAFkBAAA9BgAAAAA=&#10;" path="m0,368l0,0,0,0e">
                  <v:path o:connectlocs="0,233680;0,0;0,0" o:connectangles="0,0,0"/>
                  <v:fill on="f" focussize="0,0"/>
                  <v:stroke weight="0pt" color="#000000" joinstyle="round"/>
                  <v:imagedata o:title=""/>
                  <o:lock v:ext="edit" aspectratio="f"/>
                </v:shape>
                <v:rect id="Rectangle 22" o:spid="_x0000_s1026" o:spt="1" style="position:absolute;left:671830;top:2070100;height:259080;width:314642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ws/H/v0BAAD6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MZ411685|Bacillus thuringiensis strain Sikkim2102 100</w:t>
                        </w:r>
                      </w:p>
                    </w:txbxContent>
                  </v:textbox>
                </v:rect>
                <v:shape id="Freeform 23" o:spid="_x0000_s1026" o:spt="100" style="position:absolute;left:660400;top:2145030;height:233045;width:0;" filled="f" stroked="t" coordsize="1,367" o:gfxdata="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C3ym+HbAAAADAEAAA8AAAAAAAAAAQAgAAAAIgAAAGRycy9kb3ducmV2LnhtbFBLAQIU&#10;ABQAAAAIAIdO4kCJAUjZmwIAAAAGAAAOAAAAAAAAAAEAIAAAACoBAABkcnMvZTJvRG9jLnhtbFBL&#10;BQYAAAAABgAGAFkBAAA3BgAAAAA=&#10;" path="m0,367l0,0,0,0e">
                  <v:path o:connectlocs="0,233045;0,0;0,0" o:connectangles="0,0,0"/>
                  <v:fill on="f" focussize="0,0"/>
                  <v:stroke weight="0pt" color="#000000" joinstyle="round"/>
                  <v:imagedata o:title=""/>
                  <o:lock v:ext="edit" aspectratio="f"/>
                </v:shape>
                <v:rect id="Rectangle 24" o:spid="_x0000_s1026" o:spt="1" style="position:absolute;left:671830;top:2303145;height:259080;width:275145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qL3C9gAAAAMAQAADwAAAAAAAAABACAAAAAiAAAAZHJzL2Rvd25y&#10;ZXYueG1sUEsBAhQAFAAAAAgAh07iQP5WH3b+AQAA+gMAAA4AAAAAAAAAAQAgAAAAJwEAAGRycy9l&#10;Mm9Eb2MueG1sUEsFBgAAAAAGAAYAWQEAAJcFAAAAAA==&#10;">
                  <v:fill on="f" focussize="0,0"/>
                  <v:stroke on="f"/>
                  <v:imagedata o:title=""/>
                  <o:lock v:ext="edit" aspectratio="f"/>
                  <v:textbox inset="0mm,0mm,0mm,0mm" style="mso-fit-shape-to-text:t;">
                    <w:txbxContent>
                      <w:p>
                        <w:r>
                          <w:rPr>
                            <w:rFonts w:ascii="Arial" w:hAnsi="Arial" w:cs="Arial"/>
                            <w:color w:val="000000"/>
                            <w:sz w:val="20"/>
                            <w:szCs w:val="20"/>
                          </w:rPr>
                          <w:t xml:space="preserve"> KY000700|Bacillus thuringiensis strain OM9 107</w:t>
                        </w:r>
                      </w:p>
                    </w:txbxContent>
                  </v:textbox>
                </v:rect>
                <v:shape id="Freeform 25" o:spid="_x0000_s1026" o:spt="100" style="position:absolute;left:660400;top:2378075;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CYLD/n2wAAAAwBAAAPAAAAAAAAAAEAIAAAACIAAABkcnMvZG93bnJldi54bWxQSwEC&#10;FAAUAAAACACHTuJAzohJ/JwCAAAABgAADgAAAAAAAAABACAAAAAqAQAAZHJzL2Uyb0RvYy54bWxQ&#10;SwUGAAAAAAYABgBZAQAAOAYAAAAA&#10;" path="m0,176l0,0,0,0e">
                  <v:path o:connectlocs="0,111760;0,0;0,0" o:connectangles="0,0,0"/>
                  <v:fill on="f" focussize="0,0"/>
                  <v:stroke weight="0pt" color="#000000" joinstyle="round"/>
                  <v:imagedata o:title=""/>
                  <o:lock v:ext="edit" aspectratio="f"/>
                </v:shape>
                <v:rect id="Rectangle 26" o:spid="_x0000_s1026" o:spt="1" style="position:absolute;left:671830;top:2536190;height:259080;width:266636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sBHW/0BAAD6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OM648225|Bacillus thuringiensis strain SXFB3</w:t>
                        </w:r>
                      </w:p>
                    </w:txbxContent>
                  </v:textbox>
                </v:rect>
                <v:shape id="Freeform 27" o:spid="_x0000_s1026" o:spt="100" style="position:absolute;left:660400;top:2499360;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mCw/59sAAAAMAQAADwAAAAAAAAABACAAAAAiAAAAZHJzL2Rvd25yZXYueG1sUEsBAhQA&#10;FAAAAAgAh07iQEPlZgiaAgAABAYAAA4AAAAAAAAAAQAgAAAAKgEAAGRycy9lMm9Eb2MueG1sUEsF&#10;BgAAAAAGAAYAWQEAADYGAAAAAA==&#10;" path="m0,0l0,176,0,176e">
                  <v:path o:connectlocs="0,0;0,111760;0,111760" o:connectangles="0,0,0"/>
                  <v:fill on="f" focussize="0,0"/>
                  <v:stroke weight="0pt" color="#000000" joinstyle="round"/>
                  <v:imagedata o:title=""/>
                  <o:lock v:ext="edit" aspectratio="f"/>
                </v:shape>
                <v:line id="Line 28" o:spid="_x0000_s1026" o:spt="20" style="position:absolute;left:660400;top:2378075;height:233045;width:0;" filled="f" stroked="t" coordsize="21600,21600" o:gfxdata="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6pRgi2gAAAAwBAAAPAAAA&#10;AAAAAAEAIAAAACIAAABkcnMvZG93bnJldi54bWxQSwECFAAUAAAACACHTuJAZ+vTvtoBAADBAwAA&#10;DgAAAAAAAAABACAAAAApAQAAZHJzL2Uyb0RvYy54bWxQSwUGAAAAAAYABgBZAQAAdQUAAAAA&#10;">
                  <v:fill on="f" focussize="0,0"/>
                  <v:stroke weight="0pt" color="#000000" joinstyle="round"/>
                  <v:imagedata o:title=""/>
                  <o:lock v:ext="edit" aspectratio="f"/>
                </v:line>
                <v:shape id="Freeform 29" o:spid="_x0000_s1026" o:spt="100" style="position:absolute;left:654685;top:2153920;height:224155;width:5715;" filled="f" stroked="t" coordsize="9,353" o:gfxdata="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O3hPJ9kAAAAMAQAADwAAAAAAAAABACAAAAAiAAAAZHJzL2Rvd25yZXYueG1sUEsBAhQAFAAA&#10;AAgAh07iQPapIdfSAgAAcwYAAA4AAAAAAAAAAQAgAAAAKAEAAGRycy9lMm9Eb2MueG1sUEsFBgAA&#10;AAAGAAYAWQEAAGwGAAAAAA==&#10;" path="m0,0l0,353,9,353e">
                  <v:path o:connectlocs="0,0;0,224155;5715,224155" o:connectangles="0,0,0"/>
                  <v:fill on="f" focussize="0,0"/>
                  <v:stroke weight="0pt" color="#000000" joinstyle="round"/>
                  <v:imagedata o:title=""/>
                  <o:lock v:ext="edit" aspectratio="f"/>
                </v:shape>
                <v:rect id="Rectangle 30" o:spid="_x0000_s1026" o:spt="1" style="position:absolute;left:666115;top:2769235;height:259080;width:266636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5JnAVf0BAAD6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KR708902|Bacillus thuringiensis strain CGPY1</w:t>
                        </w:r>
                      </w:p>
                    </w:txbxContent>
                  </v:textbox>
                </v:rect>
                <v:shape id="Freeform 31" o:spid="_x0000_s1026" o:spt="100" style="position:absolute;left:654685;top:2844165;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JgsP+fbAAAADAEAAA8AAAAAAAAAAQAgAAAAIgAAAGRycy9kb3ducmV2Lnht&#10;bFBLAQIUABQAAAAIAIdO4kAbruOqoQIAAAAGAAAOAAAAAAAAAAEAIAAAACoBAABkcnMvZTJvRG9j&#10;LnhtbFBLBQYAAAAABgAGAFkBAAA9BgAAAAA=&#10;" path="m0,176l0,0,0,0e">
                  <v:path o:connectlocs="0,111760;0,0;0,0" o:connectangles="0,0,0"/>
                  <v:fill on="f" focussize="0,0"/>
                  <v:stroke weight="0pt" color="#000000" joinstyle="round"/>
                  <v:imagedata o:title=""/>
                  <o:lock v:ext="edit" aspectratio="f"/>
                </v:shape>
                <v:rect id="Rectangle 32" o:spid="_x0000_s1026" o:spt="1" style="position:absolute;left:666115;top:3002915;height:259080;width:266636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yqL3C9gAAAAMAQAADwAAAAAAAAABACAAAAAiAAAAZHJzL2Rvd25yZXYu&#10;eG1sUEsBAhQAFAAAAAgAh07iQFbItuj7AQAA+gMAAA4AAAAAAAAAAQAgAAAAJwEAAGRycy9lMm9E&#10;b2MueG1sUEsFBgAAAAAGAAYAWQEAAJQFAAAAAA==&#10;">
                  <v:fill on="f" focussize="0,0"/>
                  <v:stroke on="f"/>
                  <v:imagedata o:title=""/>
                  <o:lock v:ext="edit" aspectratio="f"/>
                  <v:textbox inset="0mm,0mm,0mm,0mm" style="mso-fit-shape-to-text:t;">
                    <w:txbxContent>
                      <w:p>
                        <w:r>
                          <w:rPr>
                            <w:rFonts w:ascii="Arial" w:hAnsi="Arial" w:cs="Arial"/>
                            <w:color w:val="000000"/>
                            <w:sz w:val="20"/>
                            <w:szCs w:val="20"/>
                          </w:rPr>
                          <w:t xml:space="preserve"> OM648227|Bacillus thuringiensis strain SXFB7</w:t>
                        </w:r>
                      </w:p>
                    </w:txbxContent>
                  </v:textbox>
                </v:rect>
                <v:shape id="Freeform 33" o:spid="_x0000_s1026" o:spt="100" style="position:absolute;left:654685;top:2965450;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mCw/59sAAAAMAQAADwAAAAAAAAABACAAAAAiAAAAZHJzL2Rvd25yZXYueG1sUEsB&#10;AhQAFAAAAAgAh07iQD4HsuydAgAABAYAAA4AAAAAAAAAAQAgAAAAKgEAAGRycy9lMm9Eb2MueG1s&#10;UEsFBgAAAAAGAAYAWQEAADkGAAAAAA==&#10;" path="m0,0l0,176,0,176e">
                  <v:path o:connectlocs="0,0;0,111760;0,111760" o:connectangles="0,0,0"/>
                  <v:fill on="f" focussize="0,0"/>
                  <v:stroke weight="0pt" color="#000000" joinstyle="round"/>
                  <v:imagedata o:title=""/>
                  <o:lock v:ext="edit" aspectratio="f"/>
                </v:shape>
                <v:rect id="Rectangle 34" o:spid="_x0000_s1026" o:spt="1" style="position:absolute;left:666115;top:3235960;height:259080;width:277241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qi9wvYAAAADAEAAA8AAAAAAAAAAQAgAAAAIgAAAGRycy9kb3du&#10;cmV2LnhtbFBLAQIUABQAAAAIAIdO4kD1j4bI/wEAAPoDAAAOAAAAAAAAAAEAIAAAACcBAABkcnMv&#10;ZTJvRG9jLnhtbFBLBQYAAAAABgAGAFkBAACYBQAAAAA=&#10;">
                  <v:fill on="f" focussize="0,0"/>
                  <v:stroke on="f"/>
                  <v:imagedata o:title=""/>
                  <o:lock v:ext="edit" aspectratio="f"/>
                  <v:textbox inset="0mm,0mm,0mm,0mm" style="mso-fit-shape-to-text:t;">
                    <w:txbxContent>
                      <w:p>
                        <w:r>
                          <w:rPr>
                            <w:rFonts w:ascii="Arial" w:hAnsi="Arial" w:cs="Arial"/>
                            <w:color w:val="000000"/>
                            <w:sz w:val="20"/>
                            <w:szCs w:val="20"/>
                          </w:rPr>
                          <w:t xml:space="preserve"> KJ676099|Bacillus thuringiensis strain HTS-S-38</w:t>
                        </w:r>
                      </w:p>
                    </w:txbxContent>
                  </v:textbox>
                </v:rect>
                <v:shape id="Freeform 35" o:spid="_x0000_s1026" o:spt="100" style="position:absolute;left:654685;top:3310255;height:233045;width:0;" filled="f" stroked="t" coordsize="1,367" o:gfxdata="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At8pvh2wAAAAwBAAAPAAAAAAAAAAEAIAAAACIAAABkcnMvZG93bnJldi54bWxQ&#10;SwECFAAUAAAACACHTuJAfeynIZ8CAAAABgAADgAAAAAAAAABACAAAAAqAQAAZHJzL2Uyb0RvYy54&#10;bWxQSwUGAAAAAAYABgBZAQAAOwYAAAAA&#10;" path="m0,367l0,0,0,0e">
                  <v:path o:connectlocs="0,233045;0,0;0,0" o:connectangles="0,0,0"/>
                  <v:fill on="f" focussize="0,0"/>
                  <v:stroke weight="0pt" color="#000000" joinstyle="round"/>
                  <v:imagedata o:title=""/>
                  <o:lock v:ext="edit" aspectratio="f"/>
                </v:shape>
                <v:rect id="Rectangle 36" o:spid="_x0000_s1026" o:spt="1" style="position:absolute;left:666115;top:3469005;height:259080;width:260985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qi9wvYAAAADAEAAA8AAAAAAAAAAQAgAAAAIgAAAGRycy9kb3du&#10;cmV2LnhtbFBLAQIUABQAAAAIAIdO4kCL/LHF/wEAAPoDAAAOAAAAAAAAAAEAIAAAACcBAABkcnMv&#10;ZTJvRG9jLnhtbFBLBQYAAAAABgAGAFkBAACYBQAAAAA=&#10;">
                  <v:fill on="f" focussize="0,0"/>
                  <v:stroke on="f"/>
                  <v:imagedata o:title=""/>
                  <o:lock v:ext="edit" aspectratio="f"/>
                  <v:textbox inset="0mm,0mm,0mm,0mm" style="mso-fit-shape-to-text:t;">
                    <w:txbxContent>
                      <w:p>
                        <w:r>
                          <w:rPr>
                            <w:rFonts w:ascii="Arial" w:hAnsi="Arial" w:cs="Arial"/>
                            <w:color w:val="000000"/>
                            <w:sz w:val="20"/>
                            <w:szCs w:val="20"/>
                          </w:rPr>
                          <w:t xml:space="preserve"> MW192905|Bacillus thuringiensis strain UD36</w:t>
                        </w:r>
                      </w:p>
                    </w:txbxContent>
                  </v:textbox>
                </v:rect>
                <v:shape id="Freeform 37" o:spid="_x0000_s1026" o:spt="100" style="position:absolute;left:654685;top:3543300;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mCw/59sAAAAMAQAADwAAAAAAAAABACAAAAAiAAAAZHJzL2Rvd25yZXYueG1sUEsB&#10;AhQAFAAAAAgAh07iQPcaiIudAgAAAAYAAA4AAAAAAAAAAQAgAAAAKgEAAGRycy9lMm9Eb2MueG1s&#10;UEsFBgAAAAAGAAYAWQEAADkGAAAAAA==&#10;" path="m0,176l0,0,0,0e">
                  <v:path o:connectlocs="0,111760;0,0;0,0" o:connectangles="0,0,0"/>
                  <v:fill on="f" focussize="0,0"/>
                  <v:stroke weight="0pt" color="#000000" joinstyle="round"/>
                  <v:imagedata o:title=""/>
                  <o:lock v:ext="edit" aspectratio="f"/>
                </v:shape>
                <v:rect id="Rectangle 38" o:spid="_x0000_s1026" o:spt="1" style="position:absolute;left:666115;top:3702050;height:259080;width:277939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qL3C9gAAAAMAQAADwAAAAAAAAABACAAAAAiAAAAZHJzL2Rvd25y&#10;ZXYueG1sUEsBAhQAFAAAAAgAh07iQM7cGhn+AQAA+gMAAA4AAAAAAAAAAQAgAAAAJwEAAGRycy9l&#10;Mm9Eb2MueG1sUEsFBgAAAAAGAAYAWQEAAJcFAAAAAA==&#10;">
                  <v:fill on="f" focussize="0,0"/>
                  <v:stroke on="f"/>
                  <v:imagedata o:title=""/>
                  <o:lock v:ext="edit" aspectratio="f"/>
                  <v:textbox inset="0mm,0mm,0mm,0mm" style="mso-fit-shape-to-text:t;">
                    <w:txbxContent>
                      <w:p>
                        <w:r>
                          <w:rPr>
                            <w:rFonts w:ascii="Arial" w:hAnsi="Arial" w:cs="Arial"/>
                            <w:color w:val="000000"/>
                            <w:sz w:val="20"/>
                            <w:szCs w:val="20"/>
                          </w:rPr>
                          <w:t xml:space="preserve"> KF935650|Bacillus thuringiensis strain NBIN-863</w:t>
                        </w:r>
                      </w:p>
                    </w:txbxContent>
                  </v:textbox>
                </v:rect>
                <v:shape id="Freeform 39" o:spid="_x0000_s1026" o:spt="100" style="position:absolute;left:654685;top:3664585;height:111760;width:0;" filled="f" stroked="t" coordsize="1,176" o:gfxdata="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CYLD/n2wAAAAwBAAAPAAAAAAAAAAEAIAAAACIAAABkcnMvZG93bnJldi54bWxQ&#10;SwECFAAUAAAACACHTuJAMY3X5p8CAAAEBgAADgAAAAAAAAABACAAAAAqAQAAZHJzL2Uyb0RvYy54&#10;bWxQSwUGAAAAAAYABgBZAQAAOwYAAAAA&#10;" path="m0,0l0,176,0,176e">
                  <v:path o:connectlocs="0,0;0,111760;0,111760" o:connectangles="0,0,0"/>
                  <v:fill on="f" focussize="0,0"/>
                  <v:stroke weight="0pt" color="#000000" joinstyle="round"/>
                  <v:imagedata o:title=""/>
                  <o:lock v:ext="edit" aspectratio="f"/>
                </v:shape>
                <v:rect id="Rectangle 40" o:spid="_x0000_s1026" o:spt="1" style="position:absolute;left:666115;top:3935095;height:259080;width:266636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K/MIQf0BAAD6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OM648228|Bacillus thuringiensis strain SXFB8</w:t>
                        </w:r>
                      </w:p>
                    </w:txbxContent>
                  </v:textbox>
                </v:rect>
                <v:shape id="Freeform 41" o:spid="_x0000_s1026" o:spt="100" style="position:absolute;left:654685;top:2153920;height:1855470;width:0;" filled="f" stroked="t" coordsize="1,2922" o:gfxdata="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FnZyxbXAAAADAEAAA8AAAAAAAAAAQAgAAAAIgAAAGRycy9kb3ducmV2Lnht&#10;bFBLAQIUABQAAAAIAIdO4kCaZxqJpQIAAA0GAAAOAAAAAAAAAAEAIAAAACYBAABkcnMvZTJvRG9j&#10;LnhtbFBLBQYAAAAABgAGAFkBAAA9BgAAAAA=&#10;" path="m0,0l0,2922,0,2922e">
                  <v:path o:connectlocs="0,0;0,1855470;0,1855470" o:connectangles="0,0,0"/>
                  <v:fill on="f" focussize="0,0"/>
                  <v:stroke weight="0pt" color="#000000" joinstyle="round"/>
                  <v:imagedata o:title=""/>
                  <o:lock v:ext="edit" aspectratio="f"/>
                </v:shape>
                <v:line id="Line 42" o:spid="_x0000_s1026" o:spt="20" style="position:absolute;left:654685;top:288925;height:1874520;width:0;" filled="f" stroked="t" coordsize="21600,21600" o:gfxdata="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6pRgi2gAAAAwBAAAP&#10;AAAAAAAAAAEAIAAAACIAAABkcnMvZG93bnJldi54bWxQSwECFAAUAAAACACHTuJAlRORF90BAADB&#10;AwAADgAAAAAAAAABACAAAAApAQAAZHJzL2Uyb0RvYy54bWxQSwUGAAAAAAYABgBZAQAAeAUAAAAA&#10;">
                  <v:fill on="f" focussize="0,0"/>
                  <v:stroke weight="0pt" color="#000000" joinstyle="round"/>
                  <v:imagedata o:title=""/>
                  <o:lock v:ext="edit" aspectratio="f"/>
                </v:line>
                <v:shape id="Freeform 43" o:spid="_x0000_s1026" o:spt="100" style="position:absolute;left:649605;top:2145030;height:1043940;width:5080;" filled="f" stroked="t" coordsize="8,1644" o:gfxdata="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FoKgp7Y&#10;AAAADAEAAA8AAAAAAAAAAQAgAAAAIgAAAGRycy9kb3ducmV2LnhtbFBLAQIUABQAAAAIAIdO4kDK&#10;oqITywIAAHYGAAAOAAAAAAAAAAEAIAAAACcBAABkcnMvZTJvRG9jLnhtbFBLBQYAAAAABgAGAFkB&#10;AABkBgAAAAA=&#10;" path="m0,1644l0,0,8,0e">
                  <v:path o:connectlocs="0,1043940;0,0;5080,0" o:connectangles="0,0,0"/>
                  <v:fill on="f" focussize="0,0"/>
                  <v:stroke weight="0pt" color="#000000" joinstyle="round"/>
                  <v:imagedata o:title=""/>
                  <o:lock v:ext="edit" aspectratio="f"/>
                </v:shape>
                <v:rect id="Rectangle 44" o:spid="_x0000_s1026" o:spt="1" style="position:absolute;left:660400;top:4168140;height:259080;width:268732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KovcL2AAAAAwBAAAPAAAAAAAAAAEAIAAAACIAAABkcnMvZG93bnJl&#10;di54bWxQSwECFAAUAAAACACHTuJAGTZMXP0BAAD6AwAADgAAAAAAAAABACAAAAAnAQAAZHJzL2Uy&#10;b0RvYy54bWxQSwUGAAAAAAYABgBZAQAAlgUAAAAA&#10;">
                  <v:fill on="f" focussize="0,0"/>
                  <v:stroke on="f"/>
                  <v:imagedata o:title=""/>
                  <o:lock v:ext="edit" aspectratio="f"/>
                  <v:textbox inset="0mm,0mm,0mm,0mm" style="mso-fit-shape-to-text:t;">
                    <w:txbxContent>
                      <w:p>
                        <w:r>
                          <w:rPr>
                            <w:rFonts w:ascii="Arial" w:hAnsi="Arial" w:cs="Arial"/>
                            <w:color w:val="000000"/>
                            <w:sz w:val="20"/>
                            <w:szCs w:val="20"/>
                          </w:rPr>
                          <w:t xml:space="preserve"> CP016588|Bacillus thuringiensis strain KNU-07</w:t>
                        </w:r>
                      </w:p>
                    </w:txbxContent>
                  </v:textbox>
                </v:rect>
                <v:shape id="Freeform 45" o:spid="_x0000_s1026" o:spt="100" style="position:absolute;left:649605;top:3198495;height:1044575;width:0;" filled="f" stroked="t" coordsize="1,1645" o:gfxdata="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Bnn5ba3AAAAAwBAAAPAAAAAAAAAAEAIAAAACIAAABkcnMvZG93bnJldi54&#10;bWxQSwECFAAUAAAACACHTuJAcvvY+KECAAANBgAADgAAAAAAAAABACAAAAArAQAAZHJzL2Uyb0Rv&#10;Yy54bWxQSwUGAAAAAAYABgBZAQAAPgYAAAAA&#10;" path="m0,0l0,1645,0,1645e">
                  <v:path o:connectlocs="0,0;0,1044575;0,1044575" o:connectangles="0,0,0"/>
                  <v:fill on="f" focussize="0,0"/>
                  <v:stroke weight="0pt" color="#000000" joinstyle="round"/>
                  <v:imagedata o:title=""/>
                  <o:lock v:ext="edit" aspectratio="f"/>
                </v:shape>
                <v:shape id="Freeform 46" o:spid="_x0000_s1026" o:spt="100" style="position:absolute;left:222250;top:3188970;height:643255;width:427355;" filled="f" stroked="t" coordsize="673,1013" o:gfxdata="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KsxlpfaAAAADAEAAA8AAAAAAAAAAQAgAAAAIgAAAGRycy9kb3ducmV2LnhtbFBLAQIU&#10;ABQAAAAIAIdO4kAJWuBf1QIAAIMGAAAOAAAAAAAAAAEAIAAAACkBAABkcnMvZTJvRG9jLnhtbFBL&#10;BQYAAAAABgAGAFkBAABwBgAAAAA=&#10;" path="m0,1013l0,0,673,0e">
                  <v:path o:connectlocs="0,643255;0,0;427355,0" o:connectangles="0,0,0"/>
                  <v:fill on="f" focussize="0,0"/>
                  <v:stroke weight="0pt" color="#000000" joinstyle="round"/>
                  <v:imagedata o:title=""/>
                  <o:lock v:ext="edit" aspectratio="f"/>
                </v:shape>
                <v:rect id="Rectangle 47" o:spid="_x0000_s1026" o:spt="1" style="position:absolute;left:676910;top:4401185;height:259080;width:517207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qL3C9gAAAAMAQAADwAAAAAAAAABACAAAAAiAAAAZHJzL2Rvd25y&#10;ZXYueG1sUEsBAhQAFAAAAAgAh07iQLbRnf7+AQAA+gMAAA4AAAAAAAAAAQAgAAAAJwEAAGRycy9l&#10;Mm9Eb2MueG1sUEsFBgAAAAAGAAYAWQEAAJcFAAAAAA==&#10;">
                  <v:fill on="f" focussize="0,0"/>
                  <v:stroke on="f"/>
                  <v:imagedata o:title=""/>
                  <o:lock v:ext="edit" aspectratio="f"/>
                  <v:textbox inset="0mm,0mm,0mm,0mm" style="mso-fit-shape-to-text:t;">
                    <w:txbxContent>
                      <w:p>
                        <w:r>
                          <w:rPr>
                            <w:rFonts w:ascii="Arial" w:hAnsi="Arial" w:cs="Arial"/>
                            <w:color w:val="000000"/>
                            <w:sz w:val="20"/>
                            <w:szCs w:val="20"/>
                          </w:rPr>
                          <w:t xml:space="preserve"> MZ802725| Escherichia coli strain UCTH-01-CR 16S ribosomal RNA gene partial sequence</w:t>
                        </w:r>
                      </w:p>
                    </w:txbxContent>
                  </v:textbox>
                </v:rect>
                <v:shape id="Freeform 48" o:spid="_x0000_s1026" o:spt="100" style="position:absolute;left:222250;top:3841750;height:634365;width:443865;" filled="f" stroked="t" coordsize="699,999" o:gfxdata="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E9oibPcAAAADAEAAA8AAAAAAAAAAQAgAAAAIgAAAGRycy9kb3ducmV2LnhtbFBLAQIUABQA&#10;AAAIAIdO4kDaXzeQ0AIAAIEGAAAOAAAAAAAAAAEAIAAAACsBAABkcnMvZTJvRG9jLnhtbFBLBQYA&#10;AAAABgAGAFkBAABtBgAAAAA=&#10;" path="m0,0l0,999,699,999e">
                  <v:path o:connectlocs="0,0;0,634365;443865,634365" o:connectangles="0,0,0"/>
                  <v:fill on="f" focussize="0,0"/>
                  <v:stroke weight="0pt" color="#000000" joinstyle="round"/>
                  <v:imagedata o:title=""/>
                  <o:lock v:ext="edit" aspectratio="f"/>
                </v:shape>
                <v:rect id="Rectangle 49" o:spid="_x0000_s1026" o:spt="1" style="position:absolute;left:571500;top:2480310;height:250190;width:12509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qi9wvYAAAADAEAAA8AAAAAAAAAAQAgAAAAIgAAAGRycy9kb3ducmV2&#10;LnhtbFBLAQIUABQAAAAIAIdO4kCsxeDt/AEAAPkDAAAOAAAAAAAAAAEAIAAAACcBAABkcnMvZTJv&#10;RG9jLnhtbFBLBQYAAAAABgAGAFkBAACVBQAAAAA=&#10;">
                  <v:fill on="f" focussize="0,0"/>
                  <v:stroke on="f"/>
                  <v:imagedata o:title=""/>
                  <o:lock v:ext="edit" aspectratio="f"/>
                  <v:textbox inset="0mm,0mm,0mm,0mm" style="mso-fit-shape-to-text:t;">
                    <w:txbxContent>
                      <w:p>
                        <w:r>
                          <w:rPr>
                            <w:rFonts w:ascii="Tahoma" w:hAnsi="Tahoma" w:cs="Tahoma"/>
                            <w:color w:val="000000"/>
                            <w:sz w:val="18"/>
                            <w:szCs w:val="18"/>
                          </w:rPr>
                          <w:t>59</w:t>
                        </w:r>
                      </w:p>
                    </w:txbxContent>
                  </v:textbox>
                </v:rect>
                <v:rect id="Rectangle 50" o:spid="_x0000_s1026" o:spt="1" style="position:absolute;left:565785;top:1930400;height:250190;width:125095;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yqL3C9gAAAAMAQAADwAAAAAAAAABACAAAAAiAAAAZHJzL2Rvd25yZXYu&#10;eG1sUEsBAhQAFAAAAAgAh07iQJSX3y77AQAA+QMAAA4AAAAAAAAAAQAgAAAAJwEAAGRycy9lMm9E&#10;b2MueG1sUEsFBgAAAAAGAAYAWQEAAJQFAAAAAA==&#10;">
                  <v:fill on="f" focussize="0,0"/>
                  <v:stroke on="f"/>
                  <v:imagedata o:title=""/>
                  <o:lock v:ext="edit" aspectratio="f"/>
                  <v:textbox inset="0mm,0mm,0mm,0mm" style="mso-fit-shape-to-text:t;">
                    <w:txbxContent>
                      <w:p>
                        <w:r>
                          <w:rPr>
                            <w:rFonts w:ascii="Tahoma" w:hAnsi="Tahoma" w:cs="Tahoma"/>
                            <w:color w:val="000000"/>
                            <w:sz w:val="18"/>
                            <w:szCs w:val="18"/>
                          </w:rPr>
                          <w:t>54</w:t>
                        </w:r>
                      </w:p>
                    </w:txbxContent>
                  </v:textbox>
                </v:rect>
                <v:line id="Line 51" o:spid="_x0000_s1026" o:spt="20" style="position:absolute;left:332740;top:4830445;height:0;width:66675;" filled="f" stroked="t" coordsize="21600,21600" o:gfxdata="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BA&#10;XXjWAAAADAEAAA8AAAAAAAAAAQAgAAAAIgAAAGRycy9kb3ducmV2LnhtbFBLAQIUABQAAAAIAIdO&#10;4kCQyUac7AEAANoDAAAOAAAAAAAAAAEAIAAAACUBAABkcnMvZTJvRG9jLnhtbFBLBQYAAAAABgAG&#10;AFkBAACDBQAAAAA=&#10;">
                  <v:fill on="f" focussize="0,0"/>
                  <v:stroke weight="0.85pt" color="#000000" miterlimit="8" joinstyle="miter" endcap="square"/>
                  <v:imagedata o:title=""/>
                  <o:lock v:ext="edit" aspectratio="f"/>
                </v:line>
                <v:line id="Line 52" o:spid="_x0000_s1026" o:spt="20" style="position:absolute;left:332740;top:4792980;height:74295;width:0;" filled="f" stroked="t" coordsize="21600,21600" o:gfxdata="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YEBd&#10;eNYAAAAMAQAADwAAAAAAAAABACAAAAAiAAAAZHJzL2Rvd25yZXYueG1sUEsBAhQAFAAAAAgAh07i&#10;QJ7wfSzrAQAA2gMAAA4AAAAAAAAAAQAgAAAAJQEAAGRycy9lMm9Eb2MueG1sUEsFBgAAAAAGAAYA&#10;WQEAAIIFAAAAAA==&#10;">
                  <v:fill on="f" focussize="0,0"/>
                  <v:stroke weight="0.85pt" color="#000000" miterlimit="8" joinstyle="miter" endcap="square"/>
                  <v:imagedata o:title=""/>
                  <o:lock v:ext="edit" aspectratio="f"/>
                </v:line>
                <v:line id="Line 53" o:spid="_x0000_s1026" o:spt="20" style="position:absolute;left:399415;top:4792980;height:74295;width:0;" filled="f" stroked="t" coordsize="21600,21600" o:gfxdata="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YEBd&#10;eNYAAAAMAQAADwAAAAAAAAABACAAAAAiAAAAZHJzL2Rvd25yZXYueG1sUEsBAhQAFAAAAAgAh07i&#10;QDYQue/rAQAA2gMAAA4AAAAAAAAAAQAgAAAAJQEAAGRycy9lMm9Eb2MueG1sUEsFBgAAAAAGAAYA&#10;WQEAAIIFAAAAAA==&#10;">
                  <v:fill on="f" focussize="0,0"/>
                  <v:stroke weight="0.85pt" color="#000000" miterlimit="8" joinstyle="miter" endcap="square"/>
                  <v:imagedata o:title=""/>
                  <o:lock v:ext="edit" aspectratio="f"/>
                </v:line>
                <v:rect id="Rectangle 54" o:spid="_x0000_s1026" o:spt="1" style="position:absolute;left:299720;top:5007610;height:259080;width:247650;mso-wrap-style:none;" filled="f" stroked="f" coordsize="21600,21600" o:gfxdata="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Mqi9wvYAAAADAEAAA8AAAAAAAAAAQAgAAAAIgAAAGRycy9kb3ducmV2&#10;LnhtbFBLAQIUABQAAAAIAIdO4kDdGXn2/AEAAPkDAAAOAAAAAAAAAAEAIAAAACcBAABkcnMvZTJv&#10;RG9jLnhtbFBLBQYAAAAABgAGAFkBAACVBQAAAAA=&#10;">
                  <v:fill on="f" focussize="0,0"/>
                  <v:stroke on="f"/>
                  <v:imagedata o:title=""/>
                  <o:lock v:ext="edit" aspectratio="f"/>
                  <v:textbox inset="0mm,0mm,0mm,0mm" style="mso-fit-shape-to-text:t;">
                    <w:txbxContent>
                      <w:p>
                        <w:r>
                          <w:rPr>
                            <w:rFonts w:ascii="MS Sans Serif" w:hAnsi="MS Sans Serif" w:cs="MS Sans Serif"/>
                            <w:color w:val="000000"/>
                            <w:sz w:val="20"/>
                            <w:szCs w:val="20"/>
                          </w:rPr>
                          <w:t>0.02</w:t>
                        </w:r>
                      </w:p>
                    </w:txbxContent>
                  </v:textbox>
                </v:rect>
              </v:group>
            </w:pict>
          </mc:Fallback>
        </mc:AlternateContent>
      </w:r>
    </w:p>
    <w:p>
      <w:pPr>
        <w:jc w:val="center"/>
        <w:rPr>
          <w:rFonts w:ascii="Times New Roman" w:hAnsi="Times New Roman"/>
          <w:b/>
          <w:bCs/>
          <w:sz w:val="24"/>
          <w:szCs w:val="24"/>
        </w:rPr>
      </w:pPr>
      <w:r>
        <w:rPr>
          <w:rFonts w:ascii="Times New Roman" w:hAnsi="Times New Roman"/>
          <w:b/>
          <w:bCs/>
          <w:sz w:val="24"/>
          <w:szCs w:val="24"/>
        </w:rPr>
        <w:t>Appendix XVI</w:t>
      </w:r>
    </w:p>
    <w:p>
      <w:pPr>
        <w:rPr>
          <w:rFonts w:ascii="Times New Roman" w:hAnsi="Times New Roman"/>
          <w:b/>
          <w:bCs/>
          <w:sz w:val="24"/>
          <w:szCs w:val="24"/>
        </w:rPr>
      </w:pPr>
      <w:r>
        <w:rPr>
          <w:rFonts w:ascii="Times New Roman" w:hAnsi="Times New Roman"/>
          <w:b/>
          <w:bCs/>
          <w:sz w:val="24"/>
          <w:szCs w:val="24"/>
        </w:rPr>
        <w:t>Statistical Analyses</w:t>
      </w:r>
    </w:p>
    <w:tbl>
      <w:tblPr>
        <w:tblStyle w:val="5"/>
        <w:tblpPr w:leftFromText="180" w:rightFromText="180" w:vertAnchor="text" w:horzAnchor="margin" w:tblpY="293"/>
        <w:tblW w:w="8388" w:type="dxa"/>
        <w:tblInd w:w="0" w:type="dxa"/>
        <w:tblLayout w:type="autofit"/>
        <w:tblCellMar>
          <w:top w:w="0" w:type="dxa"/>
          <w:left w:w="108" w:type="dxa"/>
          <w:bottom w:w="0" w:type="dxa"/>
          <w:right w:w="108" w:type="dxa"/>
        </w:tblCellMar>
      </w:tblPr>
      <w:tblGrid>
        <w:gridCol w:w="1550"/>
        <w:gridCol w:w="1020"/>
        <w:gridCol w:w="1015"/>
        <w:gridCol w:w="1015"/>
        <w:gridCol w:w="1015"/>
        <w:gridCol w:w="1016"/>
        <w:gridCol w:w="1757"/>
      </w:tblGrid>
      <w:tr>
        <w:tblPrEx>
          <w:tblCellMar>
            <w:top w:w="0" w:type="dxa"/>
            <w:left w:w="108" w:type="dxa"/>
            <w:bottom w:w="0" w:type="dxa"/>
            <w:right w:w="108" w:type="dxa"/>
          </w:tblCellMar>
        </w:tblPrEx>
        <w:trPr>
          <w:trHeight w:val="358" w:hRule="atLeast"/>
        </w:trPr>
        <w:tc>
          <w:tcPr>
            <w:tcW w:w="8388" w:type="dxa"/>
            <w:gridSpan w:val="7"/>
            <w:tcBorders>
              <w:bottom w:val="single" w:color="auto" w:sz="4" w:space="0"/>
            </w:tcBorders>
            <w:shd w:val="clear" w:color="auto" w:fill="auto"/>
            <w:vAlign w:val="center"/>
          </w:tcPr>
          <w:p>
            <w:pPr>
              <w:jc w:val="center"/>
              <w:textAlignment w:val="center"/>
              <w:rPr>
                <w:rFonts w:ascii="Times New Roman" w:hAnsi="Times New Roman" w:eastAsia="Arial Bold"/>
                <w:b/>
                <w:bCs/>
                <w:color w:val="000000" w:themeColor="text1"/>
                <w:sz w:val="24"/>
                <w:szCs w:val="24"/>
                <w14:textFill>
                  <w14:solidFill>
                    <w14:schemeClr w14:val="tx1"/>
                  </w14:solidFill>
                </w14:textFill>
              </w:rPr>
            </w:pPr>
            <w:r>
              <w:rPr>
                <w:rFonts w:ascii="Times New Roman" w:hAnsi="Times New Roman" w:eastAsia="Arial Bold"/>
                <w:b/>
                <w:bCs/>
                <w:color w:val="000000" w:themeColor="text1"/>
                <w:sz w:val="24"/>
                <w:szCs w:val="24"/>
                <w14:textFill>
                  <w14:solidFill>
                    <w14:schemeClr w14:val="tx1"/>
                  </w14:solidFill>
                </w14:textFill>
              </w:rPr>
              <w:t>Correlations</w:t>
            </w:r>
          </w:p>
        </w:tc>
      </w:tr>
      <w:tr>
        <w:tblPrEx>
          <w:tblCellMar>
            <w:top w:w="0" w:type="dxa"/>
            <w:left w:w="108" w:type="dxa"/>
            <w:bottom w:w="0" w:type="dxa"/>
            <w:right w:w="108" w:type="dxa"/>
          </w:tblCellMar>
        </w:tblPrEx>
        <w:trPr>
          <w:trHeight w:val="320" w:hRule="atLeast"/>
        </w:trPr>
        <w:tc>
          <w:tcPr>
            <w:tcW w:w="1550" w:type="dxa"/>
            <w:tcBorders>
              <w:top w:val="single" w:color="auto" w:sz="4" w:space="0"/>
              <w:bottom w:val="single" w:color="auto" w:sz="4" w:space="0"/>
            </w:tcBorders>
            <w:shd w:val="clear" w:color="auto" w:fill="auto"/>
            <w:vAlign w:val="bottom"/>
          </w:tcPr>
          <w:p>
            <w:pPr>
              <w:rPr>
                <w:rFonts w:ascii="Times New Roman" w:hAnsi="Times New Roman"/>
                <w:color w:val="000000" w:themeColor="text1"/>
                <w:sz w:val="24"/>
                <w:szCs w:val="24"/>
                <w14:textFill>
                  <w14:solidFill>
                    <w14:schemeClr w14:val="tx1"/>
                  </w14:solidFill>
                </w14:textFill>
              </w:rPr>
            </w:pPr>
          </w:p>
        </w:tc>
        <w:tc>
          <w:tcPr>
            <w:tcW w:w="1020"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HPC</w:t>
            </w:r>
          </w:p>
        </w:tc>
        <w:tc>
          <w:tcPr>
            <w:tcW w:w="101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TFC</w:t>
            </w:r>
          </w:p>
        </w:tc>
        <w:tc>
          <w:tcPr>
            <w:tcW w:w="101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CBC</w:t>
            </w:r>
          </w:p>
        </w:tc>
        <w:tc>
          <w:tcPr>
            <w:tcW w:w="101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PSBC</w:t>
            </w:r>
          </w:p>
        </w:tc>
        <w:tc>
          <w:tcPr>
            <w:tcW w:w="1016"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NFBC</w:t>
            </w:r>
          </w:p>
        </w:tc>
        <w:tc>
          <w:tcPr>
            <w:tcW w:w="1757"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ACTINO BC</w:t>
            </w:r>
          </w:p>
        </w:tc>
      </w:tr>
      <w:tr>
        <w:tblPrEx>
          <w:tblCellMar>
            <w:top w:w="0" w:type="dxa"/>
            <w:left w:w="108" w:type="dxa"/>
            <w:bottom w:w="0" w:type="dxa"/>
            <w:right w:w="108" w:type="dxa"/>
          </w:tblCellMar>
        </w:tblPrEx>
        <w:trPr>
          <w:trHeight w:val="360" w:hRule="atLeast"/>
        </w:trPr>
        <w:tc>
          <w:tcPr>
            <w:tcW w:w="1550" w:type="dxa"/>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PH</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.848</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.694</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.697</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-0.194</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-0.368</w:t>
            </w:r>
          </w:p>
        </w:tc>
        <w:tc>
          <w:tcPr>
            <w:tcW w:w="1757" w:type="dxa"/>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-0.484</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-.831</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-.648</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-0.570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-0.067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0.347</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0.442</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Mg(Cmol/kg)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-.874</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-0.624</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-0.547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-0.077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0.319</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0.393</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-.660</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-.727</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-.638</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-0.142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0.263</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0.390</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K(Cmol/kg)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-.820</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-.741</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-.661</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-0.022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0.267</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0.404</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%TOTAL N</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-.957</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-0.631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-.652</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0.133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0.219</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0.236</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C</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-.704</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-0.592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-0.515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-0.053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0.461</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0.571</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M</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-.704</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-0.591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-0.510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-0.062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0.458</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0.569</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Av.P(mg/kg)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-.726</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-.655</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-0.585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-0.020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0.406</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0.540</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Mn(mg/kg)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-.870</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-0.587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-0.523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-0.041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0.371</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0.441</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Al(mg/kg)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-.925</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-0.462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-0.463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0.176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0.353</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0.390</w:t>
            </w:r>
          </w:p>
        </w:tc>
      </w:tr>
      <w:tr>
        <w:tblPrEx>
          <w:tblCellMar>
            <w:top w:w="0" w:type="dxa"/>
            <w:left w:w="108" w:type="dxa"/>
            <w:bottom w:w="0" w:type="dxa"/>
            <w:right w:w="108" w:type="dxa"/>
          </w:tblCellMar>
        </w:tblPrEx>
        <w:trPr>
          <w:trHeight w:val="360" w:hRule="atLeast"/>
        </w:trPr>
        <w:tc>
          <w:tcPr>
            <w:tcW w:w="1550"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Cumg/kg)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-.805</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-0.521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-0.468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-0.005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0.470</w:t>
            </w:r>
          </w:p>
        </w:tc>
        <w:tc>
          <w:tcPr>
            <w:tcW w:w="1757"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0.560</w:t>
            </w:r>
          </w:p>
        </w:tc>
      </w:tr>
      <w:tr>
        <w:tblPrEx>
          <w:tblCellMar>
            <w:top w:w="0" w:type="dxa"/>
            <w:left w:w="108" w:type="dxa"/>
            <w:bottom w:w="0" w:type="dxa"/>
            <w:right w:w="108" w:type="dxa"/>
          </w:tblCellMar>
        </w:tblPrEx>
        <w:trPr>
          <w:trHeight w:val="360" w:hRule="atLeast"/>
        </w:trPr>
        <w:tc>
          <w:tcPr>
            <w:tcW w:w="1550" w:type="dxa"/>
            <w:tcBorders>
              <w:bottom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Mo(mg/kg)</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-.931</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-.737</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-.724</w:t>
            </w:r>
            <w:r>
              <w:rPr>
                <w:rStyle w:val="50"/>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0.131</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0.215</w:t>
            </w:r>
          </w:p>
        </w:tc>
        <w:tc>
          <w:tcPr>
            <w:tcW w:w="1757" w:type="dxa"/>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0.291</w:t>
            </w:r>
          </w:p>
        </w:tc>
      </w:tr>
    </w:tbl>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r>
        <w:rPr>
          <w:rFonts w:ascii="Times New Roman" w:hAnsi="Times New Roman"/>
          <w:color w:val="000000" w:themeColor="text1"/>
          <w:sz w:val="24"/>
          <w:szCs w:val="24"/>
          <w14:textFill>
            <w14:solidFill>
              <w14:schemeClr w14:val="tx1"/>
            </w14:solidFill>
          </w14:textFill>
        </w:rPr>
        <w:br w:type="page"/>
      </w:r>
    </w:p>
    <w:tbl>
      <w:tblPr>
        <w:tblStyle w:val="5"/>
        <w:tblW w:w="9280" w:type="dxa"/>
        <w:tblInd w:w="98" w:type="dxa"/>
        <w:tblLayout w:type="autofit"/>
        <w:tblCellMar>
          <w:top w:w="0" w:type="dxa"/>
          <w:left w:w="108" w:type="dxa"/>
          <w:bottom w:w="0" w:type="dxa"/>
          <w:right w:w="108" w:type="dxa"/>
        </w:tblCellMar>
      </w:tblPr>
      <w:tblGrid>
        <w:gridCol w:w="2323"/>
        <w:gridCol w:w="1045"/>
        <w:gridCol w:w="1044"/>
        <w:gridCol w:w="1044"/>
        <w:gridCol w:w="1044"/>
        <w:gridCol w:w="1045"/>
        <w:gridCol w:w="1735"/>
      </w:tblGrid>
      <w:tr>
        <w:tblPrEx>
          <w:tblCellMar>
            <w:top w:w="0" w:type="dxa"/>
            <w:left w:w="108" w:type="dxa"/>
            <w:bottom w:w="0" w:type="dxa"/>
            <w:right w:w="108" w:type="dxa"/>
          </w:tblCellMar>
        </w:tblPrEx>
        <w:trPr>
          <w:trHeight w:val="420" w:hRule="atLeast"/>
        </w:trPr>
        <w:tc>
          <w:tcPr>
            <w:tcW w:w="9280" w:type="dxa"/>
            <w:gridSpan w:val="7"/>
            <w:tcBorders>
              <w:bottom w:val="single" w:color="auto" w:sz="4" w:space="0"/>
            </w:tcBorders>
            <w:shd w:val="clear" w:color="auto" w:fill="auto"/>
            <w:vAlign w:val="center"/>
          </w:tcPr>
          <w:p>
            <w:pPr>
              <w:jc w:val="center"/>
              <w:textAlignment w:val="center"/>
              <w:rPr>
                <w:rFonts w:ascii="Times New Roman" w:hAnsi="Times New Roman"/>
                <w:b/>
                <w:bCs/>
                <w:color w:val="000000" w:themeColor="text1"/>
                <w:sz w:val="24"/>
                <w:szCs w:val="24"/>
                <w14:textFill>
                  <w14:solidFill>
                    <w14:schemeClr w14:val="tx1"/>
                  </w14:solidFill>
                </w14:textFill>
              </w:rPr>
            </w:pPr>
            <w:r>
              <w:rPr>
                <w:rFonts w:ascii="Times New Roman" w:hAnsi="Times New Roman" w:eastAsia="SimSun"/>
                <w:b/>
                <w:bCs/>
                <w:color w:val="000000" w:themeColor="text1"/>
                <w:sz w:val="24"/>
                <w:szCs w:val="24"/>
                <w14:textFill>
                  <w14:solidFill>
                    <w14:schemeClr w14:val="tx1"/>
                  </w14:solidFill>
                </w14:textFill>
              </w:rPr>
              <w:t>Poultry Correlations</w:t>
            </w:r>
          </w:p>
        </w:tc>
      </w:tr>
      <w:tr>
        <w:tblPrEx>
          <w:tblCellMar>
            <w:top w:w="0" w:type="dxa"/>
            <w:left w:w="108" w:type="dxa"/>
            <w:bottom w:w="0" w:type="dxa"/>
            <w:right w:w="108" w:type="dxa"/>
          </w:tblCellMar>
        </w:tblPrEx>
        <w:trPr>
          <w:trHeight w:val="320" w:hRule="atLeast"/>
        </w:trPr>
        <w:tc>
          <w:tcPr>
            <w:tcW w:w="2323" w:type="dxa"/>
            <w:tcBorders>
              <w:top w:val="single" w:color="auto" w:sz="4" w:space="0"/>
              <w:bottom w:val="single" w:color="auto" w:sz="4" w:space="0"/>
            </w:tcBorders>
            <w:shd w:val="clear" w:color="auto" w:fill="auto"/>
            <w:vAlign w:val="bottom"/>
          </w:tcPr>
          <w:p>
            <w:pPr>
              <w:rPr>
                <w:rFonts w:ascii="Times New Roman" w:hAnsi="Times New Roman"/>
                <w:color w:val="000000" w:themeColor="text1"/>
                <w:sz w:val="24"/>
                <w:szCs w:val="24"/>
                <w14:textFill>
                  <w14:solidFill>
                    <w14:schemeClr w14:val="tx1"/>
                  </w14:solidFill>
                </w14:textFill>
              </w:rPr>
            </w:pP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HPC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TFC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CBC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PSBC</w:t>
            </w: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NFBC</w:t>
            </w:r>
          </w:p>
        </w:tc>
        <w:tc>
          <w:tcPr>
            <w:tcW w:w="173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ACTINO BC</w:t>
            </w:r>
          </w:p>
        </w:tc>
      </w:tr>
      <w:tr>
        <w:tblPrEx>
          <w:tblCellMar>
            <w:top w:w="0" w:type="dxa"/>
            <w:left w:w="108" w:type="dxa"/>
            <w:bottom w:w="0" w:type="dxa"/>
            <w:right w:w="108" w:type="dxa"/>
          </w:tblCellMar>
        </w:tblPrEx>
        <w:trPr>
          <w:trHeight w:val="360" w:hRule="atLeast"/>
        </w:trPr>
        <w:tc>
          <w:tcPr>
            <w:tcW w:w="2323" w:type="dxa"/>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PH</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0.911</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-0.808</w:t>
            </w:r>
          </w:p>
        </w:tc>
        <w:tc>
          <w:tcPr>
            <w:tcW w:w="1735" w:type="dxa"/>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-.981</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0.809</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.982</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Mg(Cmol/kg)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0.807</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-0.835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0.891</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K(Cmol/kg)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-1.000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0.763</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.965</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%TOTAL N</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-0.868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0.860</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.991</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C</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0.800</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.983</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M</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0.794</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.981</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Av.P(mg/kg)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-0.907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0.814</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.983</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Mn(mg/kg)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-0.906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0.816</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.983</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Al(mg/kg)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0.791</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.981</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Cumg/kg)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-0.903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0.791</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.956</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tcBorders>
              <w:bottom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Mo(mg/kg)</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-0.911</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0.803</w:t>
            </w:r>
          </w:p>
        </w:tc>
        <w:tc>
          <w:tcPr>
            <w:tcW w:w="1735" w:type="dxa"/>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.986</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40" w:hRule="atLeast"/>
        </w:trPr>
        <w:tc>
          <w:tcPr>
            <w:tcW w:w="9280" w:type="dxa"/>
            <w:gridSpan w:val="7"/>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0.01 level (2-tailed).</w:t>
            </w:r>
          </w:p>
        </w:tc>
      </w:tr>
      <w:tr>
        <w:tblPrEx>
          <w:tblCellMar>
            <w:top w:w="0" w:type="dxa"/>
            <w:left w:w="108" w:type="dxa"/>
            <w:bottom w:w="0" w:type="dxa"/>
            <w:right w:w="108" w:type="dxa"/>
          </w:tblCellMar>
        </w:tblPrEx>
        <w:trPr>
          <w:trHeight w:val="340" w:hRule="atLeast"/>
        </w:trPr>
        <w:tc>
          <w:tcPr>
            <w:tcW w:w="9280" w:type="dxa"/>
            <w:gridSpan w:val="7"/>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0.05 level (2-tailed).</w:t>
            </w:r>
          </w:p>
        </w:tc>
      </w:tr>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73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73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bl>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tbl>
      <w:tblPr>
        <w:tblStyle w:val="5"/>
        <w:tblW w:w="9100" w:type="dxa"/>
        <w:tblInd w:w="98" w:type="dxa"/>
        <w:tblLayout w:type="autofit"/>
        <w:tblCellMar>
          <w:top w:w="0" w:type="dxa"/>
          <w:left w:w="108" w:type="dxa"/>
          <w:bottom w:w="0" w:type="dxa"/>
          <w:right w:w="108" w:type="dxa"/>
        </w:tblCellMar>
      </w:tblPr>
      <w:tblGrid>
        <w:gridCol w:w="2323"/>
        <w:gridCol w:w="1045"/>
        <w:gridCol w:w="1044"/>
        <w:gridCol w:w="1044"/>
        <w:gridCol w:w="1044"/>
        <w:gridCol w:w="1045"/>
        <w:gridCol w:w="1555"/>
      </w:tblGrid>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55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420" w:hRule="atLeast"/>
        </w:trPr>
        <w:tc>
          <w:tcPr>
            <w:tcW w:w="9100" w:type="dxa"/>
            <w:gridSpan w:val="7"/>
            <w:tcBorders>
              <w:bottom w:val="single" w:color="auto" w:sz="4" w:space="0"/>
            </w:tcBorders>
            <w:shd w:val="clear" w:color="auto" w:fill="auto"/>
            <w:vAlign w:val="center"/>
          </w:tcPr>
          <w:p>
            <w:pPr>
              <w:jc w:val="center"/>
              <w:textAlignment w:val="center"/>
              <w:rPr>
                <w:rFonts w:ascii="Times New Roman" w:hAnsi="Times New Roman"/>
                <w:b/>
                <w:bCs/>
                <w:color w:val="000000" w:themeColor="text1"/>
                <w:sz w:val="24"/>
                <w:szCs w:val="24"/>
                <w14:textFill>
                  <w14:solidFill>
                    <w14:schemeClr w14:val="tx1"/>
                  </w14:solidFill>
                </w14:textFill>
              </w:rPr>
            </w:pPr>
            <w:r>
              <w:rPr>
                <w:rFonts w:ascii="Times New Roman" w:hAnsi="Times New Roman" w:eastAsia="SimSun"/>
                <w:b/>
                <w:bCs/>
                <w:color w:val="000000" w:themeColor="text1"/>
                <w:sz w:val="24"/>
                <w:szCs w:val="24"/>
                <w14:textFill>
                  <w14:solidFill>
                    <w14:schemeClr w14:val="tx1"/>
                  </w14:solidFill>
                </w14:textFill>
              </w:rPr>
              <w:t>Cow Correlations</w:t>
            </w:r>
          </w:p>
        </w:tc>
      </w:tr>
      <w:tr>
        <w:tblPrEx>
          <w:tblCellMar>
            <w:top w:w="0" w:type="dxa"/>
            <w:left w:w="108" w:type="dxa"/>
            <w:bottom w:w="0" w:type="dxa"/>
            <w:right w:w="108" w:type="dxa"/>
          </w:tblCellMar>
        </w:tblPrEx>
        <w:trPr>
          <w:trHeight w:val="320" w:hRule="atLeast"/>
        </w:trPr>
        <w:tc>
          <w:tcPr>
            <w:tcW w:w="2323" w:type="dxa"/>
            <w:tcBorders>
              <w:top w:val="single" w:color="auto" w:sz="4" w:space="0"/>
              <w:bottom w:val="single" w:color="auto" w:sz="4" w:space="0"/>
            </w:tcBorders>
            <w:shd w:val="clear" w:color="auto" w:fill="auto"/>
            <w:vAlign w:val="bottom"/>
          </w:tcPr>
          <w:p>
            <w:pPr>
              <w:rPr>
                <w:rFonts w:ascii="Times New Roman" w:hAnsi="Times New Roman"/>
                <w:color w:val="000000" w:themeColor="text1"/>
                <w:sz w:val="24"/>
                <w:szCs w:val="24"/>
                <w14:textFill>
                  <w14:solidFill>
                    <w14:schemeClr w14:val="tx1"/>
                  </w14:solidFill>
                </w14:textFill>
              </w:rPr>
            </w:pP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HPC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TFC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CBC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PSBC</w:t>
            </w: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NFBC</w:t>
            </w:r>
          </w:p>
        </w:tc>
        <w:tc>
          <w:tcPr>
            <w:tcW w:w="155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ACTINO BC</w:t>
            </w:r>
          </w:p>
        </w:tc>
      </w:tr>
      <w:tr>
        <w:tblPrEx>
          <w:tblCellMar>
            <w:top w:w="0" w:type="dxa"/>
            <w:left w:w="108" w:type="dxa"/>
            <w:bottom w:w="0" w:type="dxa"/>
            <w:right w:w="108" w:type="dxa"/>
          </w:tblCellMar>
        </w:tblPrEx>
        <w:trPr>
          <w:trHeight w:val="360" w:hRule="atLeast"/>
        </w:trPr>
        <w:tc>
          <w:tcPr>
            <w:tcW w:w="2323" w:type="dxa"/>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PH</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0.930</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0.870</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-0.700</w:t>
            </w:r>
          </w:p>
        </w:tc>
        <w:tc>
          <w:tcPr>
            <w:tcW w:w="1555" w:type="dxa"/>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-.981</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-0.870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0.700</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.981</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Mg(Cmol/kg)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-0.871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0.698</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.980</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-0.858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0.710</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.977</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K(Cmol/kg)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-0.877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0.688</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.978</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%TOTAL N</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-0.872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-0.791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0.787</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C</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-0.850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0.719</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.985</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M</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-0.852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0.716</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.984</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Av.P(mg/kg)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-0.866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0.705</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.982</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Mn(mg/kg)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-0.866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0.705</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.982</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Al(mg/kg)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-.958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-0.909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0.636</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.960</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Cumg/kg)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-0.863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0.707</w:t>
            </w:r>
          </w:p>
        </w:tc>
        <w:tc>
          <w:tcPr>
            <w:tcW w:w="155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tcBorders>
              <w:bottom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Mo(mg/kg)</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-0.936</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-0.875</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0.689</w:t>
            </w:r>
          </w:p>
        </w:tc>
        <w:tc>
          <w:tcPr>
            <w:tcW w:w="1555" w:type="dxa"/>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.978</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40" w:hRule="atLeast"/>
        </w:trPr>
        <w:tc>
          <w:tcPr>
            <w:tcW w:w="9100" w:type="dxa"/>
            <w:gridSpan w:val="7"/>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0.01 level (2-tailed).</w:t>
            </w:r>
          </w:p>
        </w:tc>
      </w:tr>
      <w:tr>
        <w:tblPrEx>
          <w:tblCellMar>
            <w:top w:w="0" w:type="dxa"/>
            <w:left w:w="108" w:type="dxa"/>
            <w:bottom w:w="0" w:type="dxa"/>
            <w:right w:w="108" w:type="dxa"/>
          </w:tblCellMar>
        </w:tblPrEx>
        <w:trPr>
          <w:trHeight w:val="340" w:hRule="atLeast"/>
        </w:trPr>
        <w:tc>
          <w:tcPr>
            <w:tcW w:w="9100" w:type="dxa"/>
            <w:gridSpan w:val="7"/>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0.05 level (2-tailed).</w:t>
            </w:r>
          </w:p>
        </w:tc>
      </w:tr>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55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55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bl>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tbl>
      <w:tblPr>
        <w:tblStyle w:val="5"/>
        <w:tblW w:w="9280" w:type="dxa"/>
        <w:tblInd w:w="98" w:type="dxa"/>
        <w:tblLayout w:type="autofit"/>
        <w:tblCellMar>
          <w:top w:w="0" w:type="dxa"/>
          <w:left w:w="108" w:type="dxa"/>
          <w:bottom w:w="0" w:type="dxa"/>
          <w:right w:w="108" w:type="dxa"/>
        </w:tblCellMar>
      </w:tblPr>
      <w:tblGrid>
        <w:gridCol w:w="2323"/>
        <w:gridCol w:w="1045"/>
        <w:gridCol w:w="1044"/>
        <w:gridCol w:w="1044"/>
        <w:gridCol w:w="1044"/>
        <w:gridCol w:w="1045"/>
        <w:gridCol w:w="1735"/>
      </w:tblGrid>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73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420" w:hRule="atLeast"/>
        </w:trPr>
        <w:tc>
          <w:tcPr>
            <w:tcW w:w="9280" w:type="dxa"/>
            <w:gridSpan w:val="7"/>
            <w:tcBorders>
              <w:bottom w:val="single" w:color="auto" w:sz="4" w:space="0"/>
            </w:tcBorders>
            <w:shd w:val="clear" w:color="auto" w:fill="auto"/>
            <w:vAlign w:val="center"/>
          </w:tcPr>
          <w:p>
            <w:pPr>
              <w:jc w:val="center"/>
              <w:textAlignment w:val="center"/>
              <w:rPr>
                <w:rFonts w:ascii="Times New Roman" w:hAnsi="Times New Roman"/>
                <w:b/>
                <w:bCs/>
                <w:color w:val="000000" w:themeColor="text1"/>
                <w:sz w:val="24"/>
                <w:szCs w:val="24"/>
                <w14:textFill>
                  <w14:solidFill>
                    <w14:schemeClr w14:val="tx1"/>
                  </w14:solidFill>
                </w14:textFill>
              </w:rPr>
            </w:pPr>
            <w:r>
              <w:rPr>
                <w:rFonts w:ascii="Times New Roman" w:hAnsi="Times New Roman" w:eastAsia="SimSun"/>
                <w:b/>
                <w:bCs/>
                <w:color w:val="000000" w:themeColor="text1"/>
                <w:sz w:val="24"/>
                <w:szCs w:val="24"/>
                <w14:textFill>
                  <w14:solidFill>
                    <w14:schemeClr w14:val="tx1"/>
                  </w14:solidFill>
                </w14:textFill>
              </w:rPr>
              <w:t>Pig Correlations</w:t>
            </w:r>
          </w:p>
        </w:tc>
      </w:tr>
      <w:tr>
        <w:tblPrEx>
          <w:tblCellMar>
            <w:top w:w="0" w:type="dxa"/>
            <w:left w:w="108" w:type="dxa"/>
            <w:bottom w:w="0" w:type="dxa"/>
            <w:right w:w="108" w:type="dxa"/>
          </w:tblCellMar>
        </w:tblPrEx>
        <w:trPr>
          <w:trHeight w:val="320" w:hRule="atLeast"/>
        </w:trPr>
        <w:tc>
          <w:tcPr>
            <w:tcW w:w="2323" w:type="dxa"/>
            <w:tcBorders>
              <w:top w:val="single" w:color="auto" w:sz="4" w:space="0"/>
              <w:bottom w:val="single" w:color="auto" w:sz="4" w:space="0"/>
            </w:tcBorders>
            <w:shd w:val="clear" w:color="auto" w:fill="auto"/>
            <w:vAlign w:val="bottom"/>
          </w:tcPr>
          <w:p>
            <w:pPr>
              <w:rPr>
                <w:rFonts w:ascii="Times New Roman" w:hAnsi="Times New Roman"/>
                <w:color w:val="000000" w:themeColor="text1"/>
                <w:sz w:val="24"/>
                <w:szCs w:val="24"/>
                <w14:textFill>
                  <w14:solidFill>
                    <w14:schemeClr w14:val="tx1"/>
                  </w14:solidFill>
                </w14:textFill>
              </w:rPr>
            </w:pP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HPC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TFC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CBC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PSBC</w:t>
            </w: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NFBC</w:t>
            </w:r>
          </w:p>
        </w:tc>
        <w:tc>
          <w:tcPr>
            <w:tcW w:w="173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ACTINO BC</w:t>
            </w:r>
          </w:p>
        </w:tc>
      </w:tr>
      <w:tr>
        <w:tblPrEx>
          <w:tblCellMar>
            <w:top w:w="0" w:type="dxa"/>
            <w:left w:w="108" w:type="dxa"/>
            <w:bottom w:w="0" w:type="dxa"/>
            <w:right w:w="108" w:type="dxa"/>
          </w:tblCellMar>
        </w:tblPrEx>
        <w:trPr>
          <w:trHeight w:val="360" w:hRule="atLeast"/>
        </w:trPr>
        <w:tc>
          <w:tcPr>
            <w:tcW w:w="2323" w:type="dxa"/>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PH</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0.688</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0.943</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-0.555</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-0.931</w:t>
            </w:r>
          </w:p>
        </w:tc>
        <w:tc>
          <w:tcPr>
            <w:tcW w:w="1735" w:type="dxa"/>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-0.691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0.554</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0.930</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Mg(Cmol/kg)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-0.689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0.930</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-0.616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0.635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K(Cmol/kg)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-0.741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0.479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0.897</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%TOTAL N</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-0.639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0.522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0.916</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.986</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C</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-0.692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0.563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0.930</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M</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-0.696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0.928</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Av.P(mg/kg)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-0.686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0.556</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0.932</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Mn(mg/kg)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-0.685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0.932</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Al(mg/kg)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-0.803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-0.901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0.405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0.854</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Cumg/kg)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-0.677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0.538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0.927</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60" w:hRule="atLeast"/>
        </w:trPr>
        <w:tc>
          <w:tcPr>
            <w:tcW w:w="2323" w:type="dxa"/>
            <w:tcBorders>
              <w:bottom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Mo(mg/kg)</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-0.711</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-0.897</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0.550</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0.915</w:t>
            </w:r>
          </w:p>
        </w:tc>
        <w:tc>
          <w:tcPr>
            <w:tcW w:w="1735" w:type="dxa"/>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.984</w:t>
            </w:r>
            <w:r>
              <w:rPr>
                <w:rStyle w:val="52"/>
                <w:rFonts w:ascii="Times New Roman" w:hAnsi="Times New Roman" w:eastAsia="SimSun" w:cs="Times New Roman"/>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340" w:hRule="atLeast"/>
        </w:trPr>
        <w:tc>
          <w:tcPr>
            <w:tcW w:w="9280" w:type="dxa"/>
            <w:gridSpan w:val="7"/>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0.01 level (2-tailed).</w:t>
            </w:r>
          </w:p>
        </w:tc>
      </w:tr>
      <w:tr>
        <w:tblPrEx>
          <w:tblCellMar>
            <w:top w:w="0" w:type="dxa"/>
            <w:left w:w="108" w:type="dxa"/>
            <w:bottom w:w="0" w:type="dxa"/>
            <w:right w:w="108" w:type="dxa"/>
          </w:tblCellMar>
        </w:tblPrEx>
        <w:trPr>
          <w:trHeight w:val="340" w:hRule="atLeast"/>
        </w:trPr>
        <w:tc>
          <w:tcPr>
            <w:tcW w:w="9280" w:type="dxa"/>
            <w:gridSpan w:val="7"/>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0.05 level (2-tailed).</w:t>
            </w:r>
          </w:p>
        </w:tc>
      </w:tr>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73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73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bl>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p>
      <w:pPr>
        <w:rPr>
          <w:rFonts w:ascii="Times New Roman" w:hAnsi="Times New Roman"/>
          <w:color w:val="000000" w:themeColor="text1"/>
          <w:sz w:val="24"/>
          <w:szCs w:val="24"/>
          <w14:textFill>
            <w14:solidFill>
              <w14:schemeClr w14:val="tx1"/>
            </w14:solidFill>
          </w14:textFill>
        </w:rPr>
      </w:pPr>
    </w:p>
    <w:tbl>
      <w:tblPr>
        <w:tblStyle w:val="5"/>
        <w:tblW w:w="9280" w:type="dxa"/>
        <w:tblInd w:w="98" w:type="dxa"/>
        <w:tblLayout w:type="autofit"/>
        <w:tblCellMar>
          <w:top w:w="0" w:type="dxa"/>
          <w:left w:w="108" w:type="dxa"/>
          <w:bottom w:w="0" w:type="dxa"/>
          <w:right w:w="108" w:type="dxa"/>
        </w:tblCellMar>
      </w:tblPr>
      <w:tblGrid>
        <w:gridCol w:w="2323"/>
        <w:gridCol w:w="1045"/>
        <w:gridCol w:w="1044"/>
        <w:gridCol w:w="1044"/>
        <w:gridCol w:w="1044"/>
        <w:gridCol w:w="1045"/>
        <w:gridCol w:w="1735"/>
      </w:tblGrid>
      <w:tr>
        <w:tblPrEx>
          <w:tblCellMar>
            <w:top w:w="0" w:type="dxa"/>
            <w:left w:w="108" w:type="dxa"/>
            <w:bottom w:w="0" w:type="dxa"/>
            <w:right w:w="108" w:type="dxa"/>
          </w:tblCellMar>
        </w:tblPrEx>
        <w:trPr>
          <w:trHeight w:val="290" w:hRule="atLeast"/>
        </w:trPr>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0" w:type="auto"/>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c>
          <w:tcPr>
            <w:tcW w:w="1735" w:type="dxa"/>
            <w:shd w:val="clear" w:color="auto" w:fill="auto"/>
            <w:noWrap/>
            <w:vAlign w:val="bottom"/>
          </w:tcPr>
          <w:p>
            <w:pPr>
              <w:rPr>
                <w:rFonts w:ascii="Times New Roman" w:hAnsi="Times New Roman"/>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420" w:hRule="atLeast"/>
        </w:trPr>
        <w:tc>
          <w:tcPr>
            <w:tcW w:w="9280" w:type="dxa"/>
            <w:gridSpan w:val="7"/>
            <w:tcBorders>
              <w:bottom w:val="single" w:color="auto" w:sz="4" w:space="0"/>
            </w:tcBorders>
            <w:shd w:val="clear" w:color="auto" w:fill="auto"/>
            <w:vAlign w:val="center"/>
          </w:tcPr>
          <w:p>
            <w:pPr>
              <w:jc w:val="center"/>
              <w:textAlignment w:val="center"/>
              <w:rPr>
                <w:rFonts w:ascii="Times New Roman" w:hAnsi="Times New Roman"/>
                <w:b/>
                <w:bCs/>
                <w:color w:val="000000" w:themeColor="text1"/>
                <w:sz w:val="24"/>
                <w:szCs w:val="24"/>
                <w14:textFill>
                  <w14:solidFill>
                    <w14:schemeClr w14:val="tx1"/>
                  </w14:solidFill>
                </w14:textFill>
              </w:rPr>
            </w:pPr>
            <w:r>
              <w:rPr>
                <w:rFonts w:ascii="Times New Roman" w:hAnsi="Times New Roman" w:eastAsia="SimSun"/>
                <w:b/>
                <w:bCs/>
                <w:color w:val="000000" w:themeColor="text1"/>
                <w:sz w:val="24"/>
                <w:szCs w:val="24"/>
                <w14:textFill>
                  <w14:solidFill>
                    <w14:schemeClr w14:val="tx1"/>
                  </w14:solidFill>
                </w14:textFill>
              </w:rPr>
              <w:t>Goat Correlations</w:t>
            </w:r>
          </w:p>
        </w:tc>
      </w:tr>
      <w:tr>
        <w:tblPrEx>
          <w:tblCellMar>
            <w:top w:w="0" w:type="dxa"/>
            <w:left w:w="108" w:type="dxa"/>
            <w:bottom w:w="0" w:type="dxa"/>
            <w:right w:w="108" w:type="dxa"/>
          </w:tblCellMar>
        </w:tblPrEx>
        <w:trPr>
          <w:trHeight w:val="320" w:hRule="atLeast"/>
        </w:trPr>
        <w:tc>
          <w:tcPr>
            <w:tcW w:w="2323" w:type="dxa"/>
            <w:tcBorders>
              <w:top w:val="single" w:color="auto" w:sz="4" w:space="0"/>
              <w:bottom w:val="single" w:color="auto" w:sz="4" w:space="0"/>
            </w:tcBorders>
            <w:shd w:val="clear" w:color="auto" w:fill="auto"/>
            <w:vAlign w:val="bottom"/>
          </w:tcPr>
          <w:p>
            <w:pPr>
              <w:rPr>
                <w:rFonts w:ascii="Times New Roman" w:hAnsi="Times New Roman"/>
                <w:color w:val="000000" w:themeColor="text1"/>
                <w:sz w:val="24"/>
                <w:szCs w:val="24"/>
                <w14:textFill>
                  <w14:solidFill>
                    <w14:schemeClr w14:val="tx1"/>
                  </w14:solidFill>
                </w14:textFill>
              </w:rPr>
            </w:pP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HPC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TFC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CBC</w:t>
            </w:r>
          </w:p>
        </w:tc>
        <w:tc>
          <w:tcPr>
            <w:tcW w:w="1044"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PSBC</w:t>
            </w:r>
          </w:p>
        </w:tc>
        <w:tc>
          <w:tcPr>
            <w:tcW w:w="104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NFBC</w:t>
            </w:r>
          </w:p>
        </w:tc>
        <w:tc>
          <w:tcPr>
            <w:tcW w:w="1735" w:type="dxa"/>
            <w:tcBorders>
              <w:top w:val="single" w:color="auto" w:sz="4" w:space="0"/>
              <w:bottom w:val="single" w:color="auto" w:sz="4" w:space="0"/>
            </w:tcBorders>
            <w:shd w:val="clear" w:color="auto" w:fill="auto"/>
            <w:vAlign w:val="bottom"/>
          </w:tcPr>
          <w:p>
            <w:pPr>
              <w:jc w:val="center"/>
              <w:textAlignment w:val="bottom"/>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ACTINO BC</w:t>
            </w:r>
          </w:p>
        </w:tc>
      </w:tr>
      <w:tr>
        <w:tblPrEx>
          <w:tblCellMar>
            <w:top w:w="0" w:type="dxa"/>
            <w:left w:w="108" w:type="dxa"/>
            <w:bottom w:w="0" w:type="dxa"/>
            <w:right w:w="108" w:type="dxa"/>
          </w:tblCellMar>
        </w:tblPrEx>
        <w:trPr>
          <w:trHeight w:val="360" w:hRule="atLeast"/>
        </w:trPr>
        <w:tc>
          <w:tcPr>
            <w:tcW w:w="2323" w:type="dxa"/>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PH</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-0.408</w:t>
            </w:r>
          </w:p>
        </w:tc>
        <w:tc>
          <w:tcPr>
            <w:tcW w:w="0" w:type="auto"/>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0.192</w:t>
            </w:r>
          </w:p>
        </w:tc>
        <w:tc>
          <w:tcPr>
            <w:tcW w:w="1735" w:type="dxa"/>
            <w:tcBorders>
              <w:top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-0.894</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0.405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-0.194</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0.894</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Mg(Cmol/kg)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0.413</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-0.187</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0.897</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Na(Cmol/kg)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-.953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0.469</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-0.124</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0.923</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K(Cmol/kg)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-1.000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0.361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-0.248</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0.867</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%TOTAL N</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-.983</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-0.940</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0.504</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-0.086</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0.935</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C</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0.388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-0.201</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0.893</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%ORG M</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-.995</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-.994</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0.382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-0.208</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0.890</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Av.P(mg/kg)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0.411</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-0.191</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0.894</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Mn(mg/kg)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-.996</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-.970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0.415</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-0.188</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0.895</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Al(mg/kg)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-.999</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-.967</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0.208</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-0.400</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0.778</w:t>
            </w:r>
          </w:p>
        </w:tc>
      </w:tr>
      <w:tr>
        <w:tblPrEx>
          <w:tblCellMar>
            <w:top w:w="0" w:type="dxa"/>
            <w:left w:w="108" w:type="dxa"/>
            <w:bottom w:w="0" w:type="dxa"/>
            <w:right w:w="108" w:type="dxa"/>
          </w:tblCellMar>
        </w:tblPrEx>
        <w:trPr>
          <w:trHeight w:val="360" w:hRule="atLeast"/>
        </w:trPr>
        <w:tc>
          <w:tcPr>
            <w:tcW w:w="2323" w:type="dxa"/>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Cumg/kg)</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-.981</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-0.942</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0.487</w:t>
            </w:r>
          </w:p>
        </w:tc>
        <w:tc>
          <w:tcPr>
            <w:tcW w:w="0" w:type="auto"/>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-0.089</w:t>
            </w:r>
          </w:p>
        </w:tc>
        <w:tc>
          <w:tcPr>
            <w:tcW w:w="1735" w:type="dxa"/>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0.938</w:t>
            </w:r>
          </w:p>
        </w:tc>
      </w:tr>
      <w:tr>
        <w:tblPrEx>
          <w:tblCellMar>
            <w:top w:w="0" w:type="dxa"/>
            <w:left w:w="108" w:type="dxa"/>
            <w:bottom w:w="0" w:type="dxa"/>
            <w:right w:w="108" w:type="dxa"/>
          </w:tblCellMar>
        </w:tblPrEx>
        <w:trPr>
          <w:trHeight w:val="360" w:hRule="atLeast"/>
        </w:trPr>
        <w:tc>
          <w:tcPr>
            <w:tcW w:w="2323" w:type="dxa"/>
            <w:tcBorders>
              <w:bottom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Mo(mg/kg)</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-1.000</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-.988</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Style w:val="51"/>
                <w:rFonts w:ascii="Times New Roman" w:hAnsi="Times New Roman" w:eastAsia="SimSun" w:cs="Times New Roman"/>
                <w:color w:val="000000" w:themeColor="text1"/>
                <w:sz w:val="24"/>
                <w:szCs w:val="24"/>
                <w14:textFill>
                  <w14:solidFill>
                    <w14:schemeClr w14:val="tx1"/>
                  </w14:solidFill>
                </w14:textFill>
              </w:rPr>
              <w:t>-.992</w:t>
            </w:r>
            <w:r>
              <w:rPr>
                <w:rStyle w:val="52"/>
                <w:rFonts w:ascii="Times New Roman" w:hAnsi="Times New Roman" w:eastAsia="SimSun" w:cs="Times New Roman"/>
                <w:color w:val="000000" w:themeColor="text1"/>
                <w:sz w:val="24"/>
                <w:szCs w:val="24"/>
                <w14:textFill>
                  <w14:solidFill>
                    <w14:schemeClr w14:val="tx1"/>
                  </w14:solidFill>
                </w14:textFill>
              </w:rPr>
              <w:t>**</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0.333</w:t>
            </w:r>
          </w:p>
        </w:tc>
        <w:tc>
          <w:tcPr>
            <w:tcW w:w="0" w:type="auto"/>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-0.279</w:t>
            </w:r>
          </w:p>
        </w:tc>
        <w:tc>
          <w:tcPr>
            <w:tcW w:w="1735" w:type="dxa"/>
            <w:tcBorders>
              <w:bottom w:val="single" w:color="auto" w:sz="4" w:space="0"/>
            </w:tcBorders>
            <w:shd w:val="clear" w:color="auto" w:fill="auto"/>
            <w:noWrap/>
          </w:tcPr>
          <w:p>
            <w:pPr>
              <w:jc w:val="right"/>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0.850</w:t>
            </w:r>
          </w:p>
        </w:tc>
      </w:tr>
      <w:tr>
        <w:tblPrEx>
          <w:tblCellMar>
            <w:top w:w="0" w:type="dxa"/>
            <w:left w:w="108" w:type="dxa"/>
            <w:bottom w:w="0" w:type="dxa"/>
            <w:right w:w="108" w:type="dxa"/>
          </w:tblCellMar>
        </w:tblPrEx>
        <w:trPr>
          <w:trHeight w:val="340" w:hRule="atLeast"/>
        </w:trPr>
        <w:tc>
          <w:tcPr>
            <w:tcW w:w="9280" w:type="dxa"/>
            <w:gridSpan w:val="7"/>
            <w:tcBorders>
              <w:top w:val="single" w:color="auto" w:sz="4" w:space="0"/>
            </w:tcBorders>
            <w:shd w:val="clear" w:color="auto" w:fill="auto"/>
          </w:tcPr>
          <w:p>
            <w:pPr>
              <w:textAlignment w:val="top"/>
              <w:rPr>
                <w:rFonts w:ascii="Times New Roman" w:hAnsi="Times New Roman"/>
                <w:color w:val="000000" w:themeColor="text1"/>
                <w:sz w:val="24"/>
                <w:szCs w:val="24"/>
                <w14:textFill>
                  <w14:solidFill>
                    <w14:schemeClr w14:val="tx1"/>
                  </w14:solidFill>
                </w14:textFill>
              </w:rPr>
            </w:pPr>
            <w:r>
              <w:rPr>
                <w:rFonts w:ascii="Times New Roman" w:hAnsi="Times New Roman" w:eastAsia="SimSun"/>
                <w:color w:val="000000" w:themeColor="text1"/>
                <w:sz w:val="24"/>
                <w:szCs w:val="24"/>
                <w14:textFill>
                  <w14:solidFill>
                    <w14:schemeClr w14:val="tx1"/>
                  </w14:solidFill>
                </w14:textFill>
              </w:rPr>
              <w:t>**. Correlation is significant at the 0.01 level (2-tailed).</w:t>
            </w:r>
          </w:p>
        </w:tc>
      </w:tr>
      <w:tr>
        <w:tblPrEx>
          <w:tblCellMar>
            <w:top w:w="0" w:type="dxa"/>
            <w:left w:w="108" w:type="dxa"/>
            <w:bottom w:w="0" w:type="dxa"/>
            <w:right w:w="108" w:type="dxa"/>
          </w:tblCellMar>
        </w:tblPrEx>
        <w:trPr>
          <w:trHeight w:val="340" w:hRule="atLeast"/>
        </w:trPr>
        <w:tc>
          <w:tcPr>
            <w:tcW w:w="9280" w:type="dxa"/>
            <w:gridSpan w:val="7"/>
            <w:shd w:val="clear" w:color="auto" w:fill="auto"/>
          </w:tcPr>
          <w:p>
            <w:pPr>
              <w:textAlignment w:val="top"/>
              <w:rPr>
                <w:rFonts w:ascii="Times New Roman" w:hAnsi="Times New Roman"/>
                <w:color w:val="010205"/>
                <w:sz w:val="24"/>
                <w:szCs w:val="24"/>
              </w:rPr>
            </w:pPr>
            <w:r>
              <w:rPr>
                <w:rFonts w:ascii="Times New Roman" w:hAnsi="Times New Roman" w:eastAsia="SimSun"/>
                <w:color w:val="010205"/>
                <w:sz w:val="24"/>
                <w:szCs w:val="24"/>
              </w:rPr>
              <w:t>*. Correlation is significant at the 0.05 level (2-tailed).</w:t>
            </w:r>
          </w:p>
        </w:tc>
      </w:tr>
    </w:tbl>
    <w:p>
      <w:pPr>
        <w:rPr>
          <w:rFonts w:ascii="Times New Roman" w:hAnsi="Times New Roman"/>
          <w:sz w:val="24"/>
          <w:szCs w:val="24"/>
        </w:rPr>
      </w:pPr>
    </w:p>
    <w:p>
      <w:pPr>
        <w:rPr>
          <w:rFonts w:ascii="Times New Roman" w:hAnsi="Times New Roman"/>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jc w:val="center"/>
        <w:rPr>
          <w:rFonts w:ascii="Times New Roman" w:hAnsi="Times New Roman"/>
          <w:b/>
          <w:sz w:val="24"/>
          <w:szCs w:val="24"/>
        </w:rPr>
      </w:pPr>
    </w:p>
    <w:p>
      <w:pPr>
        <w:spacing w:after="0" w:line="360" w:lineRule="auto"/>
        <w:contextualSpacing/>
        <w:rPr>
          <w:rFonts w:ascii="Times New Roman" w:hAnsi="Times New Roman"/>
          <w:b/>
          <w:sz w:val="24"/>
          <w:szCs w:val="24"/>
        </w:rPr>
      </w:pPr>
    </w:p>
    <w:p>
      <w:pPr>
        <w:jc w:val="center"/>
        <w:rPr>
          <w:rFonts w:ascii="Times New Roman" w:hAnsi="Times New Roman"/>
          <w:b/>
          <w:bCs/>
          <w:sz w:val="24"/>
          <w:szCs w:val="24"/>
        </w:rPr>
      </w:pPr>
      <w:r>
        <w:rPr>
          <w:rFonts w:ascii="Times New Roman" w:hAnsi="Times New Roman"/>
          <w:b/>
          <w:bCs/>
          <w:sz w:val="24"/>
          <w:szCs w:val="24"/>
        </w:rPr>
        <w:t>Appendix XVII</w:t>
      </w:r>
    </w:p>
    <w:p>
      <w:pPr>
        <w:jc w:val="center"/>
        <w:rPr>
          <w:rFonts w:ascii="Times New Roman" w:hAnsi="Times New Roman"/>
          <w:b/>
          <w:bCs/>
          <w:sz w:val="24"/>
          <w:szCs w:val="24"/>
        </w:rPr>
      </w:pPr>
    </w:p>
    <w:p>
      <w:pPr>
        <w:rPr>
          <w:rFonts w:ascii="Times New Roman" w:hAnsi="Times New Roman"/>
          <w:b/>
          <w:bCs/>
          <w:sz w:val="24"/>
          <w:szCs w:val="24"/>
        </w:rPr>
      </w:pPr>
      <w:r>
        <w:rPr>
          <w:rFonts w:ascii="Times New Roman" w:hAnsi="Times New Roman"/>
          <w:b/>
          <w:bCs/>
          <w:sz w:val="24"/>
          <w:szCs w:val="24"/>
        </w:rPr>
        <w:t>Biochemical Test</w:t>
      </w:r>
    </w:p>
    <w:p>
      <w:pPr>
        <w:spacing w:after="0" w:line="360" w:lineRule="auto"/>
        <w:contextualSpacing/>
        <w:rPr>
          <w:rFonts w:ascii="Times New Roman" w:hAnsi="Times New Roman"/>
          <w:b/>
          <w:sz w:val="24"/>
          <w:szCs w:val="24"/>
        </w:rPr>
      </w:pPr>
    </w:p>
    <w:p>
      <w:pPr>
        <w:rPr>
          <w:rFonts w:asciiTheme="minorHAnsi" w:hAnsiTheme="minorHAnsi" w:eastAsiaTheme="minorHAnsi" w:cstheme="minorBidi"/>
        </w:rPr>
      </w:pPr>
    </w:p>
    <w:tbl>
      <w:tblPr>
        <w:tblStyle w:val="5"/>
        <w:tblpPr w:leftFromText="180" w:rightFromText="180" w:vertAnchor="page" w:horzAnchor="margin" w:tblpY="3232"/>
        <w:tblW w:w="9072"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15" w:type="dxa"/>
          <w:bottom w:w="0" w:type="dxa"/>
          <w:right w:w="115" w:type="dxa"/>
        </w:tblCellMar>
      </w:tblPr>
      <w:tblGrid>
        <w:gridCol w:w="2893"/>
        <w:gridCol w:w="63"/>
        <w:gridCol w:w="1686"/>
        <w:gridCol w:w="339"/>
        <w:gridCol w:w="409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699" w:hRule="atLeast"/>
        </w:trPr>
        <w:tc>
          <w:tcPr>
            <w:tcW w:w="2893" w:type="dxa"/>
          </w:tcPr>
          <w:p>
            <w:pPr>
              <w:spacing w:after="120" w:line="360" w:lineRule="auto"/>
              <w:rPr>
                <w:rFonts w:ascii="Times New Roman" w:hAnsi="Times New Roman"/>
                <w:bCs/>
                <w:color w:val="000000"/>
                <w:sz w:val="24"/>
                <w:szCs w:val="24"/>
              </w:rPr>
            </w:pPr>
            <w:r>
              <w:rPr>
                <w:rFonts w:ascii="Times New Roman" w:hAnsi="Times New Roman"/>
                <w:color w:val="000000"/>
                <w:sz w:val="24"/>
                <w:szCs w:val="24"/>
              </w:rPr>
              <w:t>Biochemical test</w:t>
            </w:r>
          </w:p>
        </w:tc>
        <w:tc>
          <w:tcPr>
            <w:tcW w:w="2088" w:type="dxa"/>
            <w:gridSpan w:val="3"/>
          </w:tcPr>
          <w:p>
            <w:pPr>
              <w:spacing w:after="120" w:line="360" w:lineRule="auto"/>
              <w:rPr>
                <w:rFonts w:ascii="Times New Roman" w:hAnsi="Times New Roman"/>
                <w:color w:val="000000"/>
                <w:sz w:val="24"/>
                <w:szCs w:val="24"/>
              </w:rPr>
            </w:pPr>
            <w:r>
              <mc:AlternateContent>
                <mc:Choice Requires="wps">
                  <w:drawing>
                    <wp:anchor distT="0" distB="0" distL="114300" distR="114300" simplePos="0" relativeHeight="251677696" behindDoc="0" locked="0" layoutInCell="1" allowOverlap="1">
                      <wp:simplePos x="0" y="0"/>
                      <wp:positionH relativeFrom="column">
                        <wp:posOffset>-1805305</wp:posOffset>
                      </wp:positionH>
                      <wp:positionV relativeFrom="paragraph">
                        <wp:posOffset>330200</wp:posOffset>
                      </wp:positionV>
                      <wp:extent cx="5720080" cy="0"/>
                      <wp:effectExtent l="0" t="0" r="33020" b="19050"/>
                      <wp:wrapNone/>
                      <wp:docPr id="82" name="Straight Connector 82"/>
                      <wp:cNvGraphicFramePr/>
                      <a:graphic xmlns:a="http://schemas.openxmlformats.org/drawingml/2006/main">
                        <a:graphicData uri="http://schemas.microsoft.com/office/word/2010/wordprocessingShape">
                          <wps:wsp>
                            <wps:cNvCnPr/>
                            <wps:spPr>
                              <a:xfrm>
                                <a:off x="0" y="0"/>
                                <a:ext cx="572008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_x0000_s1026" o:spid="_x0000_s1026" o:spt="20" style="position:absolute;left:0pt;margin-left:-142.15pt;margin-top:26pt;height:0pt;width:450.4pt;z-index:251677696;mso-width-relative:page;mso-height-relative:page;" filled="f" stroked="t" coordsize="21600,21600" o:gfxdata="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2kqsw1wAAAAoBAAAPAAAAAAAAAAEAIAAAACIAAABkcnMvZG93bnJldi54bWxQSwECFAAU&#10;AAAACACHTuJAi9Y9tPIBAAD5AwAADgAAAAAAAAABACAAAAAmAQAAZHJzL2Uyb0RvYy54bWxQSwUG&#10;AAAAAAYABgBZAQAAigUAAAAA&#10;">
                      <v:fill on="f" focussize="0,0"/>
                      <v:stroke color="#000000" joinstyle="round"/>
                      <v:imagedata o:title=""/>
                      <o:lock v:ext="edit" aspectratio="f"/>
                    </v:line>
                  </w:pict>
                </mc:Fallback>
              </mc:AlternateContent>
            </w:r>
            <w:r>
              <w:rPr>
                <w:rFonts w:ascii="Times New Roman" w:hAnsi="Times New Roman"/>
                <w:color w:val="000000"/>
                <w:sz w:val="24"/>
                <w:szCs w:val="24"/>
              </w:rPr>
              <w:t xml:space="preserve">Pseudomonas spp  </w:t>
            </w:r>
          </w:p>
        </w:tc>
        <w:tc>
          <w:tcPr>
            <w:tcW w:w="4091" w:type="dxa"/>
          </w:tcPr>
          <w:p>
            <w:pPr>
              <w:spacing w:after="120" w:line="360" w:lineRule="auto"/>
              <w:rPr>
                <w:rFonts w:ascii="Times New Roman" w:hAnsi="Times New Roman"/>
                <w:bCs/>
                <w:color w:val="000000"/>
                <w:sz w:val="24"/>
                <w:szCs w:val="24"/>
              </w:rPr>
            </w:pPr>
            <w:r>
              <w:rPr>
                <w:rFonts w:ascii="Times New Roman" w:hAnsi="Times New Roman"/>
                <w:bCs/>
                <w:color w:val="000000"/>
                <w:sz w:val="24"/>
                <w:szCs w:val="24"/>
              </w:rPr>
              <w:t>Bacillus spp      Klebsiella spp</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1201" w:hRule="atLeast"/>
        </w:trPr>
        <w:tc>
          <w:tcPr>
            <w:tcW w:w="2956"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Gram staining </w:t>
            </w:r>
          </w:p>
        </w:tc>
        <w:tc>
          <w:tcPr>
            <w:tcW w:w="1686"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-ve</w:t>
            </w:r>
          </w:p>
        </w:tc>
        <w:tc>
          <w:tcPr>
            <w:tcW w:w="4430"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      +ve                    -ve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1159" w:hRule="atLeast"/>
        </w:trPr>
        <w:tc>
          <w:tcPr>
            <w:tcW w:w="2956"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Colony shape</w:t>
            </w:r>
          </w:p>
        </w:tc>
        <w:tc>
          <w:tcPr>
            <w:tcW w:w="1686"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rod</w:t>
            </w:r>
          </w:p>
        </w:tc>
        <w:tc>
          <w:tcPr>
            <w:tcW w:w="4430"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       rod                    rod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1201" w:hRule="atLeast"/>
        </w:trPr>
        <w:tc>
          <w:tcPr>
            <w:tcW w:w="2956"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Catalase</w:t>
            </w:r>
          </w:p>
        </w:tc>
        <w:tc>
          <w:tcPr>
            <w:tcW w:w="1686"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 xml:space="preserve">+ve                </w:t>
            </w:r>
          </w:p>
        </w:tc>
        <w:tc>
          <w:tcPr>
            <w:tcW w:w="4430"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      +ve                    +ve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1159" w:hRule="atLeast"/>
        </w:trPr>
        <w:tc>
          <w:tcPr>
            <w:tcW w:w="2956"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Motility</w:t>
            </w:r>
          </w:p>
        </w:tc>
        <w:tc>
          <w:tcPr>
            <w:tcW w:w="1686"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+ve</w:t>
            </w:r>
          </w:p>
        </w:tc>
        <w:tc>
          <w:tcPr>
            <w:tcW w:w="4430"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       +ve                    -ve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15" w:type="dxa"/>
            <w:bottom w:w="0" w:type="dxa"/>
            <w:right w:w="115" w:type="dxa"/>
          </w:tblCellMar>
        </w:tblPrEx>
        <w:trPr>
          <w:trHeight w:val="406" w:hRule="atLeast"/>
        </w:trPr>
        <w:tc>
          <w:tcPr>
            <w:tcW w:w="2956"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Oxidase </w:t>
            </w:r>
          </w:p>
        </w:tc>
        <w:tc>
          <w:tcPr>
            <w:tcW w:w="1686" w:type="dxa"/>
          </w:tcPr>
          <w:p>
            <w:pPr>
              <w:spacing w:after="120" w:line="360" w:lineRule="auto"/>
              <w:jc w:val="center"/>
              <w:rPr>
                <w:rFonts w:ascii="Times New Roman" w:hAnsi="Times New Roman"/>
                <w:color w:val="000000"/>
                <w:sz w:val="24"/>
                <w:szCs w:val="24"/>
              </w:rPr>
            </w:pPr>
            <w:r>
              <w:rPr>
                <w:rFonts w:ascii="Times New Roman" w:hAnsi="Times New Roman"/>
                <w:color w:val="000000"/>
                <w:sz w:val="24"/>
                <w:szCs w:val="24"/>
              </w:rPr>
              <w:t>+ve</w:t>
            </w:r>
          </w:p>
        </w:tc>
        <w:tc>
          <w:tcPr>
            <w:tcW w:w="4430" w:type="dxa"/>
            <w:gridSpan w:val="2"/>
          </w:tcPr>
          <w:p>
            <w:pPr>
              <w:spacing w:after="120" w:line="360" w:lineRule="auto"/>
              <w:rPr>
                <w:rFonts w:ascii="Times New Roman" w:hAnsi="Times New Roman"/>
                <w:color w:val="000000"/>
                <w:sz w:val="24"/>
                <w:szCs w:val="24"/>
              </w:rPr>
            </w:pPr>
            <w:r>
              <w:rPr>
                <w:rFonts w:ascii="Times New Roman" w:hAnsi="Times New Roman"/>
                <w:color w:val="000000"/>
                <w:sz w:val="24"/>
                <w:szCs w:val="24"/>
              </w:rPr>
              <w:t xml:space="preserve">       +ve                    -ve</w:t>
            </w:r>
          </w:p>
        </w:tc>
      </w:tr>
    </w:tbl>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rPr>
          <w:rFonts w:asciiTheme="minorHAnsi" w:hAnsiTheme="minorHAnsi" w:eastAsiaTheme="minorHAnsi" w:cstheme="minorBidi"/>
        </w:rPr>
      </w:pPr>
    </w:p>
    <w:p>
      <w:pPr>
        <w:spacing w:after="0" w:line="360" w:lineRule="auto"/>
        <w:contextualSpacing/>
        <w:rPr>
          <w:rFonts w:ascii="Times New Roman" w:hAnsi="Times New Roman"/>
          <w:b/>
          <w:sz w:val="24"/>
          <w:szCs w:val="24"/>
        </w:rPr>
      </w:pPr>
    </w:p>
    <w:p>
      <w:pPr>
        <w:spacing w:after="0" w:line="360" w:lineRule="auto"/>
        <w:contextualSpacing/>
        <w:jc w:val="center"/>
        <w:rPr>
          <w:rFonts w:ascii="Times New Roman" w:hAnsi="Times New Roman"/>
          <w:b/>
          <w:sz w:val="24"/>
          <w:szCs w:val="24"/>
        </w:rPr>
      </w:pPr>
      <w:r>
        <w:rPr>
          <w:rFonts w:ascii="Times New Roman" w:hAnsi="Times New Roman"/>
          <w:b/>
          <w:sz w:val="24"/>
          <w:szCs w:val="24"/>
        </w:rPr>
        <w:t>Bio-data</w:t>
      </w:r>
    </w:p>
    <w:p>
      <w:pPr>
        <w:numPr>
          <w:ilvl w:val="0"/>
          <w:numId w:val="9"/>
        </w:numPr>
        <w:spacing w:after="0" w:line="360" w:lineRule="auto"/>
        <w:contextualSpacing/>
        <w:jc w:val="both"/>
        <w:rPr>
          <w:rFonts w:ascii="Times New Roman" w:hAnsi="Times New Roman"/>
          <w:b/>
          <w:sz w:val="24"/>
          <w:szCs w:val="24"/>
        </w:rPr>
      </w:pPr>
      <w:r>
        <w:rPr>
          <w:rFonts w:ascii="Times New Roman" w:hAnsi="Times New Roman"/>
          <w:b/>
          <w:sz w:val="24"/>
          <w:szCs w:val="24"/>
        </w:rPr>
        <w:t>Personal Data:</w:t>
      </w:r>
    </w:p>
    <w:p>
      <w:pPr>
        <w:numPr>
          <w:ilvl w:val="0"/>
          <w:numId w:val="10"/>
        </w:numPr>
        <w:spacing w:after="0" w:line="360" w:lineRule="auto"/>
        <w:contextualSpacing/>
        <w:jc w:val="both"/>
        <w:rPr>
          <w:rFonts w:ascii="Times New Roman" w:hAnsi="Times New Roman"/>
          <w:sz w:val="24"/>
          <w:szCs w:val="24"/>
        </w:rPr>
      </w:pPr>
      <w:r>
        <w:rPr>
          <w:rFonts w:ascii="Times New Roman" w:hAnsi="Times New Roman"/>
          <w:sz w:val="24"/>
          <w:szCs w:val="24"/>
        </w:rPr>
        <w:t>Full Name: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Taofeeq Adesina SALAU</w:t>
      </w:r>
    </w:p>
    <w:p>
      <w:pPr>
        <w:spacing w:after="0" w:line="360" w:lineRule="auto"/>
        <w:ind w:left="5040"/>
        <w:contextualSpacing/>
        <w:jc w:val="both"/>
        <w:rPr>
          <w:rFonts w:ascii="Times New Roman" w:hAnsi="Times New Roman"/>
          <w:sz w:val="24"/>
          <w:szCs w:val="24"/>
        </w:rPr>
      </w:pPr>
      <w:r>
        <w:rPr>
          <w:rFonts w:ascii="Times New Roman" w:hAnsi="Times New Roman"/>
          <w:sz w:val="24"/>
          <w:szCs w:val="24"/>
        </w:rPr>
        <w:t>No 1, Zone 7, Adanla Street, Akekaka Mogaji, Ojoo, Ibadan, Oyo state.</w:t>
      </w:r>
    </w:p>
    <w:p>
      <w:pPr>
        <w:spacing w:after="0" w:line="360" w:lineRule="auto"/>
        <w:ind w:left="5040"/>
        <w:contextualSpacing/>
        <w:jc w:val="both"/>
        <w:rPr>
          <w:rFonts w:ascii="Times New Roman" w:hAnsi="Times New Roman"/>
          <w:sz w:val="24"/>
          <w:szCs w:val="24"/>
        </w:rPr>
      </w:pPr>
      <w:r>
        <w:rPr>
          <w:rFonts w:ascii="Times New Roman" w:hAnsi="Times New Roman"/>
          <w:sz w:val="24"/>
          <w:szCs w:val="24"/>
        </w:rPr>
        <w:t>adesina2009@gmail.com</w:t>
      </w:r>
    </w:p>
    <w:p>
      <w:pPr>
        <w:spacing w:after="0" w:line="360" w:lineRule="auto"/>
        <w:ind w:left="5040"/>
        <w:contextualSpacing/>
        <w:jc w:val="both"/>
        <w:rPr>
          <w:rFonts w:ascii="Times New Roman" w:hAnsi="Times New Roman"/>
          <w:sz w:val="24"/>
          <w:szCs w:val="24"/>
        </w:rPr>
      </w:pPr>
      <w:r>
        <w:rPr>
          <w:rFonts w:ascii="Times New Roman" w:hAnsi="Times New Roman"/>
          <w:sz w:val="24"/>
          <w:szCs w:val="24"/>
        </w:rPr>
        <w:t>08067096107/08052515783</w:t>
      </w:r>
    </w:p>
    <w:p>
      <w:pPr>
        <w:numPr>
          <w:ilvl w:val="0"/>
          <w:numId w:val="10"/>
        </w:numPr>
        <w:spacing w:after="0" w:line="360" w:lineRule="auto"/>
        <w:contextualSpacing/>
        <w:jc w:val="both"/>
        <w:rPr>
          <w:rFonts w:ascii="Times New Roman" w:hAnsi="Times New Roman"/>
          <w:sz w:val="24"/>
          <w:szCs w:val="24"/>
        </w:rPr>
      </w:pPr>
      <w:r>
        <w:rPr>
          <w:rFonts w:ascii="Times New Roman" w:hAnsi="Times New Roman"/>
          <w:sz w:val="24"/>
          <w:szCs w:val="24"/>
        </w:rPr>
        <w:t>Date and Place of Birth: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10</w:t>
      </w:r>
      <w:r>
        <w:rPr>
          <w:rFonts w:ascii="Times New Roman" w:hAnsi="Times New Roman"/>
          <w:sz w:val="24"/>
          <w:szCs w:val="24"/>
          <w:vertAlign w:val="superscript"/>
        </w:rPr>
        <w:t>th</w:t>
      </w:r>
      <w:r>
        <w:rPr>
          <w:rFonts w:ascii="Times New Roman" w:hAnsi="Times New Roman"/>
          <w:sz w:val="24"/>
          <w:szCs w:val="24"/>
        </w:rPr>
        <w:t xml:space="preserve"> October, 1981: Tede, Nigeria</w:t>
      </w:r>
    </w:p>
    <w:p>
      <w:pPr>
        <w:numPr>
          <w:ilvl w:val="0"/>
          <w:numId w:val="10"/>
        </w:numPr>
        <w:spacing w:after="0" w:line="360" w:lineRule="auto"/>
        <w:contextualSpacing/>
        <w:jc w:val="both"/>
        <w:rPr>
          <w:rFonts w:ascii="Times New Roman" w:hAnsi="Times New Roman"/>
          <w:sz w:val="24"/>
          <w:szCs w:val="24"/>
        </w:rPr>
      </w:pPr>
      <w:r>
        <w:rPr>
          <w:rFonts w:ascii="Times New Roman" w:hAnsi="Times New Roman"/>
          <w:sz w:val="24"/>
          <w:szCs w:val="24"/>
        </w:rPr>
        <w:t>Nationality: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Nigerian</w:t>
      </w:r>
    </w:p>
    <w:p>
      <w:pPr>
        <w:numPr>
          <w:ilvl w:val="0"/>
          <w:numId w:val="10"/>
        </w:numPr>
        <w:spacing w:after="0" w:line="360" w:lineRule="auto"/>
        <w:contextualSpacing/>
        <w:jc w:val="both"/>
        <w:rPr>
          <w:rFonts w:ascii="Times New Roman" w:hAnsi="Times New Roman"/>
          <w:sz w:val="24"/>
          <w:szCs w:val="24"/>
        </w:rPr>
      </w:pPr>
      <w:r>
        <w:rPr>
          <w:rFonts w:ascii="Times New Roman" w:hAnsi="Times New Roman"/>
          <w:sz w:val="24"/>
          <w:szCs w:val="24"/>
        </w:rPr>
        <w:t>State of Origin: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Oyo State</w:t>
      </w:r>
    </w:p>
    <w:p>
      <w:pPr>
        <w:numPr>
          <w:ilvl w:val="0"/>
          <w:numId w:val="10"/>
        </w:numPr>
        <w:spacing w:after="0" w:line="360" w:lineRule="auto"/>
        <w:contextualSpacing/>
        <w:jc w:val="both"/>
        <w:rPr>
          <w:rFonts w:ascii="Times New Roman" w:hAnsi="Times New Roman"/>
          <w:sz w:val="24"/>
          <w:szCs w:val="24"/>
        </w:rPr>
      </w:pPr>
      <w:r>
        <w:rPr>
          <w:rFonts w:ascii="Times New Roman" w:hAnsi="Times New Roman"/>
          <w:sz w:val="24"/>
          <w:szCs w:val="24"/>
        </w:rPr>
        <w:t>Name and Address of Next of Kin: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Miss Azeezat Olamide Taofeeq</w:t>
      </w:r>
    </w:p>
    <w:p>
      <w:pPr>
        <w:spacing w:after="0" w:line="360" w:lineRule="auto"/>
        <w:ind w:left="5040"/>
        <w:contextualSpacing/>
        <w:jc w:val="both"/>
        <w:rPr>
          <w:rFonts w:ascii="Times New Roman" w:hAnsi="Times New Roman"/>
          <w:sz w:val="24"/>
          <w:szCs w:val="24"/>
        </w:rPr>
      </w:pPr>
      <w:r>
        <w:rPr>
          <w:rFonts w:ascii="Times New Roman" w:hAnsi="Times New Roman"/>
          <w:sz w:val="24"/>
          <w:szCs w:val="24"/>
        </w:rPr>
        <w:t>No 1, Zone 7, Adanla Street, Akekaka Mogaji, Ojoo, Ibadan, Oyo state.</w:t>
      </w:r>
    </w:p>
    <w:p>
      <w:pPr>
        <w:numPr>
          <w:ilvl w:val="0"/>
          <w:numId w:val="9"/>
        </w:numPr>
        <w:spacing w:after="0" w:line="360" w:lineRule="auto"/>
        <w:contextualSpacing/>
        <w:jc w:val="both"/>
        <w:rPr>
          <w:rFonts w:ascii="Times New Roman" w:hAnsi="Times New Roman"/>
          <w:b/>
          <w:sz w:val="24"/>
          <w:szCs w:val="24"/>
        </w:rPr>
      </w:pPr>
      <w:r>
        <w:rPr>
          <w:rFonts w:ascii="Times New Roman" w:hAnsi="Times New Roman"/>
          <w:b/>
          <w:sz w:val="24"/>
          <w:szCs w:val="24"/>
        </w:rPr>
        <w:t>Educational Background:</w:t>
      </w:r>
    </w:p>
    <w:p>
      <w:pPr>
        <w:spacing w:after="0" w:line="360" w:lineRule="auto"/>
        <w:ind w:left="720"/>
        <w:contextualSpacing/>
        <w:jc w:val="both"/>
        <w:rPr>
          <w:rFonts w:ascii="Times New Roman" w:hAnsi="Times New Roman"/>
          <w:b/>
          <w:sz w:val="24"/>
          <w:szCs w:val="24"/>
        </w:rPr>
      </w:pPr>
      <w:r>
        <w:rPr>
          <w:rFonts w:ascii="Times New Roman" w:hAnsi="Times New Roman"/>
          <w:b/>
          <w:sz w:val="24"/>
          <w:szCs w:val="24"/>
        </w:rPr>
        <w:t>Educational Institution Attended with Dates and Qualification:</w:t>
      </w:r>
    </w:p>
    <w:p>
      <w:pPr>
        <w:spacing w:after="0" w:line="360" w:lineRule="auto"/>
        <w:ind w:left="720"/>
        <w:contextualSpacing/>
        <w:jc w:val="both"/>
        <w:rPr>
          <w:rFonts w:ascii="Times New Roman" w:hAnsi="Times New Roman"/>
          <w:b/>
          <w:sz w:val="24"/>
          <w:szCs w:val="24"/>
        </w:rPr>
      </w:pPr>
      <w:r>
        <w:rPr>
          <w:rFonts w:ascii="Times New Roman" w:hAnsi="Times New Roman"/>
          <w:b/>
          <w:sz w:val="24"/>
          <w:szCs w:val="24"/>
        </w:rPr>
        <w:t>School Attended</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Dates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Qualification</w:t>
      </w:r>
    </w:p>
    <w:p>
      <w:pPr>
        <w:numPr>
          <w:ilvl w:val="0"/>
          <w:numId w:val="11"/>
        </w:numPr>
        <w:spacing w:after="0" w:line="360" w:lineRule="auto"/>
        <w:contextualSpacing/>
        <w:jc w:val="both"/>
        <w:rPr>
          <w:rFonts w:ascii="Times New Roman" w:hAnsi="Times New Roman"/>
          <w:sz w:val="24"/>
          <w:szCs w:val="24"/>
        </w:rPr>
      </w:pPr>
      <w:r>
        <w:rPr>
          <w:rFonts w:ascii="Times New Roman" w:hAnsi="Times New Roman"/>
          <w:sz w:val="24"/>
          <w:szCs w:val="24"/>
        </w:rPr>
        <w:t>AUD Primary School, Tede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1988-1994</w:t>
      </w:r>
      <w:r>
        <w:rPr>
          <w:rFonts w:ascii="Times New Roman" w:hAnsi="Times New Roman"/>
          <w:sz w:val="24"/>
          <w:szCs w:val="24"/>
        </w:rPr>
        <w:tab/>
      </w:r>
      <w:r>
        <w:rPr>
          <w:rFonts w:ascii="Times New Roman" w:hAnsi="Times New Roman"/>
          <w:sz w:val="24"/>
          <w:szCs w:val="24"/>
        </w:rPr>
        <w:t>First Leaving Sch. Cert.</w:t>
      </w:r>
    </w:p>
    <w:p>
      <w:pPr>
        <w:numPr>
          <w:ilvl w:val="0"/>
          <w:numId w:val="11"/>
        </w:numPr>
        <w:spacing w:after="0" w:line="360" w:lineRule="auto"/>
        <w:contextualSpacing/>
        <w:jc w:val="both"/>
        <w:rPr>
          <w:rFonts w:ascii="Times New Roman" w:hAnsi="Times New Roman"/>
          <w:sz w:val="24"/>
          <w:szCs w:val="24"/>
        </w:rPr>
      </w:pPr>
      <w:r>
        <w:rPr>
          <w:rFonts w:ascii="Times New Roman" w:hAnsi="Times New Roman"/>
          <w:sz w:val="24"/>
          <w:szCs w:val="24"/>
        </w:rPr>
        <w:t>Olubi Memorial Secondary Sch, Ibadan</w:t>
      </w:r>
      <w:r>
        <w:rPr>
          <w:rFonts w:ascii="Times New Roman" w:hAnsi="Times New Roman"/>
          <w:sz w:val="24"/>
          <w:szCs w:val="24"/>
        </w:rPr>
        <w:tab/>
      </w:r>
      <w:r>
        <w:rPr>
          <w:rFonts w:ascii="Times New Roman" w:hAnsi="Times New Roman"/>
          <w:sz w:val="24"/>
          <w:szCs w:val="24"/>
        </w:rPr>
        <w:t>1994-2000</w:t>
      </w:r>
      <w:r>
        <w:rPr>
          <w:rFonts w:ascii="Times New Roman" w:hAnsi="Times New Roman"/>
          <w:sz w:val="24"/>
          <w:szCs w:val="24"/>
        </w:rPr>
        <w:tab/>
      </w:r>
      <w:r>
        <w:rPr>
          <w:rFonts w:ascii="Times New Roman" w:hAnsi="Times New Roman"/>
          <w:sz w:val="24"/>
          <w:szCs w:val="24"/>
        </w:rPr>
        <w:t>West African Exam. Cert.</w:t>
      </w:r>
    </w:p>
    <w:p>
      <w:pPr>
        <w:numPr>
          <w:ilvl w:val="0"/>
          <w:numId w:val="11"/>
        </w:numPr>
        <w:spacing w:after="0" w:line="360" w:lineRule="auto"/>
        <w:contextualSpacing/>
        <w:jc w:val="both"/>
        <w:rPr>
          <w:rFonts w:ascii="Times New Roman" w:hAnsi="Times New Roman"/>
          <w:sz w:val="24"/>
          <w:szCs w:val="24"/>
        </w:rPr>
      </w:pPr>
      <w:r>
        <w:rPr>
          <w:rFonts w:ascii="Times New Roman" w:hAnsi="Times New Roman"/>
          <w:sz w:val="24"/>
          <w:szCs w:val="24"/>
        </w:rPr>
        <w:t>The Polytechnic Ibadan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2002-2004</w:t>
      </w:r>
      <w:r>
        <w:rPr>
          <w:rFonts w:ascii="Times New Roman" w:hAnsi="Times New Roman"/>
          <w:sz w:val="24"/>
          <w:szCs w:val="24"/>
        </w:rPr>
        <w:tab/>
      </w:r>
      <w:r>
        <w:rPr>
          <w:rFonts w:ascii="Times New Roman" w:hAnsi="Times New Roman"/>
          <w:sz w:val="24"/>
          <w:szCs w:val="24"/>
        </w:rPr>
        <w:t>Ordinary Nat. Diploma</w:t>
      </w:r>
    </w:p>
    <w:p>
      <w:pPr>
        <w:numPr>
          <w:ilvl w:val="0"/>
          <w:numId w:val="11"/>
        </w:numPr>
        <w:spacing w:after="0" w:line="360" w:lineRule="auto"/>
        <w:contextualSpacing/>
        <w:jc w:val="both"/>
        <w:rPr>
          <w:rFonts w:ascii="Times New Roman" w:hAnsi="Times New Roman"/>
          <w:sz w:val="24"/>
          <w:szCs w:val="24"/>
        </w:rPr>
      </w:pPr>
      <w:r>
        <w:rPr>
          <w:rFonts w:ascii="Times New Roman" w:hAnsi="Times New Roman"/>
          <w:sz w:val="24"/>
          <w:szCs w:val="24"/>
        </w:rPr>
        <w:t>The Polytechnic Ibadan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2008-2011</w:t>
      </w:r>
      <w:r>
        <w:rPr>
          <w:rFonts w:ascii="Times New Roman" w:hAnsi="Times New Roman"/>
          <w:sz w:val="24"/>
          <w:szCs w:val="24"/>
        </w:rPr>
        <w:tab/>
      </w:r>
      <w:r>
        <w:rPr>
          <w:rFonts w:ascii="Times New Roman" w:hAnsi="Times New Roman"/>
          <w:sz w:val="24"/>
          <w:szCs w:val="24"/>
        </w:rPr>
        <w:t>Higher Nat. Diploma</w:t>
      </w:r>
    </w:p>
    <w:p>
      <w:pPr>
        <w:numPr>
          <w:ilvl w:val="0"/>
          <w:numId w:val="11"/>
        </w:numPr>
        <w:spacing w:after="0" w:line="360" w:lineRule="auto"/>
        <w:contextualSpacing/>
        <w:jc w:val="both"/>
        <w:rPr>
          <w:rFonts w:ascii="Times New Roman" w:hAnsi="Times New Roman"/>
          <w:sz w:val="24"/>
          <w:szCs w:val="24"/>
        </w:rPr>
      </w:pPr>
      <w:r>
        <w:rPr>
          <w:rFonts w:ascii="Times New Roman" w:hAnsi="Times New Roman"/>
          <w:sz w:val="24"/>
          <w:szCs w:val="24"/>
        </w:rPr>
        <w:t>Achievers University, Owo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2013-2015</w:t>
      </w:r>
      <w:r>
        <w:rPr>
          <w:rFonts w:ascii="Times New Roman" w:hAnsi="Times New Roman"/>
          <w:sz w:val="24"/>
          <w:szCs w:val="24"/>
        </w:rPr>
        <w:tab/>
      </w:r>
      <w:r>
        <w:rPr>
          <w:rFonts w:ascii="Times New Roman" w:hAnsi="Times New Roman"/>
          <w:sz w:val="24"/>
          <w:szCs w:val="24"/>
        </w:rPr>
        <w:t>BSc</w:t>
      </w:r>
    </w:p>
    <w:p>
      <w:pPr>
        <w:numPr>
          <w:ilvl w:val="0"/>
          <w:numId w:val="11"/>
        </w:numPr>
        <w:spacing w:after="0" w:line="360" w:lineRule="auto"/>
        <w:contextualSpacing/>
        <w:jc w:val="both"/>
        <w:rPr>
          <w:rFonts w:ascii="Times New Roman" w:hAnsi="Times New Roman"/>
          <w:sz w:val="24"/>
          <w:szCs w:val="24"/>
        </w:rPr>
      </w:pPr>
      <w:r>
        <w:rPr>
          <w:rFonts w:ascii="Times New Roman" w:hAnsi="Times New Roman"/>
          <w:sz w:val="24"/>
          <w:szCs w:val="24"/>
        </w:rPr>
        <w:t>Lead City University, Ibadan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2020-2023</w:t>
      </w:r>
      <w:r>
        <w:rPr>
          <w:rFonts w:ascii="Times New Roman" w:hAnsi="Times New Roman"/>
          <w:sz w:val="24"/>
          <w:szCs w:val="24"/>
        </w:rPr>
        <w:tab/>
      </w:r>
      <w:r>
        <w:rPr>
          <w:rFonts w:ascii="Times New Roman" w:hAnsi="Times New Roman"/>
          <w:sz w:val="24"/>
          <w:szCs w:val="24"/>
        </w:rPr>
        <w:t>MSc in View</w:t>
      </w:r>
    </w:p>
    <w:p>
      <w:pPr>
        <w:numPr>
          <w:ilvl w:val="0"/>
          <w:numId w:val="9"/>
        </w:numPr>
        <w:spacing w:after="0" w:line="360" w:lineRule="auto"/>
        <w:contextualSpacing/>
        <w:jc w:val="both"/>
        <w:rPr>
          <w:rFonts w:ascii="Times New Roman" w:hAnsi="Times New Roman"/>
          <w:b/>
          <w:sz w:val="24"/>
          <w:szCs w:val="24"/>
        </w:rPr>
      </w:pPr>
      <w:r>
        <w:rPr>
          <w:rFonts w:ascii="Times New Roman" w:hAnsi="Times New Roman"/>
          <w:b/>
          <w:sz w:val="24"/>
          <w:szCs w:val="24"/>
        </w:rPr>
        <w:t>Working Experience with Dates:</w:t>
      </w:r>
    </w:p>
    <w:p>
      <w:pPr>
        <w:spacing w:after="0" w:line="360" w:lineRule="auto"/>
        <w:ind w:left="720"/>
        <w:contextualSpacing/>
        <w:jc w:val="both"/>
        <w:rPr>
          <w:rFonts w:ascii="Times New Roman" w:hAnsi="Times New Roman"/>
          <w:sz w:val="24"/>
          <w:szCs w:val="24"/>
        </w:rPr>
      </w:pPr>
      <w:r>
        <w:rPr>
          <w:rFonts w:ascii="Times New Roman" w:hAnsi="Times New Roman"/>
          <w:sz w:val="24"/>
          <w:szCs w:val="24"/>
        </w:rPr>
        <w:t>Technologist at University of Ibadan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2007 till date</w:t>
      </w:r>
    </w:p>
    <w:p>
      <w:pPr>
        <w:pStyle w:val="28"/>
        <w:numPr>
          <w:ilvl w:val="0"/>
          <w:numId w:val="9"/>
        </w:numPr>
        <w:spacing w:after="0" w:line="360" w:lineRule="auto"/>
        <w:jc w:val="both"/>
        <w:rPr>
          <w:rFonts w:ascii="Times New Roman" w:hAnsi="Times New Roman"/>
          <w:b/>
          <w:sz w:val="24"/>
          <w:szCs w:val="24"/>
        </w:rPr>
      </w:pPr>
      <w:r>
        <w:rPr>
          <w:rFonts w:ascii="Times New Roman" w:hAnsi="Times New Roman"/>
          <w:b/>
          <w:sz w:val="24"/>
          <w:szCs w:val="24"/>
        </w:rPr>
        <w:t>Awards and Fellowships (if any)</w:t>
      </w:r>
    </w:p>
    <w:p>
      <w:pPr>
        <w:pStyle w:val="28"/>
        <w:numPr>
          <w:ilvl w:val="0"/>
          <w:numId w:val="9"/>
        </w:numPr>
        <w:spacing w:after="0" w:line="360" w:lineRule="auto"/>
        <w:jc w:val="both"/>
        <w:rPr>
          <w:rFonts w:ascii="Times New Roman" w:hAnsi="Times New Roman"/>
          <w:b/>
          <w:sz w:val="24"/>
          <w:szCs w:val="24"/>
        </w:rPr>
      </w:pPr>
      <w:r>
        <w:rPr>
          <w:rFonts w:ascii="Times New Roman" w:hAnsi="Times New Roman"/>
          <w:b/>
          <w:sz w:val="24"/>
          <w:szCs w:val="24"/>
        </w:rPr>
        <w:t>Membership</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Nigeria Inst. of Sci. Lab. Tech. (Associate)</w:t>
      </w:r>
    </w:p>
    <w:p>
      <w:pPr>
        <w:numPr>
          <w:ilvl w:val="0"/>
          <w:numId w:val="9"/>
        </w:numPr>
        <w:spacing w:after="0" w:line="360" w:lineRule="auto"/>
        <w:contextualSpacing/>
        <w:jc w:val="both"/>
        <w:rPr>
          <w:rFonts w:ascii="Times New Roman" w:hAnsi="Times New Roman"/>
          <w:b/>
          <w:sz w:val="24"/>
          <w:szCs w:val="24"/>
        </w:rPr>
      </w:pPr>
      <w:r>
        <w:rPr>
          <w:rFonts w:ascii="Times New Roman" w:hAnsi="Times New Roman"/>
          <w:b/>
          <w:sz w:val="24"/>
          <w:szCs w:val="24"/>
        </w:rPr>
        <w:t>Publication</w:t>
      </w:r>
    </w:p>
    <w:p>
      <w:pPr>
        <w:numPr>
          <w:ilvl w:val="0"/>
          <w:numId w:val="12"/>
        </w:numPr>
        <w:spacing w:after="0" w:line="240" w:lineRule="auto"/>
        <w:contextualSpacing/>
        <w:jc w:val="both"/>
        <w:rPr>
          <w:rFonts w:ascii="Times New Roman" w:hAnsi="Times New Roman"/>
          <w:sz w:val="24"/>
          <w:szCs w:val="24"/>
        </w:rPr>
      </w:pPr>
      <w:r>
        <w:rPr>
          <w:rFonts w:ascii="Times New Roman" w:hAnsi="Times New Roman"/>
          <w:sz w:val="24"/>
          <w:szCs w:val="24"/>
        </w:rPr>
        <w:t xml:space="preserve">P. I. Okoh, A. S. Adelani &amp; T. A. Salau, </w:t>
      </w:r>
      <w:r>
        <w:rPr>
          <w:rFonts w:ascii="Times New Roman" w:hAnsi="Times New Roman"/>
          <w:i/>
          <w:sz w:val="24"/>
          <w:szCs w:val="24"/>
        </w:rPr>
        <w:t>Effect of cooking methods on the microbial load of beef collected at different hours in Ekpoma town market</w:t>
      </w:r>
      <w:r>
        <w:rPr>
          <w:rFonts w:ascii="Times New Roman" w:hAnsi="Times New Roman"/>
          <w:sz w:val="24"/>
          <w:szCs w:val="24"/>
        </w:rPr>
        <w:t xml:space="preserve">, </w:t>
      </w:r>
      <w:r>
        <w:rPr>
          <w:rFonts w:ascii="Times New Roman" w:hAnsi="Times New Roman"/>
          <w:b/>
          <w:sz w:val="24"/>
          <w:szCs w:val="24"/>
        </w:rPr>
        <w:t>Asian Food Science Journal,</w:t>
      </w:r>
      <w:r>
        <w:rPr>
          <w:rFonts w:ascii="Times New Roman" w:hAnsi="Times New Roman"/>
          <w:i/>
          <w:sz w:val="24"/>
          <w:szCs w:val="24"/>
        </w:rPr>
        <w:t xml:space="preserve"> </w:t>
      </w:r>
      <w:r>
        <w:rPr>
          <w:rFonts w:ascii="Times New Roman" w:hAnsi="Times New Roman"/>
          <w:sz w:val="24"/>
          <w:szCs w:val="24"/>
        </w:rPr>
        <w:t>7(1), 2019, 1-5.</w:t>
      </w:r>
    </w:p>
    <w:p>
      <w:pPr>
        <w:spacing w:after="0" w:line="360" w:lineRule="auto"/>
        <w:ind w:left="720"/>
        <w:contextualSpacing/>
        <w:jc w:val="both"/>
        <w:rPr>
          <w:rFonts w:ascii="Times New Roman" w:hAnsi="Times New Roman"/>
          <w:sz w:val="24"/>
          <w:szCs w:val="24"/>
        </w:rPr>
      </w:pPr>
    </w:p>
    <w:p>
      <w:pPr>
        <w:spacing w:after="0" w:line="360" w:lineRule="auto"/>
        <w:ind w:left="720"/>
        <w:contextualSpacing/>
        <w:jc w:val="both"/>
        <w:rPr>
          <w:rFonts w:ascii="Times New Roman" w:hAnsi="Times New Roman"/>
          <w:sz w:val="24"/>
          <w:szCs w:val="24"/>
        </w:rPr>
      </w:pPr>
    </w:p>
    <w:p>
      <w:pPr>
        <w:pStyle w:val="28"/>
        <w:numPr>
          <w:ilvl w:val="0"/>
          <w:numId w:val="9"/>
        </w:numPr>
        <w:spacing w:after="0" w:line="360" w:lineRule="auto"/>
        <w:jc w:val="both"/>
        <w:rPr>
          <w:rFonts w:ascii="Times New Roman" w:hAnsi="Times New Roman"/>
          <w:b/>
          <w:sz w:val="24"/>
          <w:szCs w:val="24"/>
        </w:rPr>
      </w:pPr>
      <w:r>
        <w:rPr>
          <w:rFonts w:ascii="Times New Roman" w:hAnsi="Times New Roman"/>
          <w:b/>
          <w:sz w:val="24"/>
          <w:szCs w:val="24"/>
        </w:rPr>
        <w:t>Major Conference Attended with Date</w:t>
      </w:r>
    </w:p>
    <w:p>
      <w:pPr>
        <w:pStyle w:val="28"/>
        <w:numPr>
          <w:ilvl w:val="0"/>
          <w:numId w:val="12"/>
        </w:numPr>
        <w:spacing w:after="0" w:line="360" w:lineRule="auto"/>
        <w:jc w:val="both"/>
        <w:rPr>
          <w:rFonts w:ascii="Times New Roman" w:hAnsi="Times New Roman"/>
          <w:b/>
          <w:sz w:val="24"/>
          <w:szCs w:val="24"/>
        </w:rPr>
      </w:pPr>
      <w:r>
        <w:rPr>
          <w:rFonts w:ascii="Times New Roman" w:hAnsi="Times New Roman"/>
          <w:sz w:val="24"/>
          <w:szCs w:val="24"/>
        </w:rPr>
        <w:t>Association of Science Laboratory Technologists of Nigeria, 2019: Technological Advancement Towards Human Development: A Major Tool for Novel Research in the 21</w:t>
      </w:r>
      <w:r>
        <w:rPr>
          <w:rFonts w:ascii="Times New Roman" w:hAnsi="Times New Roman"/>
          <w:sz w:val="24"/>
          <w:szCs w:val="24"/>
          <w:vertAlign w:val="superscript"/>
        </w:rPr>
        <w:t>st</w:t>
      </w:r>
      <w:r>
        <w:rPr>
          <w:rFonts w:ascii="Times New Roman" w:hAnsi="Times New Roman"/>
          <w:sz w:val="24"/>
          <w:szCs w:val="24"/>
        </w:rPr>
        <w:t xml:space="preserve"> Century.</w:t>
      </w:r>
    </w:p>
    <w:p>
      <w:pPr>
        <w:pStyle w:val="28"/>
        <w:numPr>
          <w:ilvl w:val="0"/>
          <w:numId w:val="9"/>
        </w:numPr>
        <w:spacing w:after="0" w:line="360" w:lineRule="auto"/>
        <w:jc w:val="both"/>
        <w:rPr>
          <w:rFonts w:ascii="Times New Roman" w:hAnsi="Times New Roman"/>
          <w:b/>
          <w:sz w:val="24"/>
          <w:szCs w:val="24"/>
        </w:rPr>
      </w:pPr>
      <w:r>
        <w:rPr>
          <w:rFonts w:ascii="Times New Roman" w:hAnsi="Times New Roman"/>
          <w:b/>
          <w:sz w:val="24"/>
          <w:szCs w:val="24"/>
        </w:rPr>
        <w:t>References</w:t>
      </w:r>
    </w:p>
    <w:p>
      <w:pPr>
        <w:pStyle w:val="28"/>
        <w:numPr>
          <w:ilvl w:val="0"/>
          <w:numId w:val="13"/>
        </w:numPr>
        <w:spacing w:after="0" w:line="360" w:lineRule="auto"/>
        <w:jc w:val="both"/>
        <w:rPr>
          <w:rFonts w:ascii="Times New Roman" w:hAnsi="Times New Roman"/>
          <w:sz w:val="24"/>
          <w:szCs w:val="24"/>
        </w:rPr>
      </w:pPr>
      <w:r>
        <w:rPr>
          <w:rFonts w:ascii="Times New Roman" w:hAnsi="Times New Roman"/>
          <w:sz w:val="24"/>
          <w:szCs w:val="24"/>
        </w:rPr>
        <w:t>Professor O. J. Babayemi</w:t>
      </w:r>
    </w:p>
    <w:p>
      <w:pPr>
        <w:pStyle w:val="28"/>
        <w:spacing w:after="0" w:line="360" w:lineRule="auto"/>
        <w:jc w:val="both"/>
        <w:rPr>
          <w:rFonts w:ascii="Times New Roman" w:hAnsi="Times New Roman"/>
          <w:sz w:val="24"/>
          <w:szCs w:val="24"/>
        </w:rPr>
      </w:pPr>
      <w:r>
        <w:rPr>
          <w:rFonts w:ascii="Times New Roman" w:hAnsi="Times New Roman"/>
          <w:sz w:val="24"/>
          <w:szCs w:val="24"/>
        </w:rPr>
        <w:t>08023430684</w:t>
      </w:r>
    </w:p>
    <w:p>
      <w:pPr>
        <w:pStyle w:val="28"/>
        <w:numPr>
          <w:ilvl w:val="0"/>
          <w:numId w:val="13"/>
        </w:numPr>
        <w:spacing w:after="0" w:line="360" w:lineRule="auto"/>
        <w:jc w:val="both"/>
        <w:rPr>
          <w:rFonts w:ascii="Times New Roman" w:hAnsi="Times New Roman"/>
          <w:sz w:val="24"/>
          <w:szCs w:val="24"/>
        </w:rPr>
      </w:pPr>
      <w:r>
        <w:rPr>
          <w:rFonts w:ascii="Times New Roman" w:hAnsi="Times New Roman"/>
          <w:sz w:val="24"/>
          <w:szCs w:val="24"/>
        </w:rPr>
        <w:t>Dr B. M. Olowe</w:t>
      </w:r>
    </w:p>
    <w:p>
      <w:pPr>
        <w:pStyle w:val="28"/>
        <w:spacing w:after="0" w:line="360" w:lineRule="auto"/>
        <w:jc w:val="both"/>
        <w:rPr>
          <w:rFonts w:ascii="Times New Roman" w:hAnsi="Times New Roman"/>
          <w:sz w:val="24"/>
          <w:szCs w:val="24"/>
        </w:rPr>
      </w:pPr>
      <w:r>
        <w:rPr>
          <w:rFonts w:ascii="Times New Roman" w:hAnsi="Times New Roman"/>
          <w:sz w:val="24"/>
          <w:szCs w:val="24"/>
        </w:rPr>
        <w:t>08062431252</w:t>
      </w:r>
    </w:p>
    <w:p>
      <w:pPr>
        <w:spacing w:after="0" w:line="360" w:lineRule="auto"/>
        <w:ind w:left="1440"/>
        <w:contextualSpacing/>
        <w:jc w:val="both"/>
        <w:rPr>
          <w:rFonts w:ascii="Times New Roman" w:hAnsi="Times New Roman"/>
          <w:b/>
          <w:sz w:val="24"/>
          <w:szCs w:val="24"/>
        </w:rPr>
      </w:pPr>
    </w:p>
    <w:p>
      <w:pPr>
        <w:spacing w:after="0" w:line="360" w:lineRule="auto"/>
        <w:ind w:left="1440"/>
        <w:contextualSpacing/>
        <w:jc w:val="both"/>
        <w:rPr>
          <w:rFonts w:ascii="Times New Roman" w:hAnsi="Times New Roman"/>
          <w:b/>
          <w:sz w:val="24"/>
          <w:szCs w:val="24"/>
        </w:rPr>
      </w:pPr>
    </w:p>
    <w:p>
      <w:pPr>
        <w:spacing w:after="0" w:line="360" w:lineRule="auto"/>
        <w:ind w:left="1440"/>
        <w:contextualSpacing/>
        <w:jc w:val="both"/>
        <w:rPr>
          <w:rFonts w:ascii="Times New Roman" w:hAnsi="Times New Roman"/>
          <w:b/>
          <w:sz w:val="24"/>
          <w:szCs w:val="24"/>
        </w:rPr>
      </w:pPr>
    </w:p>
    <w:p>
      <w:pPr>
        <w:spacing w:after="0" w:line="360" w:lineRule="auto"/>
        <w:ind w:left="1440"/>
        <w:contextualSpacing/>
        <w:jc w:val="both"/>
        <w:rPr>
          <w:rFonts w:ascii="Times New Roman" w:hAnsi="Times New Roman"/>
          <w:b/>
          <w:sz w:val="24"/>
          <w:szCs w:val="24"/>
        </w:rPr>
      </w:pPr>
      <w:r>
        <w:rPr>
          <w:rFonts w:ascii="Times New Roman" w:hAnsi="Times New Roman"/>
          <w:sz w:val="24"/>
          <w:szCs w:val="24"/>
        </w:rPr>
        <mc:AlternateContent>
          <mc:Choice Requires="wps">
            <w:drawing>
              <wp:anchor distT="0" distB="0" distL="114300" distR="114300" simplePos="0" relativeHeight="251675648" behindDoc="0" locked="0" layoutInCell="1" allowOverlap="1">
                <wp:simplePos x="0" y="0"/>
                <wp:positionH relativeFrom="column">
                  <wp:posOffset>3799840</wp:posOffset>
                </wp:positionH>
                <wp:positionV relativeFrom="paragraph">
                  <wp:posOffset>159385</wp:posOffset>
                </wp:positionV>
                <wp:extent cx="1877060" cy="0"/>
                <wp:effectExtent l="0" t="0" r="27940" b="19050"/>
                <wp:wrapNone/>
                <wp:docPr id="88" name="Straight Arrow Connector 88"/>
                <wp:cNvGraphicFramePr/>
                <a:graphic xmlns:a="http://schemas.openxmlformats.org/drawingml/2006/main">
                  <a:graphicData uri="http://schemas.microsoft.com/office/word/2010/wordprocessingShape">
                    <wps:wsp>
                      <wps:cNvCnPr>
                        <a:cxnSpLocks noChangeShapeType="1"/>
                      </wps:cNvCnPr>
                      <wps:spPr bwMode="auto">
                        <a:xfrm>
                          <a:off x="0" y="0"/>
                          <a:ext cx="187706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299.2pt;margin-top:12.55pt;height:0pt;width:147.8pt;z-index:251675648;mso-width-relative:page;mso-height-relative:page;" filled="f" stroked="t" coordsize="21600,21600" o:gfxdata="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q/1m5dcAAAAJAQAADwAAAAAA&#10;AAABACAAAAAiAAAAZHJzL2Rvd25yZXYueG1sUEsBAhQAFAAAAAgAh07iQL6BArrbAQAAwwMAAA4A&#10;AAAAAAAAAQAgAAAAJgEAAGRycy9lMm9Eb2MueG1sUEsFBgAAAAAGAAYAWQEAAHMFAAAAAA==&#10;">
                <v:fill on="f" focussize="0,0"/>
                <v:stroke color="#000000" joinstyle="round"/>
                <v:imagedata o:title=""/>
                <o:lock v:ext="edit" aspectratio="f"/>
              </v:shape>
            </w:pict>
          </mc:Fallback>
        </mc:AlternateContent>
      </w:r>
      <w:r>
        <w:rPr>
          <w:rFonts w:ascii="Times New Roman" w:hAnsi="Times New Roman"/>
          <w:sz w:val="24"/>
          <w:szCs w:val="24"/>
        </w:rPr>
        <mc:AlternateContent>
          <mc:Choice Requires="wps">
            <w:drawing>
              <wp:anchor distT="0" distB="0" distL="114300" distR="114300" simplePos="0" relativeHeight="251674624" behindDoc="0" locked="0" layoutInCell="1" allowOverlap="1">
                <wp:simplePos x="0" y="0"/>
                <wp:positionH relativeFrom="column">
                  <wp:posOffset>260985</wp:posOffset>
                </wp:positionH>
                <wp:positionV relativeFrom="paragraph">
                  <wp:posOffset>160020</wp:posOffset>
                </wp:positionV>
                <wp:extent cx="1828800" cy="0"/>
                <wp:effectExtent l="0" t="0" r="19050" b="19050"/>
                <wp:wrapNone/>
                <wp:docPr id="89" name="Straight Arrow Connector 89"/>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20.55pt;margin-top:12.6pt;height:0pt;width:144pt;z-index:251674624;mso-width-relative:page;mso-height-relative:page;" filled="f" stroked="t" coordsize="21600,21600" o:gfxdata="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JanLO/VAAAACAEAAA8AAAAAAAAA&#10;AQAgAAAAIgAAAGRycy9kb3ducmV2LnhtbFBLAQIUABQAAAAIAIdO4kBVAA6p2wEAAMMDAAAOAAAA&#10;AAAAAAEAIAAAACQBAABkcnMvZTJvRG9jLnhtbFBLBQYAAAAABgAGAFkBAABxBQAAAAA=&#10;">
                <v:fill on="f" focussize="0,0"/>
                <v:stroke color="#000000" joinstyle="round"/>
                <v:imagedata o:title=""/>
                <o:lock v:ext="edit" aspectratio="f"/>
              </v:shape>
            </w:pict>
          </mc:Fallback>
        </mc:AlternateContent>
      </w:r>
    </w:p>
    <w:p>
      <w:pPr>
        <w:spacing w:after="0" w:line="360" w:lineRule="auto"/>
        <w:ind w:left="1440"/>
        <w:contextualSpacing/>
        <w:jc w:val="both"/>
        <w:rPr>
          <w:rFonts w:ascii="Times New Roman" w:hAnsi="Times New Roman"/>
          <w:b/>
          <w:sz w:val="24"/>
          <w:szCs w:val="24"/>
        </w:rPr>
      </w:pPr>
      <w:r>
        <w:rPr>
          <w:rFonts w:ascii="Times New Roman" w:hAnsi="Times New Roman"/>
          <w:b/>
          <w:sz w:val="24"/>
          <w:szCs w:val="24"/>
        </w:rPr>
        <w:t>Signature</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Date</w:t>
      </w: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jc w:val="center"/>
        <w:rPr>
          <w:rFonts w:ascii="Times New Roman" w:hAnsi="Times New Roman"/>
          <w:b/>
          <w:sz w:val="24"/>
          <w:szCs w:val="24"/>
        </w:rPr>
      </w:pPr>
    </w:p>
    <w:p>
      <w:pPr>
        <w:spacing w:after="120" w:line="480" w:lineRule="auto"/>
        <w:rPr>
          <w:rFonts w:ascii="Times New Roman" w:hAnsi="Times New Roman"/>
          <w:b/>
          <w:sz w:val="24"/>
          <w:szCs w:val="24"/>
        </w:rPr>
      </w:pPr>
    </w:p>
    <w:p>
      <w:pPr>
        <w:spacing w:after="120" w:line="480" w:lineRule="auto"/>
        <w:jc w:val="center"/>
        <w:rPr>
          <w:rFonts w:ascii="Times New Roman" w:hAnsi="Times New Roman"/>
          <w:b/>
          <w:sz w:val="24"/>
          <w:szCs w:val="24"/>
        </w:rPr>
      </w:pPr>
      <w:r>
        <w:rPr>
          <w:rFonts w:ascii="Times New Roman" w:hAnsi="Times New Roman"/>
          <w:b/>
          <w:sz w:val="24"/>
          <w:szCs w:val="24"/>
        </w:rPr>
        <w:t>The University Compliance Certification</w:t>
      </w:r>
    </w:p>
    <w:p>
      <w:pPr>
        <w:spacing w:after="120" w:line="480" w:lineRule="auto"/>
        <w:jc w:val="both"/>
        <w:rPr>
          <w:rFonts w:ascii="Times New Roman" w:hAnsi="Times New Roman"/>
          <w:sz w:val="24"/>
          <w:szCs w:val="24"/>
        </w:rPr>
      </w:pPr>
      <w:r>
        <w:rPr>
          <w:rFonts w:ascii="Times New Roman" w:hAnsi="Times New Roman"/>
          <w:sz w:val="24"/>
          <w:szCs w:val="24"/>
        </w:rPr>
        <w:t xml:space="preserve">This is to certify that this Thesis written by </w:t>
      </w:r>
      <w:r>
        <w:rPr>
          <w:rFonts w:ascii="Times New Roman" w:hAnsi="Times New Roman"/>
          <w:b/>
          <w:sz w:val="24"/>
          <w:szCs w:val="24"/>
        </w:rPr>
        <w:t xml:space="preserve">Taofeeq Adesina SALAU </w:t>
      </w:r>
      <w:r>
        <w:rPr>
          <w:rFonts w:ascii="Times New Roman" w:hAnsi="Times New Roman"/>
          <w:sz w:val="24"/>
          <w:szCs w:val="24"/>
        </w:rPr>
        <w:t>with Matric No.</w:t>
      </w:r>
      <w:r>
        <w:rPr>
          <w:rFonts w:ascii="Times New Roman" w:hAnsi="Times New Roman"/>
          <w:b/>
          <w:sz w:val="24"/>
          <w:szCs w:val="24"/>
        </w:rPr>
        <w:t xml:space="preserve"> LCU/PG/001810 </w:t>
      </w:r>
      <w:r>
        <w:rPr>
          <w:rFonts w:ascii="Times New Roman" w:hAnsi="Times New Roman"/>
          <w:sz w:val="24"/>
          <w:szCs w:val="24"/>
        </w:rPr>
        <w:t>in the Department of Biological Science, Faculty of Natural and Applied Sciences, Lead City University, Ibadan is in full compliance with the approved University format and style.</w:t>
      </w:r>
    </w:p>
    <w:p>
      <w:pPr>
        <w:spacing w:after="120" w:line="480" w:lineRule="auto"/>
        <w:jc w:val="both"/>
        <w:rPr>
          <w:rFonts w:ascii="Times New Roman" w:hAnsi="Times New Roman"/>
          <w:sz w:val="24"/>
          <w:szCs w:val="24"/>
        </w:rPr>
      </w:pPr>
    </w:p>
    <w:p>
      <w:pPr>
        <w:spacing w:after="120" w:line="480" w:lineRule="auto"/>
        <w:jc w:val="both"/>
        <w:rPr>
          <w:rFonts w:ascii="Times New Roman" w:hAnsi="Times New Roman"/>
          <w:sz w:val="24"/>
          <w:szCs w:val="24"/>
        </w:rPr>
      </w:pPr>
    </w:p>
    <w:p>
      <w:pPr>
        <w:spacing w:after="120" w:line="480" w:lineRule="auto"/>
        <w:jc w:val="both"/>
        <w:rPr>
          <w:rFonts w:ascii="Times New Roman" w:hAnsi="Times New Roman"/>
          <w:sz w:val="24"/>
          <w:szCs w:val="24"/>
        </w:rPr>
      </w:pPr>
    </w:p>
    <w:p>
      <w:pPr>
        <w:spacing w:after="120" w:line="480" w:lineRule="auto"/>
        <w:jc w:val="both"/>
        <w:rPr>
          <w:rFonts w:ascii="Times New Roman" w:hAnsi="Times New Roman"/>
          <w:sz w:val="24"/>
          <w:szCs w:val="24"/>
        </w:rPr>
      </w:pPr>
    </w:p>
    <w:p>
      <w:pPr>
        <w:spacing w:after="120" w:line="480" w:lineRule="auto"/>
        <w:jc w:val="both"/>
        <w:rPr>
          <w:rFonts w:ascii="Times New Roman" w:hAnsi="Times New Roman"/>
          <w:sz w:val="24"/>
          <w:szCs w:val="24"/>
        </w:rPr>
      </w:pPr>
      <w:r>
        <w:rPr>
          <w:rFonts w:ascii="Times New Roman" w:hAnsi="Times New Roman"/>
          <w:sz w:val="24"/>
          <w:szCs w:val="24"/>
        </w:rPr>
        <mc:AlternateContent>
          <mc:Choice Requires="wps">
            <w:drawing>
              <wp:anchor distT="0" distB="0" distL="114300" distR="114300" simplePos="0" relativeHeight="251673600" behindDoc="0" locked="0" layoutInCell="1" allowOverlap="1">
                <wp:simplePos x="0" y="0"/>
                <wp:positionH relativeFrom="column">
                  <wp:posOffset>3767455</wp:posOffset>
                </wp:positionH>
                <wp:positionV relativeFrom="paragraph">
                  <wp:posOffset>275590</wp:posOffset>
                </wp:positionV>
                <wp:extent cx="1967230" cy="0"/>
                <wp:effectExtent l="5080" t="10795" r="8890" b="8255"/>
                <wp:wrapNone/>
                <wp:docPr id="90" name="Straight Arrow Connector 90"/>
                <wp:cNvGraphicFramePr/>
                <a:graphic xmlns:a="http://schemas.openxmlformats.org/drawingml/2006/main">
                  <a:graphicData uri="http://schemas.microsoft.com/office/word/2010/wordprocessingShape">
                    <wps:wsp>
                      <wps:cNvCnPr>
                        <a:cxnSpLocks noChangeShapeType="1"/>
                      </wps:cNvCnPr>
                      <wps:spPr bwMode="auto">
                        <a:xfrm>
                          <a:off x="0" y="0"/>
                          <a:ext cx="196723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296.65pt;margin-top:21.7pt;height:0pt;width:154.9pt;z-index:251673600;mso-width-relative:page;mso-height-relative:page;" filled="f" stroked="t" coordsize="21600,21600" o:gfxdata="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OiwtF1wAAAAkBAAAPAAAAAAAA&#10;AAEAIAAAACIAAABkcnMvZG93bnJldi54bWxQSwECFAAUAAAACACHTuJAZoE4G9oBAADDAwAADgAA&#10;AAAAAAABACAAAAAmAQAAZHJzL2Uyb0RvYy54bWxQSwUGAAAAAAYABgBZAQAAcgUAAAAA&#10;">
                <v:fill on="f" focussize="0,0"/>
                <v:stroke color="#000000" joinstyle="round"/>
                <v:imagedata o:title=""/>
                <o:lock v:ext="edit" aspectratio="f"/>
              </v:shape>
            </w:pict>
          </mc:Fallback>
        </mc:AlternateContent>
      </w:r>
      <w:r>
        <w:rPr>
          <w:rFonts w:ascii="Times New Roman" w:hAnsi="Times New Roman"/>
          <w:sz w:val="24"/>
          <w:szCs w:val="24"/>
        </w:rPr>
        <mc:AlternateContent>
          <mc:Choice Requires="wps">
            <w:drawing>
              <wp:anchor distT="0" distB="0" distL="114300" distR="114300" simplePos="0" relativeHeight="251672576" behindDoc="0" locked="0" layoutInCell="1" allowOverlap="1">
                <wp:simplePos x="0" y="0"/>
                <wp:positionH relativeFrom="column">
                  <wp:posOffset>41910</wp:posOffset>
                </wp:positionH>
                <wp:positionV relativeFrom="paragraph">
                  <wp:posOffset>295910</wp:posOffset>
                </wp:positionV>
                <wp:extent cx="1967230" cy="0"/>
                <wp:effectExtent l="13335" t="12065" r="10160" b="6985"/>
                <wp:wrapNone/>
                <wp:docPr id="91" name="Straight Arrow Connector 91"/>
                <wp:cNvGraphicFramePr/>
                <a:graphic xmlns:a="http://schemas.openxmlformats.org/drawingml/2006/main">
                  <a:graphicData uri="http://schemas.microsoft.com/office/word/2010/wordprocessingShape">
                    <wps:wsp>
                      <wps:cNvCnPr>
                        <a:cxnSpLocks noChangeShapeType="1"/>
                      </wps:cNvCnPr>
                      <wps:spPr bwMode="auto">
                        <a:xfrm>
                          <a:off x="0" y="0"/>
                          <a:ext cx="1967230" cy="0"/>
                        </a:xfrm>
                        <a:prstGeom prst="straightConnector1">
                          <a:avLst/>
                        </a:prstGeom>
                        <a:noFill/>
                        <a:ln w="9525">
                          <a:solidFill>
                            <a:srgbClr val="000000"/>
                          </a:solidFill>
                          <a:round/>
                        </a:ln>
                      </wps:spPr>
                      <wps:bodyPr/>
                    </wps:wsp>
                  </a:graphicData>
                </a:graphic>
              </wp:anchor>
            </w:drawing>
          </mc:Choice>
          <mc:Fallback>
            <w:pict>
              <v:shape id="_x0000_s1026" o:spid="_x0000_s1026" o:spt="32" type="#_x0000_t32" style="position:absolute;left:0pt;margin-left:3.3pt;margin-top:23.3pt;height:0pt;width:154.9pt;z-index:251672576;mso-width-relative:page;mso-height-relative:page;" filled="f" stroked="t" coordsize="21600,21600" o:gfxdata="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2d6bCdUAAAAHAQAADwAAAAAAAAAB&#10;ACAAAAAiAAAAZHJzL2Rvd25yZXYueG1sUEsBAhQAFAAAAAgAh07iQF1hlmzaAQAAwwMAAA4AAAAA&#10;AAAAAQAgAAAAJAEAAGRycy9lMm9Eb2MueG1sUEsFBgAAAAAGAAYAWQEAAHAFAAAAAA==&#10;">
                <v:fill on="f" focussize="0,0"/>
                <v:stroke color="#000000" joinstyle="round"/>
                <v:imagedata o:title=""/>
                <o:lock v:ext="edit" aspectratio="f"/>
              </v:shape>
            </w:pict>
          </mc:Fallback>
        </mc:AlternateContent>
      </w:r>
    </w:p>
    <w:p>
      <w:pPr>
        <w:spacing w:after="120" w:line="480" w:lineRule="auto"/>
        <w:jc w:val="both"/>
        <w:rPr>
          <w:rFonts w:ascii="Times New Roman" w:hAnsi="Times New Roman"/>
          <w:b/>
          <w:sz w:val="24"/>
          <w:szCs w:val="24"/>
        </w:rPr>
      </w:pPr>
      <w:r>
        <w:rPr>
          <w:rFonts w:ascii="Times New Roman" w:hAnsi="Times New Roman"/>
          <w:sz w:val="24"/>
          <w:szCs w:val="24"/>
        </w:rPr>
        <w:tab/>
      </w:r>
      <w:r>
        <w:rPr>
          <w:rFonts w:ascii="Times New Roman" w:hAnsi="Times New Roman"/>
          <w:b/>
          <w:sz w:val="24"/>
          <w:szCs w:val="24"/>
        </w:rPr>
        <w:t>Signature</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Date</w:t>
      </w:r>
    </w:p>
    <w:p>
      <w:pPr>
        <w:rPr>
          <w:rFonts w:ascii="Times New Roman" w:hAnsi="Times New Roman"/>
          <w:sz w:val="24"/>
          <w:szCs w:val="24"/>
        </w:rPr>
      </w:pPr>
    </w:p>
    <w:p>
      <w:pPr>
        <w:rPr>
          <w:rFonts w:ascii="Times New Roman" w:hAnsi="Times New Roman"/>
          <w:sz w:val="24"/>
          <w:szCs w:val="24"/>
        </w:rPr>
      </w:pPr>
    </w:p>
    <w:p>
      <w:pPr>
        <w:spacing w:after="120" w:line="480" w:lineRule="auto"/>
        <w:jc w:val="both"/>
        <w:rPr>
          <w:rFonts w:ascii="Times New Roman" w:hAnsi="Times New Roman"/>
          <w:sz w:val="24"/>
          <w:szCs w:val="24"/>
        </w:rPr>
      </w:pPr>
    </w:p>
    <w:p>
      <w:pPr>
        <w:rPr>
          <w:rFonts w:ascii="Times New Roman" w:hAnsi="Times New Roman"/>
          <w:sz w:val="24"/>
          <w:szCs w:val="24"/>
        </w:rPr>
      </w:pPr>
    </w:p>
    <w:sectPr>
      <w:headerReference r:id="rId10" w:type="first"/>
      <w:footerReference r:id="rId12" w:type="first"/>
      <w:headerReference r:id="rId8" w:type="default"/>
      <w:headerReference r:id="rId9" w:type="even"/>
      <w:footerReference r:id="rId11" w:type="even"/>
      <w:pgSz w:w="12240" w:h="15840"/>
      <w:pgMar w:top="1440" w:right="1440" w:bottom="1440" w:left="1440" w:header="720" w:footer="720" w:gutter="0"/>
      <w:pgNumType w:start="144"/>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mn-ea">
    <w:altName w:val="Segoe Print"/>
    <w:panose1 w:val="00000000000000000000"/>
    <w:charset w:val="00"/>
    <w:family w:val="roman"/>
    <w:pitch w:val="default"/>
    <w:sig w:usb0="00000000" w:usb1="00000000" w:usb2="00000000" w:usb3="00000000" w:csb0="00000000" w:csb1="00000000"/>
  </w:font>
  <w:font w:name="MS Sans Serif">
    <w:altName w:val="Microsoft Sans Serif"/>
    <w:panose1 w:val="00000000000000000000"/>
    <w:charset w:val="00"/>
    <w:family w:val="auto"/>
    <w:pitch w:val="default"/>
    <w:sig w:usb0="00000000" w:usb1="00000000" w:usb2="00000000" w:usb3="00000000" w:csb0="00000001" w:csb1="00000000"/>
  </w:font>
  <w:font w:name="Arial Bold">
    <w:altName w:val="Arial"/>
    <w:panose1 w:val="020B0704020202020204"/>
    <w:charset w:val="00"/>
    <w:family w:val="auto"/>
    <w:pitch w:val="default"/>
    <w:sig w:usb0="00000000" w:usb1="00000000" w:usb2="00000000" w:usb3="00000000" w:csb0="00000000" w:csb1="0000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7169713"/>
      <w:docPartObj>
        <w:docPartGallery w:val="AutoText"/>
      </w:docPartObj>
    </w:sdtPr>
    <w:sdtContent>
      <w:p>
        <w:pPr>
          <w:pStyle w:val="11"/>
          <w:jc w:val="center"/>
        </w:pPr>
        <w:r>
          <w:fldChar w:fldCharType="begin"/>
        </w:r>
        <w:r>
          <w:instrText xml:space="preserve"> PAGE   \* MERGEFORMAT </w:instrText>
        </w:r>
        <w:r>
          <w:fldChar w:fldCharType="separate"/>
        </w:r>
        <w:r>
          <w:t>11</w:t>
        </w:r>
        <w:r>
          <w:fldChar w:fldCharType="end"/>
        </w:r>
      </w:p>
    </w:sdtContent>
  </w:sdt>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w:pict>
        <v:shape id="PowerPlusWaterMarkObject14966" o:spid="_x0000_s2049" o:spt="136" type="#_x0000_t136" style="position:absolute;left:0pt;height:35.25pt;width:552pt;mso-position-horizontal:center;mso-position-horizontal-relative:margin;mso-position-vertical:center;mso-position-vertical-relative:margin;rotation:-2949120f;z-index:-251657216;mso-width-relative:page;mso-height-relative:page;" fillcolor="#5B9BD5" filled="t" stroked="f" coordsize="21600,21600" adj="10800">
          <v:path/>
          <v:fill on="t" opacity="49807f" focussize="0,0"/>
          <v:stroke on="f"/>
          <v:imagedata o:title=""/>
          <o:lock v:ext="edit" aspectratio="t"/>
          <v:textpath on="t" fitshape="t" fitpath="t" trim="t" xscale="f" string="Do Not Copy, Lead City University, Nigeria" style="font-family:Times New Roman;font-size:36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w:pict>
        <v:shape id="_x0000_s2050" o:spid="_x0000_s2050" o:spt="136" type="#_x0000_t136" style="position:absolute;left:0pt;height:35.25pt;width:552pt;mso-position-horizontal:center;mso-position-horizontal-relative:margin;mso-position-vertical:center;mso-position-vertical-relative:margin;rotation:-2949120f;z-index:-251656192;mso-width-relative:page;mso-height-relative:page;" fillcolor="#5B9BD5" filled="t" stroked="f" coordsize="21600,21600" adj="10800">
          <v:path/>
          <v:fill on="t" opacity="49807f" focussize="0,0"/>
          <v:stroke on="f"/>
          <v:imagedata o:title=""/>
          <o:lock v:ext="edit" aspectratio="t"/>
          <v:textpath on="t" fitshape="t" fitpath="t" trim="t" xscale="f" string="Do Not Copy, Lead City University, Nigeria" style="font-family:Times New Roman;font-size:36pt;v-same-letter-heights:f;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w:pict>
        <v:shape id="_x0000_s2051" o:spid="_x0000_s2051" o:spt="136" type="#_x0000_t136" style="position:absolute;left:0pt;height:35.25pt;width:552pt;mso-position-horizontal:center;mso-position-horizontal-relative:margin;mso-position-vertical:center;mso-position-vertical-relative:margin;rotation:-2949120f;z-index:-251655168;mso-width-relative:page;mso-height-relative:page;" fillcolor="#5B9BD5" filled="t" stroked="f" coordsize="21600,21600" adj="10800">
          <v:path/>
          <v:fill on="t" opacity="49807f" focussize="0,0"/>
          <v:stroke on="f"/>
          <v:imagedata o:title=""/>
          <o:lock v:ext="edit" aspectratio="t"/>
          <v:textpath on="t" fitshape="t" fitpath="t" trim="t" xscale="f" string="Do Not Copy, Lead City University, Nigeria" style="font-family:Times New Roman;font-size:36pt;v-same-letter-heights:f;v-text-align:cente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E034A6"/>
    <w:multiLevelType w:val="multilevel"/>
    <w:tmpl w:val="0FE034A6"/>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77A456C"/>
    <w:multiLevelType w:val="multilevel"/>
    <w:tmpl w:val="177A456C"/>
    <w:lvl w:ilvl="0" w:tentative="0">
      <w:start w:val="1"/>
      <w:numFmt w:val="decimal"/>
      <w:lvlText w:val="%1."/>
      <w:lvlJc w:val="left"/>
      <w:pPr>
        <w:ind w:left="720" w:hanging="720"/>
      </w:pPr>
      <w:rPr>
        <w:rFonts w:ascii="Times New Roman" w:hAnsi="Times New Roman" w:eastAsia="Calibri" w:cs="Times New Roman"/>
        <w:color w:val="auto"/>
      </w:rPr>
    </w:lvl>
    <w:lvl w:ilvl="1" w:tentative="0">
      <w:start w:val="1"/>
      <w:numFmt w:val="lowerLetter"/>
      <w:lvlText w:val="%2."/>
      <w:lvlJc w:val="left"/>
      <w:pPr>
        <w:ind w:left="2250" w:hanging="360"/>
      </w:pPr>
    </w:lvl>
    <w:lvl w:ilvl="2" w:tentative="0">
      <w:start w:val="1"/>
      <w:numFmt w:val="lowerRoman"/>
      <w:lvlText w:val="%3."/>
      <w:lvlJc w:val="right"/>
      <w:pPr>
        <w:ind w:left="2970" w:hanging="180"/>
      </w:pPr>
    </w:lvl>
    <w:lvl w:ilvl="3" w:tentative="0">
      <w:start w:val="1"/>
      <w:numFmt w:val="decimal"/>
      <w:lvlText w:val="%4."/>
      <w:lvlJc w:val="left"/>
      <w:pPr>
        <w:ind w:left="3690" w:hanging="360"/>
      </w:pPr>
    </w:lvl>
    <w:lvl w:ilvl="4" w:tentative="0">
      <w:start w:val="1"/>
      <w:numFmt w:val="lowerLetter"/>
      <w:lvlText w:val="%5."/>
      <w:lvlJc w:val="left"/>
      <w:pPr>
        <w:ind w:left="4410" w:hanging="360"/>
      </w:pPr>
    </w:lvl>
    <w:lvl w:ilvl="5" w:tentative="0">
      <w:start w:val="1"/>
      <w:numFmt w:val="lowerRoman"/>
      <w:lvlText w:val="%6."/>
      <w:lvlJc w:val="right"/>
      <w:pPr>
        <w:ind w:left="5130" w:hanging="180"/>
      </w:pPr>
    </w:lvl>
    <w:lvl w:ilvl="6" w:tentative="0">
      <w:start w:val="1"/>
      <w:numFmt w:val="decimal"/>
      <w:lvlText w:val="%7."/>
      <w:lvlJc w:val="left"/>
      <w:pPr>
        <w:ind w:left="5850" w:hanging="360"/>
      </w:pPr>
    </w:lvl>
    <w:lvl w:ilvl="7" w:tentative="0">
      <w:start w:val="1"/>
      <w:numFmt w:val="lowerLetter"/>
      <w:lvlText w:val="%8."/>
      <w:lvlJc w:val="left"/>
      <w:pPr>
        <w:ind w:left="6570" w:hanging="360"/>
      </w:pPr>
    </w:lvl>
    <w:lvl w:ilvl="8" w:tentative="0">
      <w:start w:val="1"/>
      <w:numFmt w:val="lowerRoman"/>
      <w:lvlText w:val="%9."/>
      <w:lvlJc w:val="right"/>
      <w:pPr>
        <w:ind w:left="7290" w:hanging="180"/>
      </w:pPr>
    </w:lvl>
  </w:abstractNum>
  <w:abstractNum w:abstractNumId="2">
    <w:nsid w:val="35BD45CC"/>
    <w:multiLevelType w:val="multilevel"/>
    <w:tmpl w:val="35BD45CC"/>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F421361"/>
    <w:multiLevelType w:val="multilevel"/>
    <w:tmpl w:val="3F42136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45FB6E90"/>
    <w:multiLevelType w:val="multilevel"/>
    <w:tmpl w:val="45FB6E90"/>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48541158"/>
    <w:multiLevelType w:val="multilevel"/>
    <w:tmpl w:val="48541158"/>
    <w:lvl w:ilvl="0" w:tentative="0">
      <w:start w:val="1"/>
      <w:numFmt w:val="decimal"/>
      <w:lvlText w:val="%1."/>
      <w:lvlJc w:val="right"/>
      <w:pPr>
        <w:ind w:left="720" w:hanging="360"/>
      </w:pPr>
      <w:rPr>
        <w:rFonts w:ascii="Times New Roman" w:hAnsi="Times New Roman" w:eastAsia="Calibri" w:cs="Times New Roman"/>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E9D2AF1"/>
    <w:multiLevelType w:val="multilevel"/>
    <w:tmpl w:val="4E9D2AF1"/>
    <w:lvl w:ilvl="0" w:tentative="0">
      <w:start w:val="1"/>
      <w:numFmt w:val="decimal"/>
      <w:lvlText w:val="%1"/>
      <w:lvlJc w:val="left"/>
      <w:pPr>
        <w:ind w:left="360" w:hanging="360"/>
      </w:pPr>
      <w:rPr>
        <w:rFonts w:hint="default"/>
        <w:b/>
      </w:rPr>
    </w:lvl>
    <w:lvl w:ilvl="1" w:tentative="0">
      <w:start w:val="5"/>
      <w:numFmt w:val="decimal"/>
      <w:lvlText w:val="%1.%2"/>
      <w:lvlJc w:val="left"/>
      <w:pPr>
        <w:ind w:left="360" w:hanging="360"/>
      </w:pPr>
      <w:rPr>
        <w:rFonts w:hint="default"/>
        <w:b/>
      </w:rPr>
    </w:lvl>
    <w:lvl w:ilvl="2" w:tentative="0">
      <w:start w:val="1"/>
      <w:numFmt w:val="decimal"/>
      <w:lvlText w:val="%1.%2.%3"/>
      <w:lvlJc w:val="left"/>
      <w:pPr>
        <w:ind w:left="720" w:hanging="720"/>
      </w:pPr>
      <w:rPr>
        <w:rFonts w:hint="default"/>
        <w:b/>
      </w:rPr>
    </w:lvl>
    <w:lvl w:ilvl="3" w:tentative="0">
      <w:start w:val="1"/>
      <w:numFmt w:val="decimal"/>
      <w:lvlText w:val="%1.%2.%3.%4"/>
      <w:lvlJc w:val="left"/>
      <w:pPr>
        <w:ind w:left="720" w:hanging="720"/>
      </w:pPr>
      <w:rPr>
        <w:rFonts w:hint="default"/>
        <w:b/>
      </w:rPr>
    </w:lvl>
    <w:lvl w:ilvl="4" w:tentative="0">
      <w:start w:val="1"/>
      <w:numFmt w:val="decimal"/>
      <w:lvlText w:val="%1.%2.%3.%4.%5"/>
      <w:lvlJc w:val="left"/>
      <w:pPr>
        <w:ind w:left="1080" w:hanging="1080"/>
      </w:pPr>
      <w:rPr>
        <w:rFonts w:hint="default"/>
        <w:b/>
      </w:rPr>
    </w:lvl>
    <w:lvl w:ilvl="5" w:tentative="0">
      <w:start w:val="1"/>
      <w:numFmt w:val="decimal"/>
      <w:lvlText w:val="%1.%2.%3.%4.%5.%6"/>
      <w:lvlJc w:val="left"/>
      <w:pPr>
        <w:ind w:left="1080" w:hanging="1080"/>
      </w:pPr>
      <w:rPr>
        <w:rFonts w:hint="default"/>
        <w:b/>
      </w:rPr>
    </w:lvl>
    <w:lvl w:ilvl="6" w:tentative="0">
      <w:start w:val="1"/>
      <w:numFmt w:val="decimal"/>
      <w:lvlText w:val="%1.%2.%3.%4.%5.%6.%7"/>
      <w:lvlJc w:val="left"/>
      <w:pPr>
        <w:ind w:left="1440" w:hanging="1440"/>
      </w:pPr>
      <w:rPr>
        <w:rFonts w:hint="default"/>
        <w:b/>
      </w:rPr>
    </w:lvl>
    <w:lvl w:ilvl="7" w:tentative="0">
      <w:start w:val="1"/>
      <w:numFmt w:val="decimal"/>
      <w:lvlText w:val="%1.%2.%3.%4.%5.%6.%7.%8"/>
      <w:lvlJc w:val="left"/>
      <w:pPr>
        <w:ind w:left="1440" w:hanging="1440"/>
      </w:pPr>
      <w:rPr>
        <w:rFonts w:hint="default"/>
        <w:b/>
      </w:rPr>
    </w:lvl>
    <w:lvl w:ilvl="8" w:tentative="0">
      <w:start w:val="1"/>
      <w:numFmt w:val="decimal"/>
      <w:lvlText w:val="%1.%2.%3.%4.%5.%6.%7.%8.%9"/>
      <w:lvlJc w:val="left"/>
      <w:pPr>
        <w:ind w:left="1800" w:hanging="1800"/>
      </w:pPr>
      <w:rPr>
        <w:rFonts w:hint="default"/>
        <w:b/>
      </w:rPr>
    </w:lvl>
  </w:abstractNum>
  <w:abstractNum w:abstractNumId="7">
    <w:nsid w:val="625223D2"/>
    <w:multiLevelType w:val="multilevel"/>
    <w:tmpl w:val="625223D2"/>
    <w:lvl w:ilvl="0" w:tentative="0">
      <w:start w:val="2"/>
      <w:numFmt w:val="decimal"/>
      <w:lvlText w:val="%1"/>
      <w:lvlJc w:val="left"/>
      <w:pPr>
        <w:ind w:left="780" w:hanging="780"/>
      </w:pPr>
      <w:rPr>
        <w:rFonts w:hint="default"/>
        <w:b/>
      </w:rPr>
    </w:lvl>
    <w:lvl w:ilvl="1" w:tentative="0">
      <w:start w:val="10"/>
      <w:numFmt w:val="decimal"/>
      <w:lvlText w:val="%1.%2"/>
      <w:lvlJc w:val="left"/>
      <w:pPr>
        <w:ind w:left="780" w:hanging="780"/>
      </w:pPr>
      <w:rPr>
        <w:rFonts w:hint="default"/>
        <w:b/>
      </w:rPr>
    </w:lvl>
    <w:lvl w:ilvl="2" w:tentative="0">
      <w:start w:val="4"/>
      <w:numFmt w:val="decimal"/>
      <w:lvlText w:val="%1.%2.%3"/>
      <w:lvlJc w:val="left"/>
      <w:pPr>
        <w:ind w:left="780" w:hanging="780"/>
      </w:pPr>
      <w:rPr>
        <w:rFonts w:hint="default"/>
        <w:b/>
      </w:rPr>
    </w:lvl>
    <w:lvl w:ilvl="3" w:tentative="0">
      <w:start w:val="1"/>
      <w:numFmt w:val="decimal"/>
      <w:lvlText w:val="%1.%2.%3.%4"/>
      <w:lvlJc w:val="left"/>
      <w:pPr>
        <w:ind w:left="780" w:hanging="780"/>
      </w:pPr>
      <w:rPr>
        <w:rFonts w:hint="default"/>
        <w:b/>
      </w:rPr>
    </w:lvl>
    <w:lvl w:ilvl="4" w:tentative="0">
      <w:start w:val="1"/>
      <w:numFmt w:val="decimal"/>
      <w:lvlText w:val="%1.%2.%3.%4.%5"/>
      <w:lvlJc w:val="left"/>
      <w:pPr>
        <w:ind w:left="1080" w:hanging="1080"/>
      </w:pPr>
      <w:rPr>
        <w:rFonts w:hint="default"/>
        <w:b/>
      </w:rPr>
    </w:lvl>
    <w:lvl w:ilvl="5" w:tentative="0">
      <w:start w:val="1"/>
      <w:numFmt w:val="decimal"/>
      <w:lvlText w:val="%1.%2.%3.%4.%5.%6"/>
      <w:lvlJc w:val="left"/>
      <w:pPr>
        <w:ind w:left="1080" w:hanging="1080"/>
      </w:pPr>
      <w:rPr>
        <w:rFonts w:hint="default"/>
        <w:b/>
      </w:rPr>
    </w:lvl>
    <w:lvl w:ilvl="6" w:tentative="0">
      <w:start w:val="1"/>
      <w:numFmt w:val="decimal"/>
      <w:lvlText w:val="%1.%2.%3.%4.%5.%6.%7"/>
      <w:lvlJc w:val="left"/>
      <w:pPr>
        <w:ind w:left="1440" w:hanging="1440"/>
      </w:pPr>
      <w:rPr>
        <w:rFonts w:hint="default"/>
        <w:b/>
      </w:rPr>
    </w:lvl>
    <w:lvl w:ilvl="7" w:tentative="0">
      <w:start w:val="1"/>
      <w:numFmt w:val="decimal"/>
      <w:lvlText w:val="%1.%2.%3.%4.%5.%6.%7.%8"/>
      <w:lvlJc w:val="left"/>
      <w:pPr>
        <w:ind w:left="1440" w:hanging="1440"/>
      </w:pPr>
      <w:rPr>
        <w:rFonts w:hint="default"/>
        <w:b/>
      </w:rPr>
    </w:lvl>
    <w:lvl w:ilvl="8" w:tentative="0">
      <w:start w:val="1"/>
      <w:numFmt w:val="decimal"/>
      <w:lvlText w:val="%1.%2.%3.%4.%5.%6.%7.%8.%9"/>
      <w:lvlJc w:val="left"/>
      <w:pPr>
        <w:ind w:left="1800" w:hanging="1800"/>
      </w:pPr>
      <w:rPr>
        <w:rFonts w:hint="default"/>
        <w:b/>
      </w:rPr>
    </w:lvl>
  </w:abstractNum>
  <w:abstractNum w:abstractNumId="8">
    <w:nsid w:val="693C6AF7"/>
    <w:multiLevelType w:val="multilevel"/>
    <w:tmpl w:val="693C6AF7"/>
    <w:lvl w:ilvl="0" w:tentative="0">
      <w:start w:val="1"/>
      <w:numFmt w:val="bullet"/>
      <w:lvlText w:val=""/>
      <w:lvlJc w:val="left"/>
      <w:pPr>
        <w:ind w:left="72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9">
    <w:nsid w:val="6F0E31CF"/>
    <w:multiLevelType w:val="multilevel"/>
    <w:tmpl w:val="6F0E31CF"/>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77EF5054"/>
    <w:multiLevelType w:val="multilevel"/>
    <w:tmpl w:val="77EF505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78442659"/>
    <w:multiLevelType w:val="multilevel"/>
    <w:tmpl w:val="78442659"/>
    <w:lvl w:ilvl="0" w:tentative="0">
      <w:start w:val="1"/>
      <w:numFmt w:val="decimal"/>
      <w:lvlText w:val="%1."/>
      <w:lvlJc w:val="left"/>
      <w:pPr>
        <w:ind w:left="45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7C3B3D3D"/>
    <w:multiLevelType w:val="multilevel"/>
    <w:tmpl w:val="7C3B3D3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6"/>
  </w:num>
  <w:num w:numId="2">
    <w:abstractNumId w:val="5"/>
  </w:num>
  <w:num w:numId="3">
    <w:abstractNumId w:val="1"/>
  </w:num>
  <w:num w:numId="4">
    <w:abstractNumId w:val="7"/>
  </w:num>
  <w:num w:numId="5">
    <w:abstractNumId w:val="10"/>
  </w:num>
  <w:num w:numId="6">
    <w:abstractNumId w:val="12"/>
  </w:num>
  <w:num w:numId="7">
    <w:abstractNumId w:val="3"/>
  </w:num>
  <w:num w:numId="8">
    <w:abstractNumId w:val="11"/>
  </w:num>
  <w:num w:numId="9">
    <w:abstractNumId w:val="4"/>
  </w:num>
  <w:num w:numId="10">
    <w:abstractNumId w:val="9"/>
  </w:num>
  <w:num w:numId="11">
    <w:abstractNumId w:val="0"/>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hdrShapeDefaults>
    <o:shapelayout v:ext="edit">
      <o:idmap v:ext="edit" data="2"/>
    </o:shapelayout>
  </w:hdrShapeDefault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CEC"/>
    <w:rsid w:val="00002542"/>
    <w:rsid w:val="00011E14"/>
    <w:rsid w:val="000127C7"/>
    <w:rsid w:val="00063684"/>
    <w:rsid w:val="00081AFC"/>
    <w:rsid w:val="001D322D"/>
    <w:rsid w:val="002611A9"/>
    <w:rsid w:val="002C606A"/>
    <w:rsid w:val="0035464D"/>
    <w:rsid w:val="00375589"/>
    <w:rsid w:val="00390B3C"/>
    <w:rsid w:val="003D0C93"/>
    <w:rsid w:val="004E6F04"/>
    <w:rsid w:val="005016F9"/>
    <w:rsid w:val="005022A4"/>
    <w:rsid w:val="00514594"/>
    <w:rsid w:val="00592467"/>
    <w:rsid w:val="005D6BD0"/>
    <w:rsid w:val="005E1871"/>
    <w:rsid w:val="00671932"/>
    <w:rsid w:val="006E53DC"/>
    <w:rsid w:val="006F3333"/>
    <w:rsid w:val="007152C7"/>
    <w:rsid w:val="00733B77"/>
    <w:rsid w:val="007B0768"/>
    <w:rsid w:val="00842839"/>
    <w:rsid w:val="008500CF"/>
    <w:rsid w:val="00892253"/>
    <w:rsid w:val="008F4B01"/>
    <w:rsid w:val="00957E30"/>
    <w:rsid w:val="00995633"/>
    <w:rsid w:val="009A4592"/>
    <w:rsid w:val="009B5CDD"/>
    <w:rsid w:val="009E15BA"/>
    <w:rsid w:val="00A02BE2"/>
    <w:rsid w:val="00A126EB"/>
    <w:rsid w:val="00A20AB1"/>
    <w:rsid w:val="00A254F2"/>
    <w:rsid w:val="00A26EE1"/>
    <w:rsid w:val="00A27F72"/>
    <w:rsid w:val="00A74DD1"/>
    <w:rsid w:val="00B05EBF"/>
    <w:rsid w:val="00B23DAC"/>
    <w:rsid w:val="00B457A9"/>
    <w:rsid w:val="00C66ADE"/>
    <w:rsid w:val="00C97C1B"/>
    <w:rsid w:val="00CE6902"/>
    <w:rsid w:val="00D2194F"/>
    <w:rsid w:val="00D26CEC"/>
    <w:rsid w:val="00D37F0F"/>
    <w:rsid w:val="00D423F3"/>
    <w:rsid w:val="00D9070A"/>
    <w:rsid w:val="00DC3A5A"/>
    <w:rsid w:val="00DC7BA0"/>
    <w:rsid w:val="00E16FE9"/>
    <w:rsid w:val="00EA1EF9"/>
    <w:rsid w:val="00F41FF9"/>
    <w:rsid w:val="00F61BC1"/>
    <w:rsid w:val="00F649B0"/>
    <w:rsid w:val="00FC5236"/>
    <w:rsid w:val="00FD37C8"/>
    <w:rsid w:val="3227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Times New Roman"/>
      <w:sz w:val="22"/>
      <w:szCs w:val="22"/>
      <w:lang w:val="en-US" w:eastAsia="en-US" w:bidi="ar-SA"/>
    </w:rPr>
  </w:style>
  <w:style w:type="paragraph" w:styleId="2">
    <w:name w:val="heading 1"/>
    <w:basedOn w:val="1"/>
    <w:next w:val="1"/>
    <w:link w:val="26"/>
    <w:qFormat/>
    <w:uiPriority w:val="9"/>
    <w:pPr>
      <w:keepNext/>
      <w:keepLines/>
      <w:spacing w:after="120" w:line="480" w:lineRule="auto"/>
      <w:jc w:val="center"/>
      <w:outlineLvl w:val="0"/>
    </w:pPr>
    <w:rPr>
      <w:rFonts w:ascii="Times New Roman" w:hAnsi="Times New Roman" w:eastAsia="Times New Roman"/>
      <w:b/>
      <w:color w:val="000000"/>
      <w:sz w:val="24"/>
      <w:szCs w:val="24"/>
    </w:rPr>
  </w:style>
  <w:style w:type="paragraph" w:styleId="3">
    <w:name w:val="heading 2"/>
    <w:basedOn w:val="1"/>
    <w:next w:val="1"/>
    <w:link w:val="27"/>
    <w:unhideWhenUsed/>
    <w:qFormat/>
    <w:uiPriority w:val="9"/>
    <w:pPr>
      <w:keepNext/>
      <w:keepLines/>
      <w:spacing w:before="200" w:after="0"/>
      <w:outlineLvl w:val="1"/>
    </w:pPr>
    <w:rPr>
      <w:rFonts w:asciiTheme="majorHAnsi" w:hAnsiTheme="majorHAnsi" w:eastAsiaTheme="majorEastAsia" w:cstheme="majorBidi"/>
      <w:b/>
      <w:bCs/>
      <w:color w:val="5B9BD5" w:themeColor="accent1"/>
      <w:sz w:val="26"/>
      <w:szCs w:val="26"/>
      <w14:textFill>
        <w14:solidFill>
          <w14:schemeClr w14:val="accent1"/>
        </w14:solidFill>
      </w14:textFill>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30"/>
    <w:semiHidden/>
    <w:unhideWhenUsed/>
    <w:uiPriority w:val="99"/>
    <w:pPr>
      <w:spacing w:after="0" w:line="240" w:lineRule="auto"/>
    </w:pPr>
    <w:rPr>
      <w:rFonts w:ascii="Tahoma" w:hAnsi="Tahoma" w:cs="Tahoma"/>
      <w:sz w:val="16"/>
      <w:szCs w:val="16"/>
    </w:rPr>
  </w:style>
  <w:style w:type="character" w:styleId="7">
    <w:name w:val="annotation reference"/>
    <w:semiHidden/>
    <w:unhideWhenUsed/>
    <w:uiPriority w:val="99"/>
    <w:rPr>
      <w:sz w:val="16"/>
      <w:szCs w:val="16"/>
    </w:rPr>
  </w:style>
  <w:style w:type="paragraph" w:styleId="8">
    <w:name w:val="annotation text"/>
    <w:basedOn w:val="1"/>
    <w:link w:val="33"/>
    <w:semiHidden/>
    <w:unhideWhenUsed/>
    <w:qFormat/>
    <w:uiPriority w:val="99"/>
    <w:pPr>
      <w:spacing w:line="240" w:lineRule="auto"/>
    </w:pPr>
    <w:rPr>
      <w:sz w:val="20"/>
      <w:szCs w:val="20"/>
    </w:rPr>
  </w:style>
  <w:style w:type="paragraph" w:styleId="9">
    <w:name w:val="annotation subject"/>
    <w:basedOn w:val="8"/>
    <w:next w:val="8"/>
    <w:link w:val="34"/>
    <w:semiHidden/>
    <w:unhideWhenUsed/>
    <w:qFormat/>
    <w:uiPriority w:val="99"/>
    <w:rPr>
      <w:rFonts w:asciiTheme="minorHAnsi" w:hAnsiTheme="minorHAnsi" w:eastAsiaTheme="minorHAnsi" w:cstheme="minorBidi"/>
      <w:b/>
      <w:bCs/>
    </w:rPr>
  </w:style>
  <w:style w:type="character" w:styleId="10">
    <w:name w:val="Emphasis"/>
    <w:qFormat/>
    <w:uiPriority w:val="20"/>
    <w:rPr>
      <w:i/>
      <w:iCs/>
    </w:rPr>
  </w:style>
  <w:style w:type="paragraph" w:styleId="11">
    <w:name w:val="footer"/>
    <w:basedOn w:val="1"/>
    <w:link w:val="29"/>
    <w:unhideWhenUsed/>
    <w:qFormat/>
    <w:uiPriority w:val="99"/>
    <w:pPr>
      <w:tabs>
        <w:tab w:val="center" w:pos="4680"/>
        <w:tab w:val="right" w:pos="9360"/>
      </w:tabs>
      <w:spacing w:after="0" w:line="240" w:lineRule="auto"/>
    </w:pPr>
  </w:style>
  <w:style w:type="paragraph" w:styleId="12">
    <w:name w:val="header"/>
    <w:basedOn w:val="1"/>
    <w:link w:val="31"/>
    <w:unhideWhenUsed/>
    <w:qFormat/>
    <w:uiPriority w:val="99"/>
    <w:pPr>
      <w:tabs>
        <w:tab w:val="center" w:pos="4513"/>
        <w:tab w:val="right" w:pos="9026"/>
      </w:tabs>
      <w:spacing w:after="0" w:line="240" w:lineRule="auto"/>
    </w:pPr>
  </w:style>
  <w:style w:type="character" w:styleId="13">
    <w:name w:val="Hyperlink"/>
    <w:unhideWhenUsed/>
    <w:qFormat/>
    <w:uiPriority w:val="99"/>
    <w:rPr>
      <w:color w:val="0000FF"/>
      <w:u w:val="single"/>
    </w:rPr>
  </w:style>
  <w:style w:type="paragraph" w:styleId="14">
    <w:name w:val="Normal (Web)"/>
    <w:basedOn w:val="1"/>
    <w:unhideWhenUsed/>
    <w:uiPriority w:val="99"/>
    <w:pPr>
      <w:spacing w:before="100" w:beforeAutospacing="1" w:after="100" w:afterAutospacing="1" w:line="240" w:lineRule="auto"/>
    </w:pPr>
    <w:rPr>
      <w:rFonts w:ascii="Times New Roman" w:hAnsi="Times New Roman" w:eastAsia="Times New Roman"/>
      <w:sz w:val="24"/>
      <w:szCs w:val="24"/>
      <w:lang w:val="en-GB" w:eastAsia="en-GB"/>
    </w:rPr>
  </w:style>
  <w:style w:type="character" w:styleId="15">
    <w:name w:val="Strong"/>
    <w:basedOn w:val="4"/>
    <w:qFormat/>
    <w:uiPriority w:val="22"/>
    <w:rPr>
      <w:b/>
      <w:bCs/>
    </w:rPr>
  </w:style>
  <w:style w:type="table" w:styleId="16">
    <w:name w:val="Table Grid"/>
    <w:basedOn w:val="5"/>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7">
    <w:name w:val="toc 1"/>
    <w:basedOn w:val="1"/>
    <w:next w:val="1"/>
    <w:unhideWhenUsed/>
    <w:qFormat/>
    <w:uiPriority w:val="39"/>
    <w:pPr>
      <w:tabs>
        <w:tab w:val="right" w:leader="dot" w:pos="9016"/>
      </w:tabs>
      <w:spacing w:after="100" w:line="480" w:lineRule="auto"/>
    </w:pPr>
    <w:rPr>
      <w:rFonts w:ascii="Times New Roman" w:hAnsi="Times New Roman"/>
      <w:b/>
      <w:bCs/>
      <w:color w:val="000000"/>
      <w:sz w:val="24"/>
      <w:szCs w:val="24"/>
    </w:rPr>
  </w:style>
  <w:style w:type="paragraph" w:styleId="18">
    <w:name w:val="toc 2"/>
    <w:basedOn w:val="1"/>
    <w:next w:val="1"/>
    <w:unhideWhenUsed/>
    <w:qFormat/>
    <w:uiPriority w:val="39"/>
    <w:pPr>
      <w:spacing w:after="100"/>
      <w:ind w:left="220"/>
    </w:pPr>
  </w:style>
  <w:style w:type="paragraph" w:styleId="19">
    <w:name w:val="toc 3"/>
    <w:basedOn w:val="1"/>
    <w:next w:val="1"/>
    <w:unhideWhenUsed/>
    <w:qFormat/>
    <w:uiPriority w:val="39"/>
    <w:pPr>
      <w:spacing w:after="100"/>
      <w:ind w:left="440"/>
    </w:pPr>
    <w:rPr>
      <w:rFonts w:eastAsia="Times New Roman"/>
      <w:lang w:val="en-GB" w:eastAsia="en-GB"/>
    </w:rPr>
  </w:style>
  <w:style w:type="paragraph" w:styleId="20">
    <w:name w:val="toc 4"/>
    <w:basedOn w:val="1"/>
    <w:next w:val="1"/>
    <w:unhideWhenUsed/>
    <w:qFormat/>
    <w:uiPriority w:val="39"/>
    <w:pPr>
      <w:spacing w:after="100"/>
      <w:ind w:left="660"/>
    </w:pPr>
    <w:rPr>
      <w:rFonts w:eastAsia="Times New Roman"/>
      <w:lang w:val="en-GB" w:eastAsia="en-GB"/>
    </w:rPr>
  </w:style>
  <w:style w:type="paragraph" w:styleId="21">
    <w:name w:val="toc 5"/>
    <w:basedOn w:val="1"/>
    <w:next w:val="1"/>
    <w:unhideWhenUsed/>
    <w:uiPriority w:val="39"/>
    <w:pPr>
      <w:spacing w:after="100"/>
      <w:ind w:left="880"/>
    </w:pPr>
    <w:rPr>
      <w:rFonts w:eastAsia="Times New Roman"/>
      <w:lang w:val="en-GB" w:eastAsia="en-GB"/>
    </w:rPr>
  </w:style>
  <w:style w:type="paragraph" w:styleId="22">
    <w:name w:val="toc 6"/>
    <w:basedOn w:val="1"/>
    <w:next w:val="1"/>
    <w:unhideWhenUsed/>
    <w:qFormat/>
    <w:uiPriority w:val="39"/>
    <w:pPr>
      <w:spacing w:after="100"/>
      <w:ind w:left="1100"/>
    </w:pPr>
    <w:rPr>
      <w:rFonts w:eastAsia="Times New Roman"/>
      <w:lang w:val="en-GB" w:eastAsia="en-GB"/>
    </w:rPr>
  </w:style>
  <w:style w:type="paragraph" w:styleId="23">
    <w:name w:val="toc 7"/>
    <w:basedOn w:val="1"/>
    <w:next w:val="1"/>
    <w:unhideWhenUsed/>
    <w:qFormat/>
    <w:uiPriority w:val="39"/>
    <w:pPr>
      <w:spacing w:after="100"/>
      <w:ind w:left="1320"/>
    </w:pPr>
    <w:rPr>
      <w:rFonts w:eastAsia="Times New Roman"/>
      <w:lang w:val="en-GB" w:eastAsia="en-GB"/>
    </w:rPr>
  </w:style>
  <w:style w:type="paragraph" w:styleId="24">
    <w:name w:val="toc 8"/>
    <w:basedOn w:val="1"/>
    <w:next w:val="1"/>
    <w:unhideWhenUsed/>
    <w:qFormat/>
    <w:uiPriority w:val="39"/>
    <w:pPr>
      <w:spacing w:after="100"/>
      <w:ind w:left="1540"/>
    </w:pPr>
    <w:rPr>
      <w:rFonts w:eastAsia="Times New Roman"/>
      <w:lang w:val="en-GB" w:eastAsia="en-GB"/>
    </w:rPr>
  </w:style>
  <w:style w:type="paragraph" w:styleId="25">
    <w:name w:val="toc 9"/>
    <w:basedOn w:val="1"/>
    <w:next w:val="1"/>
    <w:unhideWhenUsed/>
    <w:qFormat/>
    <w:uiPriority w:val="39"/>
    <w:pPr>
      <w:spacing w:after="100"/>
      <w:ind w:left="1760"/>
    </w:pPr>
    <w:rPr>
      <w:rFonts w:eastAsia="Times New Roman"/>
      <w:lang w:val="en-GB" w:eastAsia="en-GB"/>
    </w:rPr>
  </w:style>
  <w:style w:type="character" w:customStyle="1" w:styleId="26">
    <w:name w:val="Heading 1 Char"/>
    <w:basedOn w:val="4"/>
    <w:link w:val="2"/>
    <w:qFormat/>
    <w:uiPriority w:val="9"/>
    <w:rPr>
      <w:rFonts w:ascii="Times New Roman" w:hAnsi="Times New Roman" w:eastAsia="Times New Roman" w:cs="Times New Roman"/>
      <w:b/>
      <w:color w:val="000000"/>
      <w:sz w:val="24"/>
      <w:szCs w:val="24"/>
    </w:rPr>
  </w:style>
  <w:style w:type="character" w:customStyle="1" w:styleId="27">
    <w:name w:val="Heading 2 Char"/>
    <w:basedOn w:val="4"/>
    <w:link w:val="3"/>
    <w:qFormat/>
    <w:uiPriority w:val="9"/>
    <w:rPr>
      <w:rFonts w:asciiTheme="majorHAnsi" w:hAnsiTheme="majorHAnsi" w:eastAsiaTheme="majorEastAsia" w:cstheme="majorBidi"/>
      <w:b/>
      <w:bCs/>
      <w:color w:val="5B9BD5" w:themeColor="accent1"/>
      <w:sz w:val="26"/>
      <w:szCs w:val="26"/>
      <w14:textFill>
        <w14:solidFill>
          <w14:schemeClr w14:val="accent1"/>
        </w14:solidFill>
      </w14:textFill>
    </w:rPr>
  </w:style>
  <w:style w:type="paragraph" w:styleId="28">
    <w:name w:val="List Paragraph"/>
    <w:basedOn w:val="1"/>
    <w:qFormat/>
    <w:uiPriority w:val="34"/>
    <w:pPr>
      <w:ind w:left="720"/>
      <w:contextualSpacing/>
    </w:pPr>
  </w:style>
  <w:style w:type="character" w:customStyle="1" w:styleId="29">
    <w:name w:val="Footer Char"/>
    <w:basedOn w:val="4"/>
    <w:link w:val="11"/>
    <w:qFormat/>
    <w:uiPriority w:val="99"/>
    <w:rPr>
      <w:rFonts w:ascii="Calibri" w:hAnsi="Calibri" w:eastAsia="Calibri" w:cs="Times New Roman"/>
    </w:rPr>
  </w:style>
  <w:style w:type="character" w:customStyle="1" w:styleId="30">
    <w:name w:val="Balloon Text Char"/>
    <w:basedOn w:val="4"/>
    <w:link w:val="6"/>
    <w:semiHidden/>
    <w:uiPriority w:val="99"/>
    <w:rPr>
      <w:rFonts w:ascii="Tahoma" w:hAnsi="Tahoma" w:eastAsia="Calibri" w:cs="Tahoma"/>
      <w:sz w:val="16"/>
      <w:szCs w:val="16"/>
    </w:rPr>
  </w:style>
  <w:style w:type="character" w:customStyle="1" w:styleId="31">
    <w:name w:val="Header Char"/>
    <w:basedOn w:val="4"/>
    <w:link w:val="12"/>
    <w:uiPriority w:val="99"/>
    <w:rPr>
      <w:rFonts w:ascii="Calibri" w:hAnsi="Calibri" w:eastAsia="Calibri" w:cs="Times New Roman"/>
    </w:rPr>
  </w:style>
  <w:style w:type="paragraph" w:customStyle="1" w:styleId="32">
    <w:name w:val="TOC Heading"/>
    <w:basedOn w:val="2"/>
    <w:next w:val="1"/>
    <w:unhideWhenUsed/>
    <w:qFormat/>
    <w:uiPriority w:val="39"/>
    <w:pPr>
      <w:spacing w:line="259" w:lineRule="auto"/>
      <w:jc w:val="left"/>
      <w:outlineLvl w:val="9"/>
    </w:pPr>
    <w:rPr>
      <w:rFonts w:ascii="Cambria" w:hAnsi="Cambria"/>
      <w:b w:val="0"/>
      <w:color w:val="365F91"/>
      <w:sz w:val="32"/>
    </w:rPr>
  </w:style>
  <w:style w:type="character" w:customStyle="1" w:styleId="33">
    <w:name w:val="Comment Text Char"/>
    <w:basedOn w:val="4"/>
    <w:link w:val="8"/>
    <w:semiHidden/>
    <w:qFormat/>
    <w:uiPriority w:val="99"/>
    <w:rPr>
      <w:rFonts w:ascii="Calibri" w:hAnsi="Calibri" w:eastAsia="Calibri" w:cs="Times New Roman"/>
      <w:sz w:val="20"/>
      <w:szCs w:val="20"/>
    </w:rPr>
  </w:style>
  <w:style w:type="character" w:customStyle="1" w:styleId="34">
    <w:name w:val="Comment Subject Char"/>
    <w:link w:val="9"/>
    <w:semiHidden/>
    <w:qFormat/>
    <w:uiPriority w:val="99"/>
    <w:rPr>
      <w:b/>
      <w:bCs/>
      <w:sz w:val="20"/>
      <w:szCs w:val="20"/>
    </w:rPr>
  </w:style>
  <w:style w:type="character" w:customStyle="1" w:styleId="35">
    <w:name w:val="Comment Subject Char1"/>
    <w:basedOn w:val="33"/>
    <w:semiHidden/>
    <w:qFormat/>
    <w:uiPriority w:val="99"/>
    <w:rPr>
      <w:rFonts w:ascii="Calibri" w:hAnsi="Calibri" w:eastAsia="Calibri" w:cs="Times New Roman"/>
      <w:b/>
      <w:bCs/>
      <w:sz w:val="20"/>
      <w:szCs w:val="20"/>
    </w:rPr>
  </w:style>
  <w:style w:type="table" w:customStyle="1" w:styleId="36">
    <w:name w:val="Plain Table 21"/>
    <w:basedOn w:val="5"/>
    <w:qFormat/>
    <w:uiPriority w:val="42"/>
    <w:pPr>
      <w:spacing w:after="0" w:line="240" w:lineRule="auto"/>
    </w:pPr>
    <w:rPr>
      <w:rFonts w:ascii="Calibri" w:hAnsi="Calibri" w:eastAsia="Calibri" w:cs="Times New Roman"/>
      <w:sz w:val="20"/>
      <w:szCs w:val="20"/>
    </w:rPr>
    <w:tblPr>
      <w:tblBorders>
        <w:top w:val="single" w:color="7F7F7F" w:sz="4" w:space="0"/>
        <w:bottom w:val="single" w:color="7F7F7F" w:sz="4" w:space="0"/>
      </w:tblBorders>
    </w:tblPr>
    <w:tblStylePr w:type="firstRow">
      <w:rPr>
        <w:b/>
        <w:bCs/>
      </w:rPr>
      <w:tcPr>
        <w:tcBorders>
          <w:bottom w:val="single" w:color="7F7F7F" w:sz="4" w:space="0"/>
        </w:tcBorders>
      </w:tcPr>
    </w:tblStylePr>
    <w:tblStylePr w:type="lastRow">
      <w:rPr>
        <w:b/>
        <w:bCs/>
      </w:rPr>
      <w:tcPr>
        <w:tcBorders>
          <w:top w:val="single" w:color="7F7F7F" w:sz="4" w:space="0"/>
        </w:tcBorders>
      </w:tcPr>
    </w:tblStylePr>
    <w:tblStylePr w:type="firstCol">
      <w:rPr>
        <w:b/>
        <w:bCs/>
      </w:rPr>
    </w:tblStylePr>
    <w:tblStylePr w:type="lastCol">
      <w:rPr>
        <w:b/>
        <w:bCs/>
      </w:rPr>
    </w:tblStylePr>
    <w:tblStylePr w:type="band1Vert">
      <w:tcPr>
        <w:tcBorders>
          <w:left w:val="single" w:color="7F7F7F" w:sz="4" w:space="0"/>
          <w:right w:val="single" w:color="7F7F7F" w:sz="4" w:space="0"/>
        </w:tcBorders>
      </w:tcPr>
    </w:tblStylePr>
    <w:tblStylePr w:type="band2Vert">
      <w:tcPr>
        <w:tcBorders>
          <w:left w:val="single" w:color="7F7F7F" w:sz="4" w:space="0"/>
          <w:right w:val="single" w:color="7F7F7F" w:sz="4" w:space="0"/>
        </w:tcBorders>
      </w:tcPr>
    </w:tblStylePr>
    <w:tblStylePr w:type="band1Horz">
      <w:tcPr>
        <w:tcBorders>
          <w:top w:val="single" w:color="7F7F7F" w:sz="4" w:space="0"/>
          <w:bottom w:val="single" w:color="7F7F7F" w:sz="4" w:space="0"/>
        </w:tcBorders>
      </w:tcPr>
    </w:tblStylePr>
  </w:style>
  <w:style w:type="paragraph" w:customStyle="1" w:styleId="37">
    <w:name w:val="p"/>
    <w:basedOn w:val="1"/>
    <w:qFormat/>
    <w:uiPriority w:val="0"/>
    <w:pPr>
      <w:spacing w:before="100" w:beforeAutospacing="1" w:after="100" w:afterAutospacing="1" w:line="240" w:lineRule="auto"/>
    </w:pPr>
    <w:rPr>
      <w:rFonts w:ascii="Times New Roman" w:hAnsi="Times New Roman" w:eastAsia="Times New Roman"/>
      <w:sz w:val="24"/>
      <w:szCs w:val="24"/>
      <w:lang w:val="en-GB" w:eastAsia="en-GB"/>
    </w:rPr>
  </w:style>
  <w:style w:type="table" w:customStyle="1" w:styleId="38">
    <w:name w:val="Table Grid1"/>
    <w:basedOn w:val="5"/>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9">
    <w:name w:val="al-author-delim"/>
    <w:basedOn w:val="4"/>
    <w:qFormat/>
    <w:uiPriority w:val="0"/>
  </w:style>
  <w:style w:type="character" w:customStyle="1" w:styleId="40">
    <w:name w:val="hlfld-contribauthor"/>
    <w:basedOn w:val="4"/>
    <w:qFormat/>
    <w:uiPriority w:val="0"/>
  </w:style>
  <w:style w:type="character" w:customStyle="1" w:styleId="41">
    <w:name w:val="seriestitle"/>
    <w:basedOn w:val="4"/>
    <w:qFormat/>
    <w:uiPriority w:val="0"/>
  </w:style>
  <w:style w:type="character" w:customStyle="1" w:styleId="42">
    <w:name w:val="doi"/>
    <w:basedOn w:val="4"/>
    <w:qFormat/>
    <w:uiPriority w:val="0"/>
  </w:style>
  <w:style w:type="character" w:customStyle="1" w:styleId="43">
    <w:name w:val="volume"/>
    <w:basedOn w:val="4"/>
    <w:uiPriority w:val="0"/>
  </w:style>
  <w:style w:type="character" w:customStyle="1" w:styleId="44">
    <w:name w:val="issue"/>
    <w:basedOn w:val="4"/>
    <w:uiPriority w:val="0"/>
  </w:style>
  <w:style w:type="character" w:customStyle="1" w:styleId="45">
    <w:name w:val="page-range"/>
    <w:basedOn w:val="4"/>
    <w:qFormat/>
    <w:uiPriority w:val="0"/>
  </w:style>
  <w:style w:type="character" w:customStyle="1" w:styleId="46">
    <w:name w:val="pub-date"/>
    <w:basedOn w:val="4"/>
    <w:qFormat/>
    <w:uiPriority w:val="0"/>
  </w:style>
  <w:style w:type="character" w:customStyle="1" w:styleId="47">
    <w:name w:val="separator"/>
    <w:basedOn w:val="4"/>
    <w:uiPriority w:val="0"/>
  </w:style>
  <w:style w:type="character" w:customStyle="1" w:styleId="48">
    <w:name w:val="nlm_source"/>
    <w:basedOn w:val="4"/>
    <w:qFormat/>
    <w:uiPriority w:val="0"/>
  </w:style>
  <w:style w:type="character" w:customStyle="1" w:styleId="49">
    <w:name w:val="docurl"/>
    <w:basedOn w:val="4"/>
    <w:uiPriority w:val="0"/>
  </w:style>
  <w:style w:type="character" w:customStyle="1" w:styleId="50">
    <w:name w:val="font01"/>
    <w:qFormat/>
    <w:uiPriority w:val="0"/>
    <w:rPr>
      <w:rFonts w:hint="default" w:ascii="Arial" w:hAnsi="Arial" w:cs="Arial"/>
      <w:color w:val="010205"/>
      <w:sz w:val="18"/>
      <w:szCs w:val="18"/>
      <w:u w:val="none"/>
      <w:vertAlign w:val="superscript"/>
    </w:rPr>
  </w:style>
  <w:style w:type="character" w:customStyle="1" w:styleId="51">
    <w:name w:val="font41"/>
    <w:uiPriority w:val="0"/>
    <w:rPr>
      <w:rFonts w:ascii="Arial" w:hAnsi="Arial" w:cs="Arial"/>
      <w:color w:val="000000"/>
      <w:sz w:val="18"/>
      <w:szCs w:val="18"/>
      <w:u w:val="none"/>
    </w:rPr>
  </w:style>
  <w:style w:type="character" w:customStyle="1" w:styleId="52">
    <w:name w:val="font31"/>
    <w:qFormat/>
    <w:uiPriority w:val="0"/>
    <w:rPr>
      <w:rFonts w:hint="default" w:ascii="Arial" w:hAnsi="Arial" w:cs="Arial"/>
      <w:color w:val="000000"/>
      <w:sz w:val="18"/>
      <w:szCs w:val="18"/>
      <w:u w:val="none"/>
      <w:vertAlign w:val="superscript"/>
    </w:rPr>
  </w:style>
  <w:style w:type="paragraph" w:styleId="53">
    <w:name w:val="No Spacing"/>
    <w:qFormat/>
    <w:uiPriority w:val="1"/>
    <w:pPr>
      <w:spacing w:after="0" w:line="240" w:lineRule="auto"/>
    </w:pPr>
    <w:rPr>
      <w:rFonts w:ascii="Calibri" w:hAnsi="Calibri" w:eastAsia="Calibri" w:cs="Times New Roman"/>
      <w:sz w:val="22"/>
      <w:szCs w:val="22"/>
      <w:lang w:val="en-US" w:eastAsia="en-US" w:bidi="ar-SA"/>
    </w:rPr>
  </w:style>
  <w:style w:type="character" w:customStyle="1" w:styleId="54">
    <w:name w:val="Unresolved Mention1"/>
    <w:basedOn w:val="4"/>
    <w:semiHidden/>
    <w:unhideWhenUsed/>
    <w:qFormat/>
    <w:uiPriority w:val="99"/>
    <w:rPr>
      <w:color w:val="605E5C"/>
      <w:shd w:val="clear" w:color="auto" w:fill="E1DFDD"/>
    </w:rPr>
  </w:style>
  <w:style w:type="character" w:customStyle="1" w:styleId="55">
    <w:name w:val="authorname"/>
    <w:basedOn w:val="4"/>
    <w:qFormat/>
    <w:uiPriority w:val="0"/>
  </w:style>
  <w:style w:type="character" w:customStyle="1" w:styleId="56">
    <w:name w:val="art_title"/>
    <w:basedOn w:val="4"/>
    <w:qFormat/>
    <w:uiPriority w:val="0"/>
  </w:style>
  <w:style w:type="character" w:customStyle="1" w:styleId="57">
    <w:name w:val="serial_title"/>
    <w:basedOn w:val="4"/>
    <w:qFormat/>
    <w:uiPriority w:val="0"/>
  </w:style>
  <w:style w:type="character" w:customStyle="1" w:styleId="58">
    <w:name w:val="volume_issue"/>
    <w:basedOn w:val="4"/>
    <w:uiPriority w:val="0"/>
  </w:style>
  <w:style w:type="character" w:customStyle="1" w:styleId="59">
    <w:name w:val="page_range"/>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24.emf"/><Relationship Id="rId37" Type="http://schemas.openxmlformats.org/officeDocument/2006/relationships/image" Target="media/image23.jpeg"/><Relationship Id="rId36" Type="http://schemas.openxmlformats.org/officeDocument/2006/relationships/image" Target="media/image22.jpeg"/><Relationship Id="rId35" Type="http://schemas.openxmlformats.org/officeDocument/2006/relationships/image" Target="media/image21.jpeg"/><Relationship Id="rId34" Type="http://schemas.openxmlformats.org/officeDocument/2006/relationships/image" Target="media/image20.jpeg"/><Relationship Id="rId33" Type="http://schemas.openxmlformats.org/officeDocument/2006/relationships/image" Target="media/image19.jpeg"/><Relationship Id="rId32" Type="http://schemas.openxmlformats.org/officeDocument/2006/relationships/image" Target="media/image18.jpeg"/><Relationship Id="rId31" Type="http://schemas.openxmlformats.org/officeDocument/2006/relationships/image" Target="media/image17.jpeg"/><Relationship Id="rId30" Type="http://schemas.openxmlformats.org/officeDocument/2006/relationships/image" Target="media/image16.jpeg"/><Relationship Id="rId3" Type="http://schemas.openxmlformats.org/officeDocument/2006/relationships/footnotes" Target="footnotes.xml"/><Relationship Id="rId29" Type="http://schemas.openxmlformats.org/officeDocument/2006/relationships/image" Target="media/image15.jpeg"/><Relationship Id="rId28" Type="http://schemas.openxmlformats.org/officeDocument/2006/relationships/image" Target="media/image14.jpeg"/><Relationship Id="rId27" Type="http://schemas.openxmlformats.org/officeDocument/2006/relationships/image" Target="media/image13.jpeg"/><Relationship Id="rId26" Type="http://schemas.openxmlformats.org/officeDocument/2006/relationships/image" Target="media/image12.jpeg"/><Relationship Id="rId25" Type="http://schemas.openxmlformats.org/officeDocument/2006/relationships/image" Target="media/image11.jpeg"/><Relationship Id="rId24" Type="http://schemas.openxmlformats.org/officeDocument/2006/relationships/image" Target="media/image10.emf"/><Relationship Id="rId23" Type="http://schemas.openxmlformats.org/officeDocument/2006/relationships/image" Target="media/image9.emf"/><Relationship Id="rId22" Type="http://schemas.openxmlformats.org/officeDocument/2006/relationships/image" Target="media/image8.emf"/><Relationship Id="rId21" Type="http://schemas.openxmlformats.org/officeDocument/2006/relationships/image" Target="media/image7.emf"/><Relationship Id="rId20" Type="http://schemas.openxmlformats.org/officeDocument/2006/relationships/image" Target="media/image6.emf"/><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5.jpeg"/><Relationship Id="rId17" Type="http://schemas.openxmlformats.org/officeDocument/2006/relationships/image" Target="media/image4.jpeg"/><Relationship Id="rId16" Type="http://schemas.openxmlformats.org/officeDocument/2006/relationships/image" Target="media/image3.jpeg"/><Relationship Id="rId15" Type="http://schemas.microsoft.com/office/2007/relationships/hdphoto" Target="media/image2.wdp"/><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C:\Users\Dr%20Popoola%20Ibukun\Documents\Alfa%202023%20Ja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delete val="1"/>
          </c:dLbls>
          <c:errBars>
            <c:errBarType val="both"/>
            <c:errValType val="percentage"/>
            <c:noEndCap val="0"/>
            <c:val val="5"/>
            <c:spPr>
              <a:noFill/>
              <a:ln w="9525" cap="flat" cmpd="sng" algn="ctr">
                <a:solidFill>
                  <a:schemeClr val="tx1">
                    <a:lumMod val="65000"/>
                    <a:lumOff val="35000"/>
                  </a:schemeClr>
                </a:solidFill>
                <a:prstDash val="solid"/>
                <a:round/>
              </a:ln>
              <a:effectLst/>
            </c:spPr>
          </c:errBars>
          <c:cat>
            <c:strRef>
              <c:f>Sheet3!$I$9:$I$13</c:f>
              <c:strCache>
                <c:ptCount val="5"/>
                <c:pt idx="0">
                  <c:v>Control</c:v>
                </c:pt>
                <c:pt idx="1">
                  <c:v>Poultry</c:v>
                </c:pt>
                <c:pt idx="2">
                  <c:v>Cattle </c:v>
                </c:pt>
                <c:pt idx="3">
                  <c:v>Pig</c:v>
                </c:pt>
                <c:pt idx="4">
                  <c:v>Goat</c:v>
                </c:pt>
              </c:strCache>
            </c:strRef>
          </c:cat>
          <c:val>
            <c:numRef>
              <c:f>Sheet3!$J$9:$J$13</c:f>
              <c:numCache>
                <c:formatCode>0.00</c:formatCode>
                <c:ptCount val="5"/>
                <c:pt idx="0">
                  <c:v>7</c:v>
                </c:pt>
                <c:pt idx="1">
                  <c:v>5.67</c:v>
                </c:pt>
                <c:pt idx="2">
                  <c:v>5.78</c:v>
                </c:pt>
                <c:pt idx="3">
                  <c:v>5.48</c:v>
                </c:pt>
                <c:pt idx="4">
                  <c:v>5.7</c:v>
                </c:pt>
              </c:numCache>
            </c:numRef>
          </c:val>
        </c:ser>
        <c:dLbls>
          <c:showLegendKey val="0"/>
          <c:showVal val="0"/>
          <c:showCatName val="0"/>
          <c:showSerName val="0"/>
          <c:showPercent val="0"/>
          <c:showBubbleSize val="0"/>
        </c:dLbls>
        <c:gapWidth val="219"/>
        <c:overlap val="-27"/>
        <c:axId val="376736328"/>
        <c:axId val="376736720"/>
      </c:barChart>
      <c:catAx>
        <c:axId val="376736328"/>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sz="1200" b="1">
                    <a:solidFill>
                      <a:sysClr val="windowText" lastClr="000000"/>
                    </a:solidFill>
                  </a:rPr>
                  <a:t>Livestock</a:t>
                </a:r>
                <a:r>
                  <a:rPr lang="en-GB" sz="1200" b="1" baseline="0">
                    <a:solidFill>
                      <a:sysClr val="windowText" lastClr="000000"/>
                    </a:solidFill>
                  </a:rPr>
                  <a:t>  soil </a:t>
                </a:r>
                <a:endParaRPr lang="en-GB" sz="1200" b="1">
                  <a:solidFill>
                    <a:sysClr val="windowText" lastClr="000000"/>
                  </a:solidFill>
                </a:endParaRP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376736720"/>
        <c:crosses val="autoZero"/>
        <c:auto val="1"/>
        <c:lblAlgn val="ctr"/>
        <c:lblOffset val="100"/>
        <c:noMultiLvlLbl val="0"/>
      </c:catAx>
      <c:valAx>
        <c:axId val="376736720"/>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sz="1200" b="1">
                    <a:solidFill>
                      <a:sysClr val="windowText" lastClr="000000"/>
                    </a:solidFill>
                  </a:rPr>
                  <a:t>pH</a:t>
                </a:r>
                <a:endParaRPr lang="en-GB" sz="1200" b="1">
                  <a:solidFill>
                    <a:sysClr val="windowText" lastClr="000000"/>
                  </a:solidFill>
                </a:endParaRPr>
              </a:p>
            </c:rich>
          </c:tx>
          <c:layout/>
          <c:overlay val="0"/>
          <c:spPr>
            <a:noFill/>
            <a:ln>
              <a:noFill/>
            </a:ln>
            <a:effectLst/>
          </c:spPr>
        </c:title>
        <c:numFmt formatCode="0.00"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376736328"/>
        <c:crosses val="autoZero"/>
        <c:crossBetween val="between"/>
      </c:valAx>
      <c:spPr>
        <a:noFill/>
        <a:ln>
          <a:no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lang="en-US"/>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2049"/>
    <customShpInfo spid="_x0000_s2050"/>
    <customShpInfo spid="_x0000_s2051"/>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163</Pages>
  <Words>37831</Words>
  <Characters>215641</Characters>
  <Lines>1797</Lines>
  <Paragraphs>505</Paragraphs>
  <TotalTime>0</TotalTime>
  <ScaleCrop>false</ScaleCrop>
  <LinksUpToDate>false</LinksUpToDate>
  <CharactersWithSpaces>252967</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2023-11-13T11:15:00Z</dcterms:created>
  <dc:creator>Microsoft account</dc:creator>
  <cp:lastModifiedBy>google1581331680</cp:lastModifiedBy>
  <dcterms:modified xsi:type="dcterms:W3CDTF">2024-02-22T11:55:15Z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808C5C467B5E46CD9863B1C9B392BA79_12</vt:lpwstr>
  </property>
</Properties>
</file>